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</w:rPr>
        <w:t>202</w:t>
      </w:r>
      <w:r>
        <w:rPr>
          <w:rFonts w:hint="default" w:ascii="Times New Roman" w:hAnsi="Times New Roman" w:eastAsia="方正小标宋_GBK" w:cs="Times New Roman"/>
          <w:sz w:val="84"/>
          <w:szCs w:val="8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84"/>
          <w:szCs w:val="84"/>
        </w:rPr>
        <w:t>年度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  <w:t>岳阳市政协</w:t>
      </w:r>
      <w:r>
        <w:rPr>
          <w:rFonts w:hint="default" w:ascii="Times New Roman" w:hAnsi="Times New Roman" w:eastAsia="方正小标宋_GBK" w:cs="Times New Roman"/>
          <w:sz w:val="84"/>
          <w:szCs w:val="84"/>
        </w:rPr>
        <w:t>部门决算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spacing w:line="540" w:lineRule="exact"/>
        <w:jc w:val="center"/>
        <w:rPr>
          <w:rFonts w:hint="default" w:ascii="Times New Roman" w:hAnsi="Times New Roman" w:cs="Times New Roman"/>
          <w:sz w:val="56"/>
          <w:szCs w:val="56"/>
        </w:rPr>
      </w:pPr>
    </w:p>
    <w:p>
      <w:pPr>
        <w:pStyle w:val="13"/>
        <w:spacing w:line="500" w:lineRule="exact"/>
        <w:jc w:val="both"/>
        <w:rPr>
          <w:rFonts w:hint="default" w:ascii="Times New Roman" w:hAnsi="Times New Roman" w:cs="Times New Roman"/>
          <w:b/>
          <w:sz w:val="36"/>
          <w:szCs w:val="28"/>
        </w:rPr>
      </w:pPr>
    </w:p>
    <w:p>
      <w:pPr>
        <w:pStyle w:val="13"/>
        <w:spacing w:line="500" w:lineRule="exact"/>
        <w:jc w:val="center"/>
        <w:rPr>
          <w:rFonts w:hint="default" w:ascii="Times New Roman" w:hAnsi="Times New Roman" w:cs="Times New Roman"/>
          <w:b/>
          <w:sz w:val="36"/>
          <w:szCs w:val="28"/>
        </w:rPr>
      </w:pPr>
      <w:r>
        <w:rPr>
          <w:rFonts w:hint="default" w:ascii="Times New Roman" w:hAnsi="Times New Roman" w:cs="Times New Roman"/>
          <w:b/>
          <w:sz w:val="36"/>
          <w:szCs w:val="28"/>
        </w:rPr>
        <w:t>目录</w:t>
      </w:r>
    </w:p>
    <w:p>
      <w:pPr>
        <w:pStyle w:val="13"/>
        <w:spacing w:line="50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第一部分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岳阳市政协机关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概况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一、部门职责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二、机构设置</w:t>
      </w:r>
    </w:p>
    <w:p>
      <w:pPr>
        <w:pStyle w:val="13"/>
        <w:spacing w:line="50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第二部分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部门决算表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一、收入支出决算总表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二、收入决算表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三、支出决算表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四、财政拨款收入支出决算总表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五、一般公共预算财政拨款支出决算表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六、一般公共预算财政拨款基本支出决算明细表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七、政府性基金预算财政拨款收入支出决算表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八、国有资本经营预算财政拨款支出决算表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九、财政拨款“三公”经费支出决算表</w:t>
      </w:r>
    </w:p>
    <w:p>
      <w:pPr>
        <w:pStyle w:val="13"/>
        <w:spacing w:line="50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第三部分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部门决算情况说明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八、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国有资本经营预算财政拨款支出决算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十二、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3"/>
        <w:spacing w:line="500" w:lineRule="exact"/>
        <w:ind w:firstLine="700" w:firstLine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关于202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绩效情况的说明</w:t>
      </w:r>
    </w:p>
    <w:p>
      <w:pPr>
        <w:pStyle w:val="13"/>
        <w:spacing w:line="50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第四部分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名词解释</w:t>
      </w:r>
    </w:p>
    <w:p>
      <w:pPr>
        <w:pStyle w:val="13"/>
        <w:spacing w:line="50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第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部分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附件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</w:rPr>
        <w:t xml:space="preserve">第一部分 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  <w:t>岳阳市政协机关</w:t>
      </w:r>
      <w:r>
        <w:rPr>
          <w:rFonts w:hint="default" w:ascii="Times New Roman" w:hAnsi="Times New Roman" w:eastAsia="方正小标宋_GBK" w:cs="Times New Roman"/>
          <w:sz w:val="84"/>
          <w:szCs w:val="84"/>
        </w:rPr>
        <w:t>概况</w:t>
      </w:r>
    </w:p>
    <w:p>
      <w:pPr>
        <w:pStyle w:val="7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4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7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4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4"/>
        <w:numPr>
          <w:ilvl w:val="0"/>
          <w:numId w:val="0"/>
        </w:numPr>
        <w:ind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部门职责</w:t>
      </w:r>
    </w:p>
    <w:p>
      <w:pPr>
        <w:pStyle w:val="8"/>
        <w:widowControl/>
        <w:spacing w:before="0" w:beforeLines="0" w:after="0" w:afterLines="0" w:line="645" w:lineRule="atLeast"/>
        <w:ind w:firstLine="645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（一）负责组织实施政协章程规定的任务和全国政协、湖南省政协所作的决议，履行政治协商、民主监督和参政议政的职能。</w:t>
      </w:r>
    </w:p>
    <w:p>
      <w:pPr>
        <w:pStyle w:val="8"/>
        <w:widowControl/>
        <w:spacing w:before="0" w:beforeLines="0" w:after="0" w:afterLines="0" w:line="645" w:lineRule="atLeast"/>
        <w:ind w:firstLine="645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（二）负责市政协全体委员会议、常务委员会议、主席会议、专题议政性常委会议的会务工作。组织实施市政协全体委员会议、常务委员会议、主席会议的决议、决定。</w:t>
      </w:r>
    </w:p>
    <w:p>
      <w:pPr>
        <w:pStyle w:val="8"/>
        <w:widowControl/>
        <w:spacing w:before="0" w:beforeLines="0" w:after="0" w:afterLines="0" w:line="645" w:lineRule="atLeast"/>
        <w:ind w:firstLine="645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（三）负责会同市委办、市政府办制订年度调研协商监督计划。</w:t>
      </w:r>
    </w:p>
    <w:p>
      <w:pPr>
        <w:pStyle w:val="8"/>
        <w:widowControl/>
        <w:spacing w:before="0" w:beforeLines="0" w:after="0" w:afterLines="0" w:line="645" w:lineRule="atLeast"/>
        <w:ind w:firstLine="645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（四）整理、报送政协组织和委员履行职能形成的调研报告、视察报告、大会发言、建议案；收集反映社情民意，处理政协委员和人民群众的来信来访。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      （五）研究统一战线和人民政协的理论、政策，提出人民政协履行职能的工作建议，总结地方政协的工作经验；协调和组织市政协的对内对外宣传工作。</w:t>
      </w:r>
    </w:p>
    <w:p>
      <w:pPr>
        <w:pStyle w:val="8"/>
        <w:widowControl/>
        <w:spacing w:before="0" w:beforeLines="0" w:after="0" w:afterLines="0" w:line="645" w:lineRule="atLeast"/>
        <w:ind w:firstLine="48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（六）负责委员视察、调查、评议、参观、学习、座谈、研讨等活动的具体组织和服务工作。</w:t>
      </w:r>
    </w:p>
    <w:p>
      <w:pPr>
        <w:pStyle w:val="8"/>
        <w:widowControl/>
        <w:spacing w:before="0" w:beforeLines="0" w:after="0" w:afterLines="0" w:line="645" w:lineRule="atLeast"/>
        <w:ind w:firstLine="48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 （七）密切与市委、市政府有关部门和县(市、区)政协的工作联系；负责联络各民主党派市委、市工商联、市知联会。</w:t>
      </w:r>
    </w:p>
    <w:p>
      <w:pPr>
        <w:pStyle w:val="8"/>
        <w:widowControl/>
        <w:spacing w:before="0" w:beforeLines="0" w:after="0" w:afterLines="0" w:line="645" w:lineRule="atLeast"/>
        <w:ind w:firstLine="48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（八）负责市政协机关的机构编制、人事管理和机关事务管理工作。</w:t>
      </w:r>
    </w:p>
    <w:p>
      <w:pPr>
        <w:pStyle w:val="8"/>
        <w:widowControl/>
        <w:spacing w:before="0" w:beforeLines="0" w:after="0" w:afterLines="0" w:line="645" w:lineRule="atLeast"/>
        <w:ind w:firstLine="4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（九）承办市政协全体委员会议、常务委员会议、主席会议交办的其它事项。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一）内设机构设置。岳阳市政协机关内设机构包括：办公室、研究室、委员学习联络委员会、提案委员会、经济科技和外事委员会、农业和农村委员会、人口资源环境委员会、文化教育卫生体育和文史委员会、社会法制和民族宗教委员会等9个正处级单位。办公室内设6个职能科室，分别为办公室秘书科、财务科、政工科、法制信访科、课题预研科、宣传信息科。研究室内设综合科，提案委员会下设综合科、提案督办科，其他6个专门工作委员会各分别内设综合科。机关党委、机关纪委、机关工会、离退休人员管理服务科按有关章程和规定设置。机关下设办公室新闻宣传中心和政协委员服务中心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（二）决算单位构成。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单位202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年部门决算汇总公开单位构成包括：岳阳市政协机关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本级。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</w:rPr>
        <w:t>第二部分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sz w:val="84"/>
          <w:szCs w:val="84"/>
        </w:rPr>
        <w:t>部门决算表</w:t>
      </w: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仿宋_GB2312" w:cs="Times New Roman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72"/>
          <w:szCs w:val="72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第三部分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  <w:r>
        <w:rPr>
          <w:rFonts w:hint="default" w:ascii="Times New Roman" w:hAnsi="Times New Roman" w:eastAsia="方正小标宋_GBK" w:cs="Times New Roman"/>
          <w:sz w:val="70"/>
          <w:szCs w:val="70"/>
        </w:rPr>
        <w:t>202</w:t>
      </w:r>
      <w:r>
        <w:rPr>
          <w:rFonts w:hint="default" w:ascii="Times New Roman" w:hAnsi="Times New Roman" w:eastAsia="方正小标宋_GBK" w:cs="Times New Roman"/>
          <w:sz w:val="70"/>
          <w:szCs w:val="7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70"/>
          <w:szCs w:val="70"/>
        </w:rPr>
        <w:t>年度部门决算情况说明</w:t>
      </w: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决算编制时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至“金额单位：元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”，而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本套部门决算文字说明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和公开表格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转换为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金额单位：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万元”，可能导致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以下文字说明中的各项数据取数以及公开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中的各项数据取数之间存在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0.01的尾数差异。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完成年初预算的XX%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年度收、支总计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2960.66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万元。与上年相比，减少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312.79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2023年抚恤金比2022年抚恤金少50万元，二是2023年医保铺底在2024年初支付，三是2022年支付智慧政协项目尾款。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二、收入决算情况说明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年度收入合计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2957.91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99.93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%；上级补助收入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%；事业收入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%；经营收入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%；附属单位上缴收入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%；其他收入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年度支出合计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2960.66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2164.26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796.4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%；上缴上级支出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%；经营支出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%；对附属单位补助支出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四、财政拨款收入支出决算总体情况说明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年度财政拨款收、支总计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万元，与上年相比，减少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131.91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2023年抚恤金比2022年抚恤金少50万元，二是2023年医保铺底在2024年初支付。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%，与上年相比，财政拨款支出减少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131.91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2023年抚恤金比2022年抚恤金少50万元，二是2023年医保铺底在2024年初支付。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万元，主要用于以下方面：一般公共服务（类）支出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2580.21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87.29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%；文化旅游体育与传媒支出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91.05万元，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%；社会保障和就业支出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140.9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%;卫生健康支出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%；住房保障支出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92.13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年度财政拨款支出年初预算数为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2236.07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万元，支出决算数为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132.19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1.一般公共服务（类）政协事务（款）行政运行（项）。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年初预算为1297.74万元，支出决算为1712.44万元，完成年初预算的131.96%。决算数大于预算数的主要原因：财政追加拨付了人员经费等。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2.一般公共服务（类）政协事务（款）一般行政管理事务（项）。年初预算为92万元，支出决算为162万元，完成年初预算的176.09%。决算数大于预算数的主要原因：年中追加专项经费等。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3.一般公共服务（类）政协事务（款）机关服务（项）。年初预算为168万元，支出决算为168万元，完成年初预算的100%。预算数等于决算数的主要原因是预算拨付数全额支付且无追加。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4.一般公共服务（类）政协事务（款）政协会议（项）。年初预算为219万元，支出决算为219万元，完成年初预算的100%。预算数等于决算数的主要原因是预算拨付数全额支付且无追加。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5.一般公共服务（类）政协事务（款）委员视察（项）。年初预算为147.8万元，支出决算为156.35万元，完成年初预算的105.78%。年中追加省政协委员调研经费。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6.一般公共服务（类）政协事务（款）其他政协事务支出（项）。年初预算为0万元，支出决算为162.42万元。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由于预算数为0，无法计算百分比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。决算数大于预算数的主要原因：追加了运行经费等。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社会保障和就业（类）行政事业单位养老（款）机关事业单位基本养老保险缴费支出（项）。年初预算为97.85万元，支出决算为97.85万元，完成年初预算的100%。预算数等于决算数的主要原因是预算拨付数全额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8.社会保障和就业（类）抚恤（款）其他优抚支出（项）。年初预算为0万元，支出决算为40.72万元，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由于预算数为0，无法计算百分比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决算数大于预算数的主要原因：年中通过追加增加了财政拨款。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9.社会保障和就业（类）其他社会保障和就业（款）其他社会保障和就业（项）。年初预算为0万元，支出决算为2.4万元。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由于预算数为0，无法计算百分比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。决算数大于预算数的主要原因：年中通过追加增加了财政拨款。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卫生健康支出（类）行政事业单位医疗（款）行政单位医疗（项）。年初预算为99.77万元，支出决算为51.47万元，完成年初预算的5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.59%。决算数小于预算数的主要原因是医疗补助在2024年支付。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11.文化旅游体育与传媒支出（类）文化和旅游（款）其他文化和旅游支出（项）。年初预算为0万元，支出决算为91.05万元，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由于预算数为0，无法计算百分比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。决算数大于预算数的主要原因：年中通过追加增加了财政拨款预算。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12.卫生健康（类）行政事业单位医疗（款）公务员医疗补助（项）。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年初预算为21.78万元，支出决算为0万元，完成年初预算的0%，决算数小于年初预算数的主要原因是：公务员医疗补助由财政代缴。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13.住房保障（类）住房改革支出（款）住房公积金（项）。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年初预算为92.13万元，支出决算为92.13万元，完成年初预算的100%，预算数等于决算数的主要原因是预算拨付数全额支付。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年度财政拨款基本支出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2159.44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1758.87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%,主要包括基本工资、津贴补贴、奖金、绩效工资、机关事业单位基本养老保障缴费、职业年金缴费、职工基本医疗保险缴费、公务员医疗保险缴费、其他社会保障缴费、住房公 积金、离休费、退休费、抚恤金、生活补助、医疗费补助、奖励金、其他对个人和家庭的补助等。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400.57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包括办公费、印刷费、水费、电费、邮电费、物业管理费、差旅费、维修（护）费、会议费、公务接待费、劳务费、工会经费、福利费、公务用车运行维护费、其他交通费用、其他商品和服务支出、办公设备购置、公务用车购置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七、政府性基金预算收入支出决算情况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年度政府性基金预算财政拨款收入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万元；年初结转和结余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万元；年末结转和结余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2023年度国有资本经营预算财政拨款收入0万元；年初结转和结余0万；支出0万元；年末结转和结余0万元。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财政拨款三公经费支出决算情况说明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公”经费财政拨款支出预算为95万元，支出决算为44.59万元，完成预算的46.94%，决算数小于预算数的主要原因是严格执行相关规定，贯彻落实过“紧日子”的要求，与上年相比减少32.13万元，减少41.88%,减少的主要原因是2022年购置了公务用车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因公出国（境）费支出预算为10万元，支出决算为0万元，完成预算的0%，决算数小于预算数的主要原因是未安排因公出国（境）活动，与上年相比持平，主要原因是未安排因公出国（境）活动。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务接待费支出预算为20万元，支出决算为5.55万元，完成预算的27.75%，决算数小于预算数的主要原因严格执行相关规定，贯彻落实过“紧日子”的要求，从严控制公务接待管理，与上年相比增加0.7万元，增长14.43%,增长的主要原因是去年受新冠疫情影响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公务用车购置费支出预算为0万元，支出决算为0万元，决算数等于预算数，主要原因是我单位严格按预算执行决算；与上年相比减少19.57万元，减少的主要原因是去年购置了一台公务用车。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公务用车运行维护费支出预算为65万元，支出决算为39.04万元，完成预算的60.06%，决算数小于预算数的主要原因是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严格控制三公经费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，与上年相比减少13.26万元，减少25.35%,减少的主要原因一是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厉行节约，严格控制三公经费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2023年最后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一个月的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公务用车运行维护费支出在2024年才支付。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2023年度“三公”经费财政拨款支出决算中，公务接待费支出决算5.55万元，占12.45%,因公出国（境）费支出决算0万元，占0%,公务用车购置费及运行维护费支出决算39.04万元，占87.55%。其中：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b/>
          <w:bCs/>
          <w:i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1、因公出国（境）费支出决算为0万元，全年安排因公出国（境）团组0个，累计0人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我单位2023年度无因公出国（境）费支出。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2、公务接待费支出决算为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万元，全年共接待来访团组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</w:rPr>
        <w:t>接待外省市政协、县市区政协、及有关单位来访交流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发生的接待支出。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3、公务用车购置费及运行维护费支出决算为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万元，其中：公务用车购置费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当年没有购置公务用车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。公务用车运行维护费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万元，主要是公务用车燃料费、维修维护费、过路过桥费等支出，截止202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年12月31日，我单位开支财政拨款的公务用车保有量为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、关于机关运行经费支出说明</w:t>
      </w:r>
    </w:p>
    <w:p>
      <w:pPr>
        <w:pStyle w:val="1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年度机关运行经费支出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400.57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万元，比年初预算数增加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92.54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%。主要原因是：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年初预算安排不足。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、一般性支出情况说明</w:t>
      </w:r>
    </w:p>
    <w:p>
      <w:pPr>
        <w:pStyle w:val="1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年度，会议费年初预算219万元，支出决算为278.12万元，完成年初预算的127%。用于召开1次政协全体会议，人数850余人，1次洞庭湖生态经济区（四市一区）政协主席联席会议，人数200余人，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次政协常务委员会议人数770余人，界别协商会、政协工作会议等。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培训费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年初预算3万元，支出决算为46.03万元，完成年初预算的1534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%。用于开展全市政协系统领导干部综合能力提升培训班培训，人数58人，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干部党校培训等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本单位无举办节庆、晚会、论坛、赛事等活动的预算和支出决算数。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、关于政府采购支出说明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年度政府采购支出总额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603.82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万元，其中：政府采购货物支出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84.98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万元、政府采购工程支出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万元、政府采购服务支出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486.72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万元。授予中小企业合同金额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603.82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万元，占政府采购支出总额的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%，其中：授予小微企业合同金额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187.18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授予中小企业合同金额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%。货物采购授予中小企业合同金额占货物支出金额的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%，工程采购授予中小企业合同金额占工程支出金额的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%，服务采购授予中小企业合同金额占服务支出金额的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年12月31日，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共有车辆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辆，其中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实物保障用车1辆，机要通信用车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辆、应急保障用车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辆、执法执勤用车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辆、特种专业技术用车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辆、其他用车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台（套）；单位价值100万元以上专用设备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台（套）。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、关于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年度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绩效情况的说明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2955.84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万元，政府性基金预算支出0万元，国有资本经营预算支出0万元。从评价情况来看，整体支出绩效评价中，2023年整体支出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2960.66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万元，其中：基本支出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2164.26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796.4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万元，本单位整体支出绩效自评综合评分99分，评价结果等次为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组织对一般公共预算项目支出全面开展绩效自评，项目4个，共涉及资金626.8万元，占一般公共预算项目支出总额的78.7%。组织对政府性基金预算项目支出开展绩效自评，项目0个，共涉及资金0 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无法计算百分比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组织对国有资本经营预算项目支出开展绩效自评，项目0个，共涉及资金0万元，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无法计算百分比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。从评价情况来看，项目绩效自评得分99分，评价结果等次为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部门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（单位）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根据年初设定的绩效目标，绩效自评得分为99 分。全年预算数为2236.07 万元，执行数为2960.66 万元，完成预算的132.4%。绩效目标完成情况：一是始终把党的领导作为最根本的保证，在加强学习教育中夯实思想基础。坚持把思想政治建设摆在首位，加强党的领导，强化政治学习，确保政协事业朝着正确的方向笃定前行。二是始终把助推发展作为最首要的任务，在推进协商民主中展现履职风采。坚持围绕中心服务大局，把握“党政所需、群众所盼、政协所能”，不深度调研不建言不提案，高质量完成协商课题21个，形成调研报告和建议案近30万字，协商中提出的29条意见建议被市委全会决议和市政府工作报告予以采用，省委常委、市委书记谢卫江在市政协机关走访调研时给予充分肯定。三是始终把团结奋斗作为最鲜明的底色，在加强协商协作中凝聚发展共识。认真落实“三个重要”⑦要求，充分发挥好专门协商机构作用，努力协调各方关系、化解各类矛盾，为岳阳高质量发展最广泛凝聚人心、汇聚力量。四是始终把自身建设作为最永恒的课题，在从严从实管理中激发内生活力。自身建设永远在路上。坚持持续转作风、提能力、强队伍，为政协事业高质量发展打下坚实基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存在的问题及原因分析。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预算编制的精确性有待进一步提高，存在追加经费现象。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下一步改进措施：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加强预算编制的基础工作，遵循预算管理办法，根据现在过紧日子的实际情况并结合以前年度支出情况，综合考虑相关因素，申报年初预算，提高单位预算编制精确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5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</w:pP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72"/>
          <w:szCs w:val="72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第四部分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70"/>
          <w:szCs w:val="70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70"/>
          <w:szCs w:val="70"/>
        </w:rPr>
        <w:t>名词解释</w:t>
      </w: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二、机关运行经费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，包括办公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13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第</w:t>
      </w: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sz w:val="72"/>
          <w:szCs w:val="72"/>
        </w:rPr>
        <w:t>部分</w:t>
      </w:r>
    </w:p>
    <w:p>
      <w:pPr>
        <w:pStyle w:val="13"/>
        <w:jc w:val="both"/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</w:pPr>
    </w:p>
    <w:p>
      <w:pPr>
        <w:pStyle w:val="13"/>
        <w:jc w:val="center"/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</w:pPr>
      <w:r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  <w:t>附</w:t>
      </w:r>
      <w:r>
        <w:rPr>
          <w:rFonts w:hint="default" w:ascii="Times New Roman" w:hAnsi="Times New Roman" w:eastAsia="方正小标宋_GBK" w:cs="Times New Roman"/>
          <w:sz w:val="70"/>
          <w:szCs w:val="7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A7D2"/>
    <w:multiLevelType w:val="singleLevel"/>
    <w:tmpl w:val="1DE1A7D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8D23DE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700F5"/>
    <w:rsid w:val="00E8683C"/>
    <w:rsid w:val="00EA2B72"/>
    <w:rsid w:val="00F74360"/>
    <w:rsid w:val="00FB462F"/>
    <w:rsid w:val="00FE16FA"/>
    <w:rsid w:val="00FE328A"/>
    <w:rsid w:val="00FE6269"/>
    <w:rsid w:val="00FF5CD6"/>
    <w:rsid w:val="0100516B"/>
    <w:rsid w:val="012970F5"/>
    <w:rsid w:val="01474A6D"/>
    <w:rsid w:val="01481919"/>
    <w:rsid w:val="014B419B"/>
    <w:rsid w:val="01845707"/>
    <w:rsid w:val="01D6539A"/>
    <w:rsid w:val="0235510D"/>
    <w:rsid w:val="023A584B"/>
    <w:rsid w:val="024506C6"/>
    <w:rsid w:val="028C5716"/>
    <w:rsid w:val="02B15A65"/>
    <w:rsid w:val="02CD5986"/>
    <w:rsid w:val="02DF6F84"/>
    <w:rsid w:val="02F173F3"/>
    <w:rsid w:val="032B4E3D"/>
    <w:rsid w:val="039220AA"/>
    <w:rsid w:val="03AE2B74"/>
    <w:rsid w:val="03B475C5"/>
    <w:rsid w:val="03B729A6"/>
    <w:rsid w:val="03BE5EC4"/>
    <w:rsid w:val="04196C07"/>
    <w:rsid w:val="047E410D"/>
    <w:rsid w:val="04873CA0"/>
    <w:rsid w:val="04A45D3F"/>
    <w:rsid w:val="04A87610"/>
    <w:rsid w:val="04C7686E"/>
    <w:rsid w:val="04FF7CF3"/>
    <w:rsid w:val="05386631"/>
    <w:rsid w:val="059958AD"/>
    <w:rsid w:val="05F070A8"/>
    <w:rsid w:val="068D3F39"/>
    <w:rsid w:val="06D17BB0"/>
    <w:rsid w:val="06E9438A"/>
    <w:rsid w:val="074C4858"/>
    <w:rsid w:val="080E3122"/>
    <w:rsid w:val="08644F06"/>
    <w:rsid w:val="0876074D"/>
    <w:rsid w:val="088A2371"/>
    <w:rsid w:val="08F701D3"/>
    <w:rsid w:val="096B44EA"/>
    <w:rsid w:val="09B43D42"/>
    <w:rsid w:val="09C177CB"/>
    <w:rsid w:val="09DA2B12"/>
    <w:rsid w:val="09E676B1"/>
    <w:rsid w:val="0A707450"/>
    <w:rsid w:val="0AA41BCC"/>
    <w:rsid w:val="0AA94305"/>
    <w:rsid w:val="0B0E5A69"/>
    <w:rsid w:val="0B30399B"/>
    <w:rsid w:val="0B6C661C"/>
    <w:rsid w:val="0B760E10"/>
    <w:rsid w:val="0B8B162C"/>
    <w:rsid w:val="0BD966C0"/>
    <w:rsid w:val="0C2B5116"/>
    <w:rsid w:val="0C6B478E"/>
    <w:rsid w:val="0C7D2F6F"/>
    <w:rsid w:val="0C8D5225"/>
    <w:rsid w:val="0CB01F00"/>
    <w:rsid w:val="0D270186"/>
    <w:rsid w:val="0D326FA9"/>
    <w:rsid w:val="0D7801EA"/>
    <w:rsid w:val="0D8631FE"/>
    <w:rsid w:val="0DC95B25"/>
    <w:rsid w:val="0E054FA0"/>
    <w:rsid w:val="0E0736B8"/>
    <w:rsid w:val="0E156BA3"/>
    <w:rsid w:val="0E366473"/>
    <w:rsid w:val="0E444BBA"/>
    <w:rsid w:val="0E4B0B90"/>
    <w:rsid w:val="0E696EB6"/>
    <w:rsid w:val="0E75483B"/>
    <w:rsid w:val="0EE03804"/>
    <w:rsid w:val="0F0138F9"/>
    <w:rsid w:val="0F1E5285"/>
    <w:rsid w:val="0F63787B"/>
    <w:rsid w:val="0F640B04"/>
    <w:rsid w:val="0F76742B"/>
    <w:rsid w:val="0F9318A1"/>
    <w:rsid w:val="0FEC79FC"/>
    <w:rsid w:val="0FED1C8F"/>
    <w:rsid w:val="0FFE1D5D"/>
    <w:rsid w:val="0FFF2E82"/>
    <w:rsid w:val="101F3C10"/>
    <w:rsid w:val="10E51EDD"/>
    <w:rsid w:val="112443C8"/>
    <w:rsid w:val="11432C04"/>
    <w:rsid w:val="11895179"/>
    <w:rsid w:val="120F5D5C"/>
    <w:rsid w:val="12520616"/>
    <w:rsid w:val="12583BA5"/>
    <w:rsid w:val="12D2309A"/>
    <w:rsid w:val="12F012F0"/>
    <w:rsid w:val="13443D94"/>
    <w:rsid w:val="13461BCC"/>
    <w:rsid w:val="13BA5B9C"/>
    <w:rsid w:val="13BA680A"/>
    <w:rsid w:val="14563ED9"/>
    <w:rsid w:val="14745387"/>
    <w:rsid w:val="14CA2F0F"/>
    <w:rsid w:val="154C106D"/>
    <w:rsid w:val="155D2504"/>
    <w:rsid w:val="156B353D"/>
    <w:rsid w:val="15E65579"/>
    <w:rsid w:val="1602370D"/>
    <w:rsid w:val="161070E8"/>
    <w:rsid w:val="161D35AD"/>
    <w:rsid w:val="161E1F5F"/>
    <w:rsid w:val="16FE18FD"/>
    <w:rsid w:val="17391F4F"/>
    <w:rsid w:val="17B679C2"/>
    <w:rsid w:val="17CE6250"/>
    <w:rsid w:val="17D75A41"/>
    <w:rsid w:val="183E6DFA"/>
    <w:rsid w:val="184725DA"/>
    <w:rsid w:val="185C1AC3"/>
    <w:rsid w:val="195B2557"/>
    <w:rsid w:val="19766FB3"/>
    <w:rsid w:val="19F80DDF"/>
    <w:rsid w:val="19FD6F75"/>
    <w:rsid w:val="1A59468D"/>
    <w:rsid w:val="1AB6459E"/>
    <w:rsid w:val="1AB9438A"/>
    <w:rsid w:val="1ACA4F4F"/>
    <w:rsid w:val="1B036326"/>
    <w:rsid w:val="1B3A582C"/>
    <w:rsid w:val="1C21133F"/>
    <w:rsid w:val="1C232420"/>
    <w:rsid w:val="1C37485D"/>
    <w:rsid w:val="1C744C83"/>
    <w:rsid w:val="1C9B2898"/>
    <w:rsid w:val="1C9F1815"/>
    <w:rsid w:val="1CC4127A"/>
    <w:rsid w:val="1CED0BB7"/>
    <w:rsid w:val="1D031ECB"/>
    <w:rsid w:val="1D4C537A"/>
    <w:rsid w:val="1D533C61"/>
    <w:rsid w:val="1D97DEFF"/>
    <w:rsid w:val="1DFF72E5"/>
    <w:rsid w:val="1E3A4E02"/>
    <w:rsid w:val="1E610235"/>
    <w:rsid w:val="1E6B7835"/>
    <w:rsid w:val="1E743137"/>
    <w:rsid w:val="1E94085C"/>
    <w:rsid w:val="1EAE4594"/>
    <w:rsid w:val="1EC6437A"/>
    <w:rsid w:val="1ECE79C2"/>
    <w:rsid w:val="1EEB59F3"/>
    <w:rsid w:val="1EFC6F07"/>
    <w:rsid w:val="1F4A0FAB"/>
    <w:rsid w:val="1F544CF6"/>
    <w:rsid w:val="1F6C6DC4"/>
    <w:rsid w:val="1FCF4545"/>
    <w:rsid w:val="1FD92687"/>
    <w:rsid w:val="2006312E"/>
    <w:rsid w:val="203D774C"/>
    <w:rsid w:val="20555BF7"/>
    <w:rsid w:val="20742018"/>
    <w:rsid w:val="20B55365"/>
    <w:rsid w:val="20CD2BF6"/>
    <w:rsid w:val="21D93E83"/>
    <w:rsid w:val="22796684"/>
    <w:rsid w:val="22A93724"/>
    <w:rsid w:val="22AC03C2"/>
    <w:rsid w:val="22FB5B36"/>
    <w:rsid w:val="22FE269C"/>
    <w:rsid w:val="233F3442"/>
    <w:rsid w:val="236720A5"/>
    <w:rsid w:val="23745873"/>
    <w:rsid w:val="24194434"/>
    <w:rsid w:val="242C62C5"/>
    <w:rsid w:val="246C52C1"/>
    <w:rsid w:val="247C38EB"/>
    <w:rsid w:val="2490389D"/>
    <w:rsid w:val="24AE525E"/>
    <w:rsid w:val="24B27213"/>
    <w:rsid w:val="24DB5F6D"/>
    <w:rsid w:val="24EC0A05"/>
    <w:rsid w:val="24EE2B5C"/>
    <w:rsid w:val="24F809DE"/>
    <w:rsid w:val="25051E7A"/>
    <w:rsid w:val="251F3444"/>
    <w:rsid w:val="25410255"/>
    <w:rsid w:val="25BA6A70"/>
    <w:rsid w:val="25F53D04"/>
    <w:rsid w:val="25F843BA"/>
    <w:rsid w:val="262307DB"/>
    <w:rsid w:val="262A517E"/>
    <w:rsid w:val="262D7ED5"/>
    <w:rsid w:val="264E5A77"/>
    <w:rsid w:val="26AE70FA"/>
    <w:rsid w:val="26B61C27"/>
    <w:rsid w:val="26DE698B"/>
    <w:rsid w:val="27A80286"/>
    <w:rsid w:val="27DD1814"/>
    <w:rsid w:val="27F9714B"/>
    <w:rsid w:val="281A577F"/>
    <w:rsid w:val="28207CDC"/>
    <w:rsid w:val="28554E6F"/>
    <w:rsid w:val="28A4690B"/>
    <w:rsid w:val="28B02B25"/>
    <w:rsid w:val="293134EC"/>
    <w:rsid w:val="294B46B0"/>
    <w:rsid w:val="294E262F"/>
    <w:rsid w:val="295842BA"/>
    <w:rsid w:val="297A2F73"/>
    <w:rsid w:val="29AD5198"/>
    <w:rsid w:val="2A7A5159"/>
    <w:rsid w:val="2A9B4C02"/>
    <w:rsid w:val="2B423746"/>
    <w:rsid w:val="2B494125"/>
    <w:rsid w:val="2B5B3F80"/>
    <w:rsid w:val="2B8231C8"/>
    <w:rsid w:val="2B9A7B44"/>
    <w:rsid w:val="2BB85A46"/>
    <w:rsid w:val="2BE11DCA"/>
    <w:rsid w:val="2BE40D46"/>
    <w:rsid w:val="2BEF6832"/>
    <w:rsid w:val="2C0270C7"/>
    <w:rsid w:val="2C0B3FC3"/>
    <w:rsid w:val="2C701A1D"/>
    <w:rsid w:val="2C8912D4"/>
    <w:rsid w:val="2CB13958"/>
    <w:rsid w:val="2CB94B23"/>
    <w:rsid w:val="2CD24D62"/>
    <w:rsid w:val="2CE508B0"/>
    <w:rsid w:val="2CEA4295"/>
    <w:rsid w:val="2D402EA2"/>
    <w:rsid w:val="2D6B64F1"/>
    <w:rsid w:val="2E130845"/>
    <w:rsid w:val="2E4234D7"/>
    <w:rsid w:val="2E8B2C6A"/>
    <w:rsid w:val="2EB24C40"/>
    <w:rsid w:val="2EB30D6F"/>
    <w:rsid w:val="2EF22F73"/>
    <w:rsid w:val="2FAE02B3"/>
    <w:rsid w:val="2FDF85B8"/>
    <w:rsid w:val="2FFB7E03"/>
    <w:rsid w:val="2FFFEE04"/>
    <w:rsid w:val="300E055B"/>
    <w:rsid w:val="30252AFE"/>
    <w:rsid w:val="30253454"/>
    <w:rsid w:val="304D6617"/>
    <w:rsid w:val="30854BA9"/>
    <w:rsid w:val="312B4010"/>
    <w:rsid w:val="314E51A4"/>
    <w:rsid w:val="3158270F"/>
    <w:rsid w:val="31A76DFB"/>
    <w:rsid w:val="31C23F14"/>
    <w:rsid w:val="31C95635"/>
    <w:rsid w:val="31DB1E08"/>
    <w:rsid w:val="31F14E9D"/>
    <w:rsid w:val="324C719C"/>
    <w:rsid w:val="326E0EDE"/>
    <w:rsid w:val="32872A6F"/>
    <w:rsid w:val="329C0825"/>
    <w:rsid w:val="32A047C2"/>
    <w:rsid w:val="32A42E93"/>
    <w:rsid w:val="32D2777D"/>
    <w:rsid w:val="32F627E3"/>
    <w:rsid w:val="3335686D"/>
    <w:rsid w:val="336135D7"/>
    <w:rsid w:val="33E25D4B"/>
    <w:rsid w:val="343835F4"/>
    <w:rsid w:val="3441312C"/>
    <w:rsid w:val="34C44B08"/>
    <w:rsid w:val="34C451A7"/>
    <w:rsid w:val="34D57258"/>
    <w:rsid w:val="34DF85B0"/>
    <w:rsid w:val="35097A66"/>
    <w:rsid w:val="356D4DD1"/>
    <w:rsid w:val="358A7687"/>
    <w:rsid w:val="35AB5DAA"/>
    <w:rsid w:val="35C52155"/>
    <w:rsid w:val="35E77E08"/>
    <w:rsid w:val="35F740A4"/>
    <w:rsid w:val="360D1657"/>
    <w:rsid w:val="36251340"/>
    <w:rsid w:val="36341B55"/>
    <w:rsid w:val="363920D1"/>
    <w:rsid w:val="363B6B7A"/>
    <w:rsid w:val="364645D9"/>
    <w:rsid w:val="366C15C8"/>
    <w:rsid w:val="37856BB0"/>
    <w:rsid w:val="3826627D"/>
    <w:rsid w:val="384A1970"/>
    <w:rsid w:val="38823ED8"/>
    <w:rsid w:val="3882782D"/>
    <w:rsid w:val="3889659B"/>
    <w:rsid w:val="38D033E3"/>
    <w:rsid w:val="38F169A3"/>
    <w:rsid w:val="39034FF1"/>
    <w:rsid w:val="390361AB"/>
    <w:rsid w:val="391929B8"/>
    <w:rsid w:val="391E5937"/>
    <w:rsid w:val="396F4781"/>
    <w:rsid w:val="398754B5"/>
    <w:rsid w:val="399260A8"/>
    <w:rsid w:val="39A1410B"/>
    <w:rsid w:val="3A252AED"/>
    <w:rsid w:val="3A5D49A8"/>
    <w:rsid w:val="3A6F1607"/>
    <w:rsid w:val="3AA46C25"/>
    <w:rsid w:val="3ADB4F84"/>
    <w:rsid w:val="3AF674E1"/>
    <w:rsid w:val="3B0D60B9"/>
    <w:rsid w:val="3B1C5B52"/>
    <w:rsid w:val="3B210FD4"/>
    <w:rsid w:val="3B6028AD"/>
    <w:rsid w:val="3B8F36BC"/>
    <w:rsid w:val="3B95765D"/>
    <w:rsid w:val="3BC74EB5"/>
    <w:rsid w:val="3BFB4949"/>
    <w:rsid w:val="3C0753EE"/>
    <w:rsid w:val="3CF37C95"/>
    <w:rsid w:val="3CF51A71"/>
    <w:rsid w:val="3D42078D"/>
    <w:rsid w:val="3D682886"/>
    <w:rsid w:val="3DE14C59"/>
    <w:rsid w:val="3DEC7E86"/>
    <w:rsid w:val="3E01386B"/>
    <w:rsid w:val="3E311682"/>
    <w:rsid w:val="3E426F25"/>
    <w:rsid w:val="3E570AD6"/>
    <w:rsid w:val="3E72078C"/>
    <w:rsid w:val="3E870BDD"/>
    <w:rsid w:val="3F3644A8"/>
    <w:rsid w:val="3F40641B"/>
    <w:rsid w:val="3F641465"/>
    <w:rsid w:val="3F8458C8"/>
    <w:rsid w:val="3FAC2494"/>
    <w:rsid w:val="3FC9392E"/>
    <w:rsid w:val="3FC96603"/>
    <w:rsid w:val="3FD067FE"/>
    <w:rsid w:val="400A3A9F"/>
    <w:rsid w:val="401218F1"/>
    <w:rsid w:val="405A5E91"/>
    <w:rsid w:val="409657D4"/>
    <w:rsid w:val="40C707D6"/>
    <w:rsid w:val="40D43811"/>
    <w:rsid w:val="40ED38B6"/>
    <w:rsid w:val="40ED59CD"/>
    <w:rsid w:val="415D305B"/>
    <w:rsid w:val="41AE0D01"/>
    <w:rsid w:val="41C84E9E"/>
    <w:rsid w:val="41CD1A70"/>
    <w:rsid w:val="41DE5EB7"/>
    <w:rsid w:val="421D6483"/>
    <w:rsid w:val="42391D82"/>
    <w:rsid w:val="429E5EF4"/>
    <w:rsid w:val="42A438D5"/>
    <w:rsid w:val="42A57AC5"/>
    <w:rsid w:val="42AC774A"/>
    <w:rsid w:val="42B45ED6"/>
    <w:rsid w:val="42CF7D5C"/>
    <w:rsid w:val="43314765"/>
    <w:rsid w:val="43423264"/>
    <w:rsid w:val="43D818A3"/>
    <w:rsid w:val="441D4F2C"/>
    <w:rsid w:val="44763239"/>
    <w:rsid w:val="44926FB3"/>
    <w:rsid w:val="449E0C64"/>
    <w:rsid w:val="44C62F9B"/>
    <w:rsid w:val="452D6026"/>
    <w:rsid w:val="45560928"/>
    <w:rsid w:val="4586636A"/>
    <w:rsid w:val="45E35131"/>
    <w:rsid w:val="45F14979"/>
    <w:rsid w:val="4639765D"/>
    <w:rsid w:val="465D6A7A"/>
    <w:rsid w:val="466C60C9"/>
    <w:rsid w:val="46C27828"/>
    <w:rsid w:val="46D658E2"/>
    <w:rsid w:val="47253D9E"/>
    <w:rsid w:val="472F541E"/>
    <w:rsid w:val="47A2560E"/>
    <w:rsid w:val="47A9617F"/>
    <w:rsid w:val="47BF1961"/>
    <w:rsid w:val="481213B0"/>
    <w:rsid w:val="48CA5516"/>
    <w:rsid w:val="491FF225"/>
    <w:rsid w:val="4A100110"/>
    <w:rsid w:val="4A245111"/>
    <w:rsid w:val="4A2E67F9"/>
    <w:rsid w:val="4ACA3E03"/>
    <w:rsid w:val="4B414A91"/>
    <w:rsid w:val="4B775B8E"/>
    <w:rsid w:val="4BEC6D8D"/>
    <w:rsid w:val="4C4536BA"/>
    <w:rsid w:val="4C7D6793"/>
    <w:rsid w:val="4C8271CE"/>
    <w:rsid w:val="4CA6128B"/>
    <w:rsid w:val="4CC84341"/>
    <w:rsid w:val="4CD96826"/>
    <w:rsid w:val="4CF85709"/>
    <w:rsid w:val="4D2A2406"/>
    <w:rsid w:val="4D32456E"/>
    <w:rsid w:val="4DBC7AD0"/>
    <w:rsid w:val="4DC82B0F"/>
    <w:rsid w:val="4DDA5818"/>
    <w:rsid w:val="4DF2439A"/>
    <w:rsid w:val="4DFD26D6"/>
    <w:rsid w:val="4E1A0921"/>
    <w:rsid w:val="4E433DF4"/>
    <w:rsid w:val="4E960B68"/>
    <w:rsid w:val="4EB657F5"/>
    <w:rsid w:val="4EF4379C"/>
    <w:rsid w:val="4EFA2E39"/>
    <w:rsid w:val="4EFE0221"/>
    <w:rsid w:val="4F0D2103"/>
    <w:rsid w:val="4F25785B"/>
    <w:rsid w:val="4F2B4296"/>
    <w:rsid w:val="4F2E382E"/>
    <w:rsid w:val="4F7B19B9"/>
    <w:rsid w:val="4F8D1F64"/>
    <w:rsid w:val="4F9B344E"/>
    <w:rsid w:val="4FFD214C"/>
    <w:rsid w:val="500A1145"/>
    <w:rsid w:val="502D31AE"/>
    <w:rsid w:val="504E472B"/>
    <w:rsid w:val="505E4EEC"/>
    <w:rsid w:val="50DC54F2"/>
    <w:rsid w:val="50EB0883"/>
    <w:rsid w:val="5119654A"/>
    <w:rsid w:val="512474CB"/>
    <w:rsid w:val="51616D7D"/>
    <w:rsid w:val="51686662"/>
    <w:rsid w:val="51811EF3"/>
    <w:rsid w:val="52586883"/>
    <w:rsid w:val="528A0FCD"/>
    <w:rsid w:val="52901F8D"/>
    <w:rsid w:val="52933A51"/>
    <w:rsid w:val="52CD16E0"/>
    <w:rsid w:val="52EC7A9C"/>
    <w:rsid w:val="52F85F91"/>
    <w:rsid w:val="531822DD"/>
    <w:rsid w:val="53355FD4"/>
    <w:rsid w:val="5352765A"/>
    <w:rsid w:val="53897ECD"/>
    <w:rsid w:val="538D016E"/>
    <w:rsid w:val="53B20354"/>
    <w:rsid w:val="53F25AA2"/>
    <w:rsid w:val="541B6E32"/>
    <w:rsid w:val="5422259D"/>
    <w:rsid w:val="54B36939"/>
    <w:rsid w:val="54C151E2"/>
    <w:rsid w:val="55217230"/>
    <w:rsid w:val="555A0994"/>
    <w:rsid w:val="55FA6754"/>
    <w:rsid w:val="561528CA"/>
    <w:rsid w:val="56227E7D"/>
    <w:rsid w:val="56697440"/>
    <w:rsid w:val="56936812"/>
    <w:rsid w:val="56BF4949"/>
    <w:rsid w:val="56CE5DE3"/>
    <w:rsid w:val="56D5096D"/>
    <w:rsid w:val="57611D27"/>
    <w:rsid w:val="576A5475"/>
    <w:rsid w:val="5777D4F5"/>
    <w:rsid w:val="57AB151B"/>
    <w:rsid w:val="57E80024"/>
    <w:rsid w:val="57F3556E"/>
    <w:rsid w:val="584B1314"/>
    <w:rsid w:val="58881E55"/>
    <w:rsid w:val="58B14BDB"/>
    <w:rsid w:val="5919275F"/>
    <w:rsid w:val="593377FF"/>
    <w:rsid w:val="5946474F"/>
    <w:rsid w:val="598F2728"/>
    <w:rsid w:val="59BA628F"/>
    <w:rsid w:val="59DD8326"/>
    <w:rsid w:val="5A6F73CB"/>
    <w:rsid w:val="5AAF5E80"/>
    <w:rsid w:val="5AB858A8"/>
    <w:rsid w:val="5B141D15"/>
    <w:rsid w:val="5B2A5C17"/>
    <w:rsid w:val="5B6C4DB5"/>
    <w:rsid w:val="5B8E604B"/>
    <w:rsid w:val="5B974F28"/>
    <w:rsid w:val="5BBC028C"/>
    <w:rsid w:val="5BD80B32"/>
    <w:rsid w:val="5C0F706F"/>
    <w:rsid w:val="5C176A01"/>
    <w:rsid w:val="5C1A0FF1"/>
    <w:rsid w:val="5C5B6CE3"/>
    <w:rsid w:val="5C5F4344"/>
    <w:rsid w:val="5C693FCF"/>
    <w:rsid w:val="5C8B7870"/>
    <w:rsid w:val="5CAC67B1"/>
    <w:rsid w:val="5CC14029"/>
    <w:rsid w:val="5CD425A4"/>
    <w:rsid w:val="5D134069"/>
    <w:rsid w:val="5D1468B1"/>
    <w:rsid w:val="5D186D22"/>
    <w:rsid w:val="5D301E6D"/>
    <w:rsid w:val="5D4A2472"/>
    <w:rsid w:val="5D63343D"/>
    <w:rsid w:val="5DCB7137"/>
    <w:rsid w:val="5DCF74BB"/>
    <w:rsid w:val="5DDA58BC"/>
    <w:rsid w:val="5DEF592A"/>
    <w:rsid w:val="5E174519"/>
    <w:rsid w:val="5E4403DE"/>
    <w:rsid w:val="5E621753"/>
    <w:rsid w:val="5E6D1DCD"/>
    <w:rsid w:val="5E7528DA"/>
    <w:rsid w:val="5E914E87"/>
    <w:rsid w:val="5EC47206"/>
    <w:rsid w:val="5ECE3A8D"/>
    <w:rsid w:val="5EEC3A23"/>
    <w:rsid w:val="5F0073E5"/>
    <w:rsid w:val="5F1441B9"/>
    <w:rsid w:val="5F4D11E8"/>
    <w:rsid w:val="5FC6BB1E"/>
    <w:rsid w:val="5FF162FE"/>
    <w:rsid w:val="5FF720F1"/>
    <w:rsid w:val="60071F12"/>
    <w:rsid w:val="6073059A"/>
    <w:rsid w:val="607B5843"/>
    <w:rsid w:val="6083296A"/>
    <w:rsid w:val="60D96A8A"/>
    <w:rsid w:val="61302264"/>
    <w:rsid w:val="61530346"/>
    <w:rsid w:val="617076B5"/>
    <w:rsid w:val="619E3C47"/>
    <w:rsid w:val="61BA63E5"/>
    <w:rsid w:val="61DF0A55"/>
    <w:rsid w:val="62337AB8"/>
    <w:rsid w:val="628E20ED"/>
    <w:rsid w:val="63551DEB"/>
    <w:rsid w:val="637241BB"/>
    <w:rsid w:val="637C0579"/>
    <w:rsid w:val="63C31189"/>
    <w:rsid w:val="63FB2DF2"/>
    <w:rsid w:val="64295E76"/>
    <w:rsid w:val="64AF13F1"/>
    <w:rsid w:val="64B179C6"/>
    <w:rsid w:val="64D42628"/>
    <w:rsid w:val="650F3CA3"/>
    <w:rsid w:val="65241CE6"/>
    <w:rsid w:val="653E1644"/>
    <w:rsid w:val="656B6A04"/>
    <w:rsid w:val="65FD1377"/>
    <w:rsid w:val="661D1424"/>
    <w:rsid w:val="662442C3"/>
    <w:rsid w:val="66415706"/>
    <w:rsid w:val="66433F58"/>
    <w:rsid w:val="664715CA"/>
    <w:rsid w:val="66B104FF"/>
    <w:rsid w:val="66C04221"/>
    <w:rsid w:val="66C64A3F"/>
    <w:rsid w:val="66DF248C"/>
    <w:rsid w:val="66E45A8C"/>
    <w:rsid w:val="67067996"/>
    <w:rsid w:val="672453C4"/>
    <w:rsid w:val="676A21A8"/>
    <w:rsid w:val="676D3BBE"/>
    <w:rsid w:val="6775448C"/>
    <w:rsid w:val="67895AF9"/>
    <w:rsid w:val="67A32ED5"/>
    <w:rsid w:val="67BB3A30"/>
    <w:rsid w:val="67DE55C1"/>
    <w:rsid w:val="67FF5C0B"/>
    <w:rsid w:val="683640ED"/>
    <w:rsid w:val="683F1C50"/>
    <w:rsid w:val="684E53AE"/>
    <w:rsid w:val="68517FC8"/>
    <w:rsid w:val="687D66EB"/>
    <w:rsid w:val="6890211D"/>
    <w:rsid w:val="68A25F6A"/>
    <w:rsid w:val="68AA6292"/>
    <w:rsid w:val="68B01813"/>
    <w:rsid w:val="68F723DD"/>
    <w:rsid w:val="6904618A"/>
    <w:rsid w:val="69433018"/>
    <w:rsid w:val="696F4423"/>
    <w:rsid w:val="698F1C59"/>
    <w:rsid w:val="69B27D65"/>
    <w:rsid w:val="69E63DE8"/>
    <w:rsid w:val="69F138EF"/>
    <w:rsid w:val="6A172C68"/>
    <w:rsid w:val="6A955E23"/>
    <w:rsid w:val="6AA7652F"/>
    <w:rsid w:val="6AEA3F82"/>
    <w:rsid w:val="6B045C0B"/>
    <w:rsid w:val="6B9F3B8A"/>
    <w:rsid w:val="6BAA4A2F"/>
    <w:rsid w:val="6BAE149F"/>
    <w:rsid w:val="6BB377CD"/>
    <w:rsid w:val="6BC262AB"/>
    <w:rsid w:val="6C050F2F"/>
    <w:rsid w:val="6C173A76"/>
    <w:rsid w:val="6C386B3D"/>
    <w:rsid w:val="6C3E61EC"/>
    <w:rsid w:val="6C56510A"/>
    <w:rsid w:val="6CB468A4"/>
    <w:rsid w:val="6CBB4EB3"/>
    <w:rsid w:val="6CD5429B"/>
    <w:rsid w:val="6CF62BDA"/>
    <w:rsid w:val="6D303C37"/>
    <w:rsid w:val="6D3078B4"/>
    <w:rsid w:val="6D464C3B"/>
    <w:rsid w:val="6DB80F1C"/>
    <w:rsid w:val="6DC67F6E"/>
    <w:rsid w:val="6DCB60E6"/>
    <w:rsid w:val="6E13538F"/>
    <w:rsid w:val="6E212806"/>
    <w:rsid w:val="6E311D26"/>
    <w:rsid w:val="6E3C1BFA"/>
    <w:rsid w:val="6E9A6FCA"/>
    <w:rsid w:val="6EFA65C1"/>
    <w:rsid w:val="6EFC0924"/>
    <w:rsid w:val="6F113252"/>
    <w:rsid w:val="6F194119"/>
    <w:rsid w:val="6F3B3C8B"/>
    <w:rsid w:val="6F434E63"/>
    <w:rsid w:val="6F8774CF"/>
    <w:rsid w:val="6FA71CA6"/>
    <w:rsid w:val="6FB74722"/>
    <w:rsid w:val="6FC73334"/>
    <w:rsid w:val="6FCB1920"/>
    <w:rsid w:val="6FDA3FD5"/>
    <w:rsid w:val="6FEF8B7E"/>
    <w:rsid w:val="70022DEF"/>
    <w:rsid w:val="701C478A"/>
    <w:rsid w:val="701E6590"/>
    <w:rsid w:val="705A6CCB"/>
    <w:rsid w:val="70601656"/>
    <w:rsid w:val="70924405"/>
    <w:rsid w:val="70CF5277"/>
    <w:rsid w:val="712354DE"/>
    <w:rsid w:val="7151662D"/>
    <w:rsid w:val="71A6591B"/>
    <w:rsid w:val="71D439C3"/>
    <w:rsid w:val="71ED0A20"/>
    <w:rsid w:val="721C2134"/>
    <w:rsid w:val="72444184"/>
    <w:rsid w:val="72874040"/>
    <w:rsid w:val="72AF6E32"/>
    <w:rsid w:val="72B521AE"/>
    <w:rsid w:val="72DE3C6E"/>
    <w:rsid w:val="73097193"/>
    <w:rsid w:val="7315035A"/>
    <w:rsid w:val="731C3DFE"/>
    <w:rsid w:val="73301198"/>
    <w:rsid w:val="737D59BA"/>
    <w:rsid w:val="737F32B1"/>
    <w:rsid w:val="73807CFC"/>
    <w:rsid w:val="73C87FFE"/>
    <w:rsid w:val="73D66A13"/>
    <w:rsid w:val="73FC7F9D"/>
    <w:rsid w:val="740827E5"/>
    <w:rsid w:val="748A0B83"/>
    <w:rsid w:val="74DB1E6F"/>
    <w:rsid w:val="751B3A4F"/>
    <w:rsid w:val="76501A65"/>
    <w:rsid w:val="76517E84"/>
    <w:rsid w:val="765F096E"/>
    <w:rsid w:val="76652483"/>
    <w:rsid w:val="76735ED8"/>
    <w:rsid w:val="768F65B7"/>
    <w:rsid w:val="76B9216E"/>
    <w:rsid w:val="76D4684E"/>
    <w:rsid w:val="77005FE6"/>
    <w:rsid w:val="7719144C"/>
    <w:rsid w:val="772E359C"/>
    <w:rsid w:val="776335E4"/>
    <w:rsid w:val="77A752D7"/>
    <w:rsid w:val="77A964BE"/>
    <w:rsid w:val="77C37683"/>
    <w:rsid w:val="77D600A4"/>
    <w:rsid w:val="78004265"/>
    <w:rsid w:val="780E4DBB"/>
    <w:rsid w:val="783A5F84"/>
    <w:rsid w:val="784D7084"/>
    <w:rsid w:val="78813105"/>
    <w:rsid w:val="789E0EA3"/>
    <w:rsid w:val="78B72732"/>
    <w:rsid w:val="791F6302"/>
    <w:rsid w:val="792C3333"/>
    <w:rsid w:val="797935CD"/>
    <w:rsid w:val="79AD7B5A"/>
    <w:rsid w:val="79D978D8"/>
    <w:rsid w:val="79FF515B"/>
    <w:rsid w:val="7A0A4D34"/>
    <w:rsid w:val="7A2F2AD2"/>
    <w:rsid w:val="7A450E50"/>
    <w:rsid w:val="7A527BEA"/>
    <w:rsid w:val="7AED670D"/>
    <w:rsid w:val="7B0D6E31"/>
    <w:rsid w:val="7B1B08F2"/>
    <w:rsid w:val="7B2C6C87"/>
    <w:rsid w:val="7B305676"/>
    <w:rsid w:val="7B43368F"/>
    <w:rsid w:val="7B4B1B45"/>
    <w:rsid w:val="7B71779E"/>
    <w:rsid w:val="7BB67D3E"/>
    <w:rsid w:val="7BBC635C"/>
    <w:rsid w:val="7BC75EDC"/>
    <w:rsid w:val="7C0F26EF"/>
    <w:rsid w:val="7C173082"/>
    <w:rsid w:val="7C2F3363"/>
    <w:rsid w:val="7C530664"/>
    <w:rsid w:val="7C5603C9"/>
    <w:rsid w:val="7C71364E"/>
    <w:rsid w:val="7C7846B8"/>
    <w:rsid w:val="7CE008D2"/>
    <w:rsid w:val="7CFB5247"/>
    <w:rsid w:val="7D1C31A1"/>
    <w:rsid w:val="7D331414"/>
    <w:rsid w:val="7D9C6CCE"/>
    <w:rsid w:val="7DB92B9C"/>
    <w:rsid w:val="7DBE4164"/>
    <w:rsid w:val="7DC75621"/>
    <w:rsid w:val="7E137B71"/>
    <w:rsid w:val="7E2D2E98"/>
    <w:rsid w:val="7E9E1962"/>
    <w:rsid w:val="7E9F11B4"/>
    <w:rsid w:val="7F2771B7"/>
    <w:rsid w:val="7F2B291D"/>
    <w:rsid w:val="7F37EC1E"/>
    <w:rsid w:val="7F6A24F4"/>
    <w:rsid w:val="7F7DCD9D"/>
    <w:rsid w:val="7F822C59"/>
    <w:rsid w:val="7F8B0652"/>
    <w:rsid w:val="7F970A6F"/>
    <w:rsid w:val="7F995308"/>
    <w:rsid w:val="7FC1FFF3"/>
    <w:rsid w:val="7FC69637"/>
    <w:rsid w:val="7FCF6195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autoSpaceDE/>
      <w:autoSpaceDN/>
      <w:adjustRightInd/>
      <w:spacing w:before="100" w:beforeLines="0" w:beforeAutospacing="1" w:after="100" w:afterLines="0" w:afterAutospacing="1"/>
    </w:pPr>
    <w:rPr>
      <w:rFonts w:hint="eastAsia" w:ascii="Times New Roman" w:hAnsi="Times New Roman"/>
      <w:sz w:val="24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2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1347</Words>
  <Characters>7679</Characters>
  <Lines>63</Lines>
  <Paragraphs>18</Paragraphs>
  <TotalTime>0</TotalTime>
  <ScaleCrop>false</ScaleCrop>
  <LinksUpToDate>false</LinksUpToDate>
  <CharactersWithSpaces>9008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笑魂魂</cp:lastModifiedBy>
  <cp:lastPrinted>2024-08-08T10:20:00Z</cp:lastPrinted>
  <dcterms:modified xsi:type="dcterms:W3CDTF">2025-07-29T09:39:40Z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98623D6660B449428EB8E073C6C952EA</vt:lpwstr>
  </property>
</Properties>
</file>