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2"/>
        <w:jc w:val="center"/>
        <w:rPr>
          <w:rFonts w:hint="eastAsia"/>
          <w:sz w:val="84"/>
          <w:szCs w:val="84"/>
          <w:lang w:eastAsia="zh-CN"/>
        </w:rPr>
      </w:pPr>
      <w:r>
        <w:rPr>
          <w:rFonts w:hint="eastAsia"/>
          <w:sz w:val="84"/>
          <w:szCs w:val="84"/>
          <w:lang w:eastAsia="zh-CN"/>
        </w:rPr>
        <w:t>岳阳市文学艺术界联合会</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岳阳市文学艺术界联合会</w:t>
      </w:r>
      <w:r>
        <w:rPr>
          <w:rFonts w:hint="eastAsia" w:ascii="黑体" w:hAnsi="黑体" w:eastAsia="黑体" w:cs="黑体"/>
          <w:b w:val="0"/>
          <w:bCs/>
          <w:sz w:val="28"/>
          <w:szCs w:val="28"/>
        </w:rPr>
        <w:t>单位概况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岳阳市文学艺术界联合会</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单位概况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我单位性质是群众团体，主要职能是组织、联络、协调、服务。</w:t>
      </w:r>
    </w:p>
    <w:p>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（一）作为党和政府联系文艺界的桥梁和纽带，贯彻落实党的文艺工作方针，开展同各文艺工作者协会和各县市区文联的团结引导、联络协调、服务管理、自律维权工作，听取和反映文艺界的情况和意见。</w:t>
      </w:r>
    </w:p>
    <w:p>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w:t>
      </w:r>
      <w:r>
        <w:rPr>
          <w:rFonts w:hint="eastAsia" w:ascii="宋体" w:hAnsi="宋体"/>
          <w:bCs/>
          <w:kern w:val="0"/>
          <w:sz w:val="32"/>
          <w:szCs w:val="32"/>
          <w:lang w:val="en-US" w:eastAsia="zh-CN"/>
        </w:rPr>
        <w:t>二</w:t>
      </w:r>
      <w:r>
        <w:rPr>
          <w:rFonts w:hint="eastAsia" w:ascii="宋体" w:hAnsi="宋体"/>
          <w:bCs/>
          <w:kern w:val="0"/>
          <w:sz w:val="32"/>
          <w:szCs w:val="32"/>
          <w:lang w:eastAsia="zh-CN"/>
        </w:rPr>
        <w:t>）组织召开市文联和市文艺工作者协会代表大会、全委会、理事会、主席团会议；组织召开全市文联系统的工作和学术研讨会议。</w:t>
      </w:r>
    </w:p>
    <w:p>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w:t>
      </w:r>
      <w:r>
        <w:rPr>
          <w:rFonts w:hint="eastAsia" w:ascii="宋体" w:hAnsi="宋体"/>
          <w:bCs/>
          <w:kern w:val="0"/>
          <w:sz w:val="32"/>
          <w:szCs w:val="32"/>
          <w:lang w:val="en-US" w:eastAsia="zh-CN"/>
        </w:rPr>
        <w:t>三</w:t>
      </w:r>
      <w:r>
        <w:rPr>
          <w:rFonts w:hint="eastAsia" w:ascii="宋体" w:hAnsi="宋体"/>
          <w:bCs/>
          <w:kern w:val="0"/>
          <w:sz w:val="32"/>
          <w:szCs w:val="32"/>
          <w:lang w:eastAsia="zh-CN"/>
        </w:rPr>
        <w:t>）开展多种形式的文艺活动，发现和培养文学艺术人才，繁荣文学艺术创作。</w:t>
      </w:r>
    </w:p>
    <w:p>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（四）协同有关部门联系、组织中外文艺界的文化交流活动，加强国内外文化交流。</w:t>
      </w:r>
    </w:p>
    <w:p>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（五）维护文艺工作协会的合法权益，为团体会员服务。</w:t>
      </w:r>
    </w:p>
    <w:p>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（六）完成</w:t>
      </w:r>
      <w:r>
        <w:rPr>
          <w:rFonts w:hint="eastAsia" w:ascii="宋体" w:hAnsi="宋体"/>
          <w:bCs/>
          <w:kern w:val="0"/>
          <w:sz w:val="32"/>
          <w:szCs w:val="32"/>
          <w:lang w:val="en-US" w:eastAsia="zh-CN"/>
        </w:rPr>
        <w:t>市</w:t>
      </w:r>
      <w:r>
        <w:rPr>
          <w:rFonts w:hint="eastAsia" w:ascii="宋体" w:hAnsi="宋体"/>
          <w:bCs/>
          <w:kern w:val="0"/>
          <w:sz w:val="32"/>
          <w:szCs w:val="32"/>
          <w:lang w:eastAsia="zh-CN"/>
        </w:rPr>
        <w:t>委、市政府交办的其他任务。</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hd w:val="clear" w:color="auto" w:fill="FFFFFF"/>
        <w:spacing w:line="480" w:lineRule="auto"/>
        <w:ind w:firstLine="48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 xml:space="preserve">  </w:t>
      </w:r>
    </w:p>
    <w:p>
      <w:pPr>
        <w:widowControl/>
        <w:shd w:val="clear" w:color="auto" w:fill="FFFFFF"/>
        <w:spacing w:line="480" w:lineRule="auto"/>
        <w:ind w:firstLine="640" w:firstLineChars="200"/>
        <w:rPr>
          <w:rFonts w:hint="eastAsia" w:ascii="宋体" w:hAnsi="宋体"/>
          <w:bCs/>
          <w:kern w:val="0"/>
          <w:sz w:val="32"/>
          <w:szCs w:val="32"/>
        </w:rPr>
      </w:pPr>
      <w:r>
        <w:rPr>
          <w:rFonts w:hint="eastAsia" w:ascii="宋体" w:hAnsi="宋体"/>
          <w:bCs/>
          <w:kern w:val="0"/>
          <w:sz w:val="32"/>
          <w:szCs w:val="32"/>
        </w:rPr>
        <w:t>岳阳市</w:t>
      </w:r>
      <w:r>
        <w:rPr>
          <w:rFonts w:hint="eastAsia" w:ascii="宋体" w:hAnsi="宋体"/>
          <w:bCs/>
          <w:kern w:val="0"/>
          <w:sz w:val="32"/>
          <w:szCs w:val="32"/>
          <w:lang w:eastAsia="zh-CN"/>
        </w:rPr>
        <w:t>文学艺术界联合会</w:t>
      </w:r>
      <w:r>
        <w:rPr>
          <w:rFonts w:hint="eastAsia" w:ascii="宋体" w:hAnsi="宋体"/>
          <w:bCs/>
          <w:kern w:val="0"/>
          <w:sz w:val="32"/>
          <w:szCs w:val="32"/>
        </w:rPr>
        <w:t>内设机构包括：根据编委核定，我单位内设科室</w:t>
      </w:r>
      <w:r>
        <w:rPr>
          <w:rFonts w:hint="eastAsia" w:ascii="宋体" w:hAnsi="宋体"/>
          <w:bCs/>
          <w:kern w:val="0"/>
          <w:sz w:val="32"/>
          <w:szCs w:val="32"/>
          <w:lang w:val="en-US" w:eastAsia="zh-CN"/>
        </w:rPr>
        <w:t>2</w:t>
      </w:r>
      <w:r>
        <w:rPr>
          <w:rFonts w:hint="eastAsia" w:ascii="宋体" w:hAnsi="宋体"/>
          <w:bCs/>
          <w:kern w:val="0"/>
          <w:sz w:val="32"/>
          <w:szCs w:val="32"/>
        </w:rPr>
        <w:t>个，</w:t>
      </w:r>
      <w:r>
        <w:rPr>
          <w:rFonts w:hint="eastAsia" w:ascii="宋体" w:hAnsi="宋体"/>
          <w:bCs/>
          <w:kern w:val="0"/>
          <w:sz w:val="32"/>
          <w:szCs w:val="32"/>
          <w:lang w:eastAsia="zh-CN"/>
        </w:rPr>
        <w:t>无</w:t>
      </w:r>
      <w:r>
        <w:rPr>
          <w:rFonts w:hint="eastAsia" w:ascii="宋体" w:hAnsi="宋体"/>
          <w:bCs/>
          <w:kern w:val="0"/>
          <w:sz w:val="32"/>
          <w:szCs w:val="32"/>
        </w:rPr>
        <w:t>所属事业单位</w:t>
      </w:r>
      <w:r>
        <w:rPr>
          <w:rFonts w:hint="eastAsia" w:ascii="宋体" w:hAnsi="宋体"/>
          <w:bCs/>
          <w:kern w:val="0"/>
          <w:sz w:val="32"/>
          <w:szCs w:val="32"/>
          <w:lang w:eastAsia="zh-CN"/>
        </w:rPr>
        <w:t>。市文联本级</w:t>
      </w:r>
      <w:r>
        <w:rPr>
          <w:rFonts w:hint="eastAsia" w:ascii="宋体" w:hAnsi="宋体"/>
          <w:bCs/>
          <w:kern w:val="0"/>
          <w:sz w:val="32"/>
          <w:szCs w:val="32"/>
        </w:rPr>
        <w:t>纳入202</w:t>
      </w:r>
      <w:r>
        <w:rPr>
          <w:rFonts w:hint="default" w:ascii="宋体" w:hAnsi="宋体"/>
          <w:bCs/>
          <w:kern w:val="0"/>
          <w:sz w:val="32"/>
          <w:szCs w:val="32"/>
          <w:lang w:val="en" w:eastAsia="zh-CN"/>
        </w:rPr>
        <w:t>3</w:t>
      </w:r>
      <w:r>
        <w:rPr>
          <w:rFonts w:hint="eastAsia" w:ascii="宋体" w:hAnsi="宋体"/>
          <w:bCs/>
          <w:kern w:val="0"/>
          <w:sz w:val="32"/>
          <w:szCs w:val="32"/>
        </w:rPr>
        <w:t>年部门预算编制范围。内设科室分别是办公室、</w:t>
      </w:r>
      <w:r>
        <w:rPr>
          <w:rFonts w:hint="eastAsia" w:ascii="宋体" w:hAnsi="宋体"/>
          <w:bCs/>
          <w:kern w:val="0"/>
          <w:sz w:val="32"/>
          <w:szCs w:val="32"/>
          <w:lang w:eastAsia="zh-CN"/>
        </w:rPr>
        <w:t>组织联络部</w:t>
      </w:r>
      <w:r>
        <w:rPr>
          <w:rFonts w:hint="eastAsia" w:ascii="宋体" w:hAnsi="宋体"/>
          <w:bCs/>
          <w:kern w:val="0"/>
          <w:sz w:val="32"/>
          <w:szCs w:val="32"/>
        </w:rPr>
        <w:t>。</w:t>
      </w:r>
    </w:p>
    <w:p>
      <w:pPr>
        <w:widowControl/>
        <w:numPr>
          <w:ilvl w:val="0"/>
          <w:numId w:val="0"/>
        </w:numPr>
        <w:shd w:val="clear" w:color="auto" w:fill="FFFFFF"/>
        <w:spacing w:line="480" w:lineRule="auto"/>
        <w:ind w:firstLine="480" w:firstLineChars="15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pPr>
        <w:widowControl/>
        <w:numPr>
          <w:ilvl w:val="0"/>
          <w:numId w:val="0"/>
        </w:numPr>
        <w:shd w:val="clear" w:color="auto" w:fill="FFFFFF"/>
        <w:spacing w:line="480" w:lineRule="auto"/>
        <w:ind w:firstLine="640" w:firstLineChars="200"/>
        <w:rPr>
          <w:rFonts w:hint="eastAsia" w:ascii="宋体" w:hAnsi="宋体"/>
          <w:bCs/>
          <w:kern w:val="0"/>
          <w:sz w:val="32"/>
          <w:szCs w:val="32"/>
        </w:rPr>
      </w:pPr>
      <w:r>
        <w:rPr>
          <w:rFonts w:hint="eastAsia" w:ascii="宋体" w:hAnsi="宋体"/>
          <w:bCs/>
          <w:kern w:val="0"/>
          <w:sz w:val="32"/>
          <w:szCs w:val="32"/>
          <w:lang w:eastAsia="zh-CN"/>
        </w:rPr>
        <w:t>本单位无独立核算的下属单位，</w:t>
      </w:r>
      <w:r>
        <w:rPr>
          <w:rFonts w:hint="eastAsia" w:ascii="宋体" w:hAnsi="宋体"/>
          <w:bCs/>
          <w:kern w:val="0"/>
          <w:sz w:val="32"/>
          <w:szCs w:val="32"/>
        </w:rPr>
        <w:t>20</w:t>
      </w:r>
      <w:r>
        <w:rPr>
          <w:rFonts w:hint="eastAsia" w:ascii="宋体" w:hAnsi="宋体"/>
          <w:bCs/>
          <w:kern w:val="0"/>
          <w:sz w:val="32"/>
          <w:szCs w:val="32"/>
          <w:lang w:val="en-US" w:eastAsia="zh-CN"/>
        </w:rPr>
        <w:t>2</w:t>
      </w:r>
      <w:r>
        <w:rPr>
          <w:rFonts w:hint="default" w:ascii="宋体" w:hAnsi="宋体"/>
          <w:bCs/>
          <w:kern w:val="0"/>
          <w:sz w:val="32"/>
          <w:szCs w:val="32"/>
          <w:lang w:val="en" w:eastAsia="zh-CN"/>
        </w:rPr>
        <w:t>3</w:t>
      </w:r>
      <w:r>
        <w:rPr>
          <w:rFonts w:hint="eastAsia" w:ascii="宋体" w:hAnsi="宋体"/>
          <w:bCs/>
          <w:kern w:val="0"/>
          <w:sz w:val="32"/>
          <w:szCs w:val="32"/>
        </w:rPr>
        <w:t>年部门决算汇总公开单位</w:t>
      </w:r>
      <w:r>
        <w:rPr>
          <w:rFonts w:hint="eastAsia" w:ascii="宋体" w:hAnsi="宋体"/>
          <w:bCs/>
          <w:kern w:val="0"/>
          <w:sz w:val="32"/>
          <w:szCs w:val="32"/>
          <w:lang w:eastAsia="zh-CN"/>
        </w:rPr>
        <w:t>仅</w:t>
      </w:r>
      <w:r>
        <w:rPr>
          <w:rFonts w:hint="eastAsia" w:ascii="宋体" w:hAnsi="宋体"/>
          <w:bCs/>
          <w:kern w:val="0"/>
          <w:sz w:val="32"/>
          <w:szCs w:val="32"/>
        </w:rPr>
        <w:t>包括：岳阳市</w:t>
      </w:r>
      <w:r>
        <w:rPr>
          <w:rFonts w:hint="eastAsia" w:ascii="宋体" w:hAnsi="宋体"/>
          <w:bCs/>
          <w:kern w:val="0"/>
          <w:sz w:val="32"/>
          <w:szCs w:val="32"/>
          <w:lang w:eastAsia="zh-CN"/>
        </w:rPr>
        <w:t>文联</w:t>
      </w:r>
      <w:r>
        <w:rPr>
          <w:rFonts w:hint="eastAsia" w:ascii="宋体" w:hAnsi="宋体"/>
          <w:bCs/>
          <w:kern w:val="0"/>
          <w:sz w:val="32"/>
          <w:szCs w:val="32"/>
        </w:rPr>
        <w:t>本级。</w:t>
      </w:r>
    </w:p>
    <w:p>
      <w:pPr>
        <w:widowControl/>
        <w:spacing w:line="600" w:lineRule="exact"/>
        <w:rPr>
          <w:rFonts w:hint="eastAsia" w:ascii="Times New Roman" w:hAnsi="Times New Roman" w:eastAsia="仿宋_GB2312" w:cs="仿宋_GB2312"/>
          <w:bCs/>
          <w:kern w:val="0"/>
          <w:sz w:val="32"/>
          <w:szCs w:val="32"/>
        </w:rPr>
      </w:pPr>
    </w:p>
    <w:p/>
    <w:p>
      <w:pPr>
        <w:pStyle w:val="2"/>
      </w:pPr>
    </w:p>
    <w:p>
      <w:pPr>
        <w:pStyle w:val="3"/>
      </w:pPr>
    </w:p>
    <w:p/>
    <w:p>
      <w:pPr>
        <w:pStyle w:val="2"/>
      </w:pPr>
    </w:p>
    <w:p>
      <w:pPr>
        <w:pStyle w:val="3"/>
      </w:pPr>
    </w:p>
    <w:p/>
    <w:p>
      <w:pPr>
        <w:pStyle w:val="2"/>
      </w:pPr>
    </w:p>
    <w:p>
      <w:pPr>
        <w:pStyle w:val="3"/>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579.47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88.97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8.14</w:t>
      </w: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val="en-US" w:eastAsia="zh-CN"/>
        </w:rPr>
        <w:t>要是因为</w:t>
      </w:r>
      <w:r>
        <w:rPr>
          <w:rFonts w:hint="eastAsia" w:ascii="仿宋_GB2312" w:hAnsi="仿宋_GB2312" w:eastAsia="仿宋_GB2312" w:cs="仿宋_GB2312"/>
          <w:sz w:val="32"/>
          <w:szCs w:val="32"/>
          <w:lang w:eastAsia="zh-CN"/>
        </w:rPr>
        <w:t>本单位电梯改造支出及</w:t>
      </w:r>
      <w:r>
        <w:rPr>
          <w:rFonts w:hint="eastAsia" w:ascii="仿宋_GB2312" w:hAnsi="仿宋_GB2312" w:eastAsia="仿宋_GB2312" w:cs="仿宋_GB2312"/>
          <w:sz w:val="32"/>
          <w:szCs w:val="32"/>
          <w:lang w:val="en-US" w:eastAsia="zh-CN"/>
        </w:rPr>
        <w:t>下属多个协会增加拨款等原因。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579.27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566.72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97.83</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12.55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579.20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298.92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51.61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280.28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48.39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default" w:ascii="仿宋_GB2312" w:hAnsi="仿宋_GB2312" w:eastAsia="仿宋_GB2312" w:cs="仿宋_GB2312"/>
          <w:sz w:val="32"/>
          <w:szCs w:val="32"/>
          <w:lang w:val="en"/>
        </w:rPr>
        <w:t>566.92</w:t>
      </w:r>
      <w:r>
        <w:rPr>
          <w:rFonts w:hint="eastAsia" w:ascii="仿宋_GB2312" w:hAnsi="仿宋_GB2312" w:eastAsia="仿宋_GB2312" w:cs="仿宋_GB2312"/>
          <w:sz w:val="32"/>
          <w:szCs w:val="32"/>
        </w:rPr>
        <w:t>万元，与上年相比，增加</w:t>
      </w:r>
      <w:r>
        <w:rPr>
          <w:rFonts w:hint="default" w:ascii="仿宋_GB2312" w:hAnsi="仿宋_GB2312" w:eastAsia="仿宋_GB2312" w:cs="仿宋_GB2312"/>
          <w:sz w:val="32"/>
          <w:szCs w:val="32"/>
          <w:lang w:val="en"/>
        </w:rPr>
        <w:t>90.39</w:t>
      </w:r>
      <w:r>
        <w:rPr>
          <w:rFonts w:hint="eastAsia" w:ascii="仿宋_GB2312" w:hAnsi="仿宋_GB2312" w:eastAsia="仿宋_GB2312" w:cs="仿宋_GB2312"/>
          <w:sz w:val="32"/>
          <w:szCs w:val="32"/>
        </w:rPr>
        <w:t>万元,增长</w:t>
      </w:r>
      <w:r>
        <w:rPr>
          <w:rFonts w:hint="default" w:ascii="仿宋_GB2312" w:hAnsi="仿宋_GB2312" w:eastAsia="仿宋_GB2312" w:cs="仿宋_GB2312"/>
          <w:sz w:val="32"/>
          <w:szCs w:val="32"/>
          <w:lang w:val="en"/>
        </w:rPr>
        <w:t>18.97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本单位电梯改造支出及</w:t>
      </w:r>
      <w:r>
        <w:rPr>
          <w:rFonts w:hint="eastAsia" w:ascii="仿宋_GB2312" w:hAnsi="仿宋_GB2312" w:eastAsia="仿宋_GB2312" w:cs="仿宋_GB2312"/>
          <w:sz w:val="32"/>
          <w:szCs w:val="32"/>
          <w:lang w:val="en-US" w:eastAsia="zh-CN"/>
        </w:rPr>
        <w:t>下属多个协会增加拨款等原因。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566.72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97.85</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90.39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18.98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本单位电梯改造支出及</w:t>
      </w:r>
      <w:r>
        <w:rPr>
          <w:rFonts w:hint="eastAsia" w:ascii="仿宋_GB2312" w:hAnsi="仿宋_GB2312" w:eastAsia="仿宋_GB2312" w:cs="仿宋_GB2312"/>
          <w:sz w:val="32"/>
          <w:szCs w:val="32"/>
          <w:lang w:val="en-US" w:eastAsia="zh-CN"/>
        </w:rPr>
        <w:t>下属多个协会增加拨款等原因。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2023年度财政拨款支出566.72万元，主要用于以下方面：一般公共服务支出0.39万元，占0.07%；文化旅游体育与传媒支出541.85万</w:t>
      </w:r>
      <w:r>
        <w:rPr>
          <w:rFonts w:hint="eastAsia" w:ascii="仿宋_GB2312" w:hAnsi="仿宋_GB2312" w:eastAsia="仿宋_GB2312" w:cs="仿宋_GB2312"/>
          <w:b w:val="0"/>
          <w:bCs/>
          <w:sz w:val="32"/>
          <w:szCs w:val="32"/>
        </w:rPr>
        <w:t>元，占</w:t>
      </w:r>
      <w:r>
        <w:rPr>
          <w:rFonts w:hint="eastAsia" w:ascii="仿宋_GB2312" w:hAnsi="仿宋_GB2312" w:eastAsia="仿宋_GB2312" w:cs="仿宋_GB2312"/>
          <w:b w:val="0"/>
          <w:bCs/>
          <w:sz w:val="32"/>
          <w:szCs w:val="32"/>
          <w:lang w:val="en-US" w:eastAsia="zh-CN"/>
        </w:rPr>
        <w:t>95.61</w:t>
      </w:r>
      <w:r>
        <w:rPr>
          <w:rFonts w:hint="eastAsia" w:ascii="仿宋_GB2312" w:hAnsi="仿宋_GB2312" w:eastAsia="仿宋_GB2312" w:cs="仿宋_GB2312"/>
          <w:b w:val="0"/>
          <w:bCs/>
          <w:sz w:val="32"/>
          <w:szCs w:val="32"/>
        </w:rPr>
        <w:t>%；社会保障和就业支出</w:t>
      </w:r>
      <w:r>
        <w:rPr>
          <w:rFonts w:hint="eastAsia" w:ascii="仿宋_GB2312" w:hAnsi="仿宋_GB2312" w:eastAsia="仿宋_GB2312" w:cs="仿宋_GB2312"/>
          <w:b w:val="0"/>
          <w:bCs/>
          <w:sz w:val="32"/>
          <w:szCs w:val="32"/>
          <w:lang w:val="en-US" w:eastAsia="zh-CN"/>
        </w:rPr>
        <w:t>9.83</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1.74</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卫生健康支出</w:t>
      </w:r>
      <w:r>
        <w:rPr>
          <w:rFonts w:hint="eastAsia" w:ascii="仿宋_GB2312" w:hAnsi="仿宋_GB2312" w:eastAsia="仿宋_GB2312" w:cs="仿宋_GB2312"/>
          <w:b w:val="0"/>
          <w:bCs/>
          <w:sz w:val="32"/>
          <w:szCs w:val="32"/>
          <w:lang w:val="en-US" w:eastAsia="zh-CN"/>
        </w:rPr>
        <w:t>5.17</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0.91</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；住房保障支出</w:t>
      </w:r>
      <w:r>
        <w:rPr>
          <w:rFonts w:hint="eastAsia" w:ascii="仿宋_GB2312" w:hAnsi="仿宋_GB2312" w:eastAsia="仿宋_GB2312" w:cs="仿宋_GB2312"/>
          <w:b w:val="0"/>
          <w:bCs/>
          <w:sz w:val="32"/>
          <w:szCs w:val="32"/>
          <w:lang w:val="en-US" w:eastAsia="zh-CN"/>
        </w:rPr>
        <w:t>9.49万元，占1.67%</w:t>
      </w:r>
      <w:r>
        <w:rPr>
          <w:rFonts w:hint="eastAsia" w:ascii="仿宋_GB2312" w:hAnsi="仿宋_GB2312" w:eastAsia="仿宋_GB2312" w:cs="仿宋_GB2312"/>
          <w:b w:val="0"/>
          <w:bCs/>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2023年度财政拨款支出年初预算数为267.39万元，支出决算数为566.72万元，完成年初预算的211.95%，其中：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1.一般公共服务支出类</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（1）2010101（行政运行），年初预算为0万元，支出决算为0.39万元，由于预算数为0，无法计算百分比。决算数大于年初预算数的主要原因是我单位人员工资增资等。</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2.文化旅游体育与传媒（类）。</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（1）2070701（行政运行），年初预算为240.45万元，支出决算为244.12万元，完成年初预算的101.53%，决算数大于年初预算数的主要原因是我单位新增电梯改造支出。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（2）2070102（一般行政管理事务），年初预算为0万元，支出决算为9.33万元，由于预算数为0，无法计算百分比。决算数大于年初预算数的主要原因是：财政部门将在职职工年终绩效等指标在该类项中下达。</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（3）2070111（文化创作与保护），年初预算为0万元，支出决算为10万元，由于预算数为0，无法计算百分比。决算数大于年初预算数的主要原因是：增加了协会支出。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（4）2070199（其他文化和旅游支出），年初预算为0万元，支出决算为216.47万元，由于预算数为0，无法计算百分比。决算数大于年初预算数的主要原因是增加了协会支出。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（5）2070204（文物保护），年初预算为0万元，支出决算为16.93万元，由于预算数为0，无法计算百分比。决算数大于年初预算数的主要原因是增加了协会支出。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3.社会保障和就业支出（类）。</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2080505（机关事业单位基本养老保险缴费支出），年初预算为9.83万元，支出决算为9.83万元，完成年初预算的100%。决算数与年初预算数持平。持平主要原因是严格、规范按照预算执行支出决算。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4.卫生健康支出（类）。</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default" w:ascii="仿宋_GB2312" w:hAnsi="仿宋_GB2312" w:eastAsia="仿宋_GB2312" w:cs="仿宋_GB2312"/>
          <w:b w:val="0"/>
          <w:bCs/>
          <w:sz w:val="32"/>
          <w:szCs w:val="32"/>
          <w:lang w:val="en" w:eastAsia="zh-CN"/>
        </w:rPr>
        <w:t>10</w:t>
      </w:r>
      <w:r>
        <w:rPr>
          <w:rFonts w:hint="eastAsia" w:ascii="仿宋_GB2312" w:hAnsi="仿宋_GB2312" w:eastAsia="仿宋_GB2312" w:cs="仿宋_GB2312"/>
          <w:b w:val="0"/>
          <w:bCs/>
          <w:sz w:val="32"/>
          <w:szCs w:val="32"/>
          <w:lang w:val="en-US" w:eastAsia="zh-CN"/>
        </w:rPr>
        <w:t>1101（行政单位医疗），年初预算为5.17万元，支出决算为5.17万元，完成年初预算的100%。决算数与年初预算数持平。持平主要原因是严格、规范按照预算执行支出决算。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5.住房保障支出（类）。</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2210201（住房公积金），年初预算为9.49万元，支出决算为9.49万元，完成年初预算的100%。决算数与年初预算数持平。持平主要原因是严格、规范按照预算执行支出决算。</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一般公共预算财政拨款基本支出决算情况说明</w:t>
      </w:r>
    </w:p>
    <w:p>
      <w:pPr>
        <w:pStyle w:val="12"/>
        <w:ind w:firstLine="640" w:firstLineChars="200"/>
        <w:rPr>
          <w:rFonts w:hint="eastAsia" w:ascii="宋体" w:hAnsi="宋体" w:eastAsia="宋体"/>
          <w:sz w:val="32"/>
          <w:szCs w:val="32"/>
        </w:rPr>
      </w:pPr>
      <w:r>
        <w:rPr>
          <w:rFonts w:hint="eastAsia" w:ascii="仿宋_GB2312" w:hAnsi="仿宋_GB2312" w:eastAsia="仿宋_GB2312" w:cs="仿宋_GB2312"/>
          <w:b w:val="0"/>
          <w:bCs/>
          <w:sz w:val="32"/>
          <w:szCs w:val="32"/>
          <w:lang w:val="en-US" w:eastAsia="zh-CN"/>
        </w:rPr>
        <w:t>202</w:t>
      </w:r>
      <w:r>
        <w:rPr>
          <w:rFonts w:hint="default" w:ascii="仿宋_GB2312" w:hAnsi="仿宋_GB2312" w:eastAsia="仿宋_GB2312" w:cs="仿宋_GB2312"/>
          <w:b w:val="0"/>
          <w:bCs/>
          <w:sz w:val="32"/>
          <w:szCs w:val="32"/>
          <w:lang w:val="en" w:eastAsia="zh-CN"/>
        </w:rPr>
        <w:t>3</w:t>
      </w:r>
      <w:r>
        <w:rPr>
          <w:rFonts w:hint="eastAsia" w:ascii="仿宋_GB2312" w:hAnsi="仿宋_GB2312" w:eastAsia="仿宋_GB2312" w:cs="仿宋_GB2312"/>
          <w:b w:val="0"/>
          <w:bCs/>
          <w:sz w:val="32"/>
          <w:szCs w:val="32"/>
          <w:lang w:val="en-US" w:eastAsia="zh-CN"/>
        </w:rPr>
        <w:t>年度财政拨款基本支出286.44万元，其中：人员经费212.58万元，占基本支出的74.21%，主要包括主要包括基本工资47.21万元、津贴补贴24.72万元、</w:t>
      </w:r>
      <w:r>
        <w:rPr>
          <w:rFonts w:hint="eastAsia" w:ascii="仿宋_GB2312" w:hAnsi="仿宋_GB2312" w:eastAsia="仿宋_GB2312" w:cs="仿宋_GB2312"/>
          <w:b w:val="0"/>
          <w:bCs/>
          <w:sz w:val="32"/>
          <w:szCs w:val="32"/>
          <w:lang w:val="zh-CN" w:eastAsia="zh-CN"/>
        </w:rPr>
        <w:t>奖金</w:t>
      </w:r>
      <w:r>
        <w:rPr>
          <w:rFonts w:hint="eastAsia" w:ascii="仿宋_GB2312" w:hAnsi="仿宋_GB2312" w:eastAsia="仿宋_GB2312" w:cs="仿宋_GB2312"/>
          <w:b w:val="0"/>
          <w:bCs/>
          <w:sz w:val="32"/>
          <w:szCs w:val="32"/>
          <w:lang w:val="en-US" w:eastAsia="zh-CN"/>
        </w:rPr>
        <w:t>28.5万元</w:t>
      </w:r>
      <w:r>
        <w:rPr>
          <w:rFonts w:hint="eastAsia" w:ascii="仿宋_GB2312" w:hAnsi="仿宋_GB2312" w:eastAsia="仿宋_GB2312" w:cs="仿宋_GB2312"/>
          <w:b w:val="0"/>
          <w:bCs/>
          <w:sz w:val="32"/>
          <w:szCs w:val="32"/>
          <w:lang w:val="zh-CN" w:eastAsia="zh-CN"/>
        </w:rPr>
        <w:t>、伙食补助费</w:t>
      </w:r>
      <w:r>
        <w:rPr>
          <w:rFonts w:hint="eastAsia" w:ascii="仿宋_GB2312" w:hAnsi="仿宋_GB2312" w:eastAsia="仿宋_GB2312" w:cs="仿宋_GB2312"/>
          <w:b w:val="0"/>
          <w:bCs/>
          <w:sz w:val="32"/>
          <w:szCs w:val="32"/>
          <w:lang w:val="en-US" w:eastAsia="zh-CN"/>
        </w:rPr>
        <w:t>4.57万元</w:t>
      </w:r>
      <w:r>
        <w:rPr>
          <w:rFonts w:hint="eastAsia" w:ascii="仿宋_GB2312" w:hAnsi="仿宋_GB2312" w:eastAsia="仿宋_GB2312" w:cs="仿宋_GB2312"/>
          <w:b w:val="0"/>
          <w:bCs/>
          <w:sz w:val="32"/>
          <w:szCs w:val="32"/>
          <w:lang w:val="zh-CN" w:eastAsia="zh-CN"/>
        </w:rPr>
        <w:t>、机关事业单位基本养老保险缴费</w:t>
      </w:r>
      <w:r>
        <w:rPr>
          <w:rFonts w:hint="eastAsia" w:ascii="仿宋_GB2312" w:hAnsi="仿宋_GB2312" w:eastAsia="仿宋_GB2312" w:cs="仿宋_GB2312"/>
          <w:b w:val="0"/>
          <w:bCs/>
          <w:sz w:val="32"/>
          <w:szCs w:val="32"/>
          <w:lang w:val="en-US" w:eastAsia="zh-CN"/>
        </w:rPr>
        <w:t>14.44万元</w:t>
      </w:r>
      <w:r>
        <w:rPr>
          <w:rFonts w:hint="eastAsia" w:ascii="仿宋_GB2312" w:hAnsi="仿宋_GB2312" w:eastAsia="仿宋_GB2312" w:cs="仿宋_GB2312"/>
          <w:b w:val="0"/>
          <w:bCs/>
          <w:sz w:val="32"/>
          <w:szCs w:val="32"/>
          <w:lang w:val="zh-CN" w:eastAsia="zh-CN"/>
        </w:rPr>
        <w:t>、职工基本医疗保险缴费</w:t>
      </w:r>
      <w:r>
        <w:rPr>
          <w:rFonts w:hint="eastAsia" w:ascii="仿宋_GB2312" w:hAnsi="仿宋_GB2312" w:eastAsia="仿宋_GB2312" w:cs="仿宋_GB2312"/>
          <w:b w:val="0"/>
          <w:bCs/>
          <w:sz w:val="32"/>
          <w:szCs w:val="32"/>
          <w:lang w:val="en-US" w:eastAsia="zh-CN"/>
        </w:rPr>
        <w:t>6.23万元</w:t>
      </w:r>
      <w:r>
        <w:rPr>
          <w:rFonts w:hint="eastAsia" w:ascii="仿宋_GB2312" w:hAnsi="仿宋_GB2312" w:eastAsia="仿宋_GB2312" w:cs="仿宋_GB2312"/>
          <w:b w:val="0"/>
          <w:bCs/>
          <w:sz w:val="32"/>
          <w:szCs w:val="32"/>
          <w:lang w:val="zh-CN" w:eastAsia="zh-CN"/>
        </w:rPr>
        <w:t>、其他社会保障缴费</w:t>
      </w:r>
      <w:r>
        <w:rPr>
          <w:rFonts w:hint="eastAsia" w:ascii="仿宋_GB2312" w:hAnsi="仿宋_GB2312" w:eastAsia="仿宋_GB2312" w:cs="仿宋_GB2312"/>
          <w:b w:val="0"/>
          <w:bCs/>
          <w:sz w:val="32"/>
          <w:szCs w:val="32"/>
          <w:lang w:val="en-US" w:eastAsia="zh-CN"/>
        </w:rPr>
        <w:t>1.14万元</w:t>
      </w:r>
      <w:r>
        <w:rPr>
          <w:rFonts w:hint="eastAsia" w:ascii="仿宋_GB2312" w:hAnsi="仿宋_GB2312" w:eastAsia="仿宋_GB2312" w:cs="仿宋_GB2312"/>
          <w:b w:val="0"/>
          <w:bCs/>
          <w:sz w:val="32"/>
          <w:szCs w:val="32"/>
          <w:lang w:val="zh-CN" w:eastAsia="zh-CN"/>
        </w:rPr>
        <w:t>、住房公积金</w:t>
      </w:r>
      <w:r>
        <w:rPr>
          <w:rFonts w:hint="eastAsia" w:ascii="仿宋_GB2312" w:hAnsi="仿宋_GB2312" w:eastAsia="仿宋_GB2312" w:cs="仿宋_GB2312"/>
          <w:b w:val="0"/>
          <w:bCs/>
          <w:sz w:val="32"/>
          <w:szCs w:val="32"/>
          <w:lang w:val="en-US" w:eastAsia="zh-CN"/>
        </w:rPr>
        <w:t>13.99万元</w:t>
      </w:r>
      <w:r>
        <w:rPr>
          <w:rFonts w:hint="eastAsia" w:ascii="仿宋_GB2312" w:hAnsi="仿宋_GB2312" w:eastAsia="仿宋_GB2312" w:cs="仿宋_GB2312"/>
          <w:b w:val="0"/>
          <w:bCs/>
          <w:sz w:val="32"/>
          <w:szCs w:val="32"/>
          <w:lang w:val="zh-CN" w:eastAsia="zh-CN"/>
        </w:rPr>
        <w:t>、医疗费</w:t>
      </w:r>
      <w:r>
        <w:rPr>
          <w:rFonts w:hint="eastAsia" w:ascii="仿宋_GB2312" w:hAnsi="仿宋_GB2312" w:eastAsia="仿宋_GB2312" w:cs="仿宋_GB2312"/>
          <w:b w:val="0"/>
          <w:bCs/>
          <w:sz w:val="32"/>
          <w:szCs w:val="32"/>
          <w:lang w:val="en-US" w:eastAsia="zh-CN"/>
        </w:rPr>
        <w:t>8.46万元</w:t>
      </w:r>
      <w:r>
        <w:rPr>
          <w:rFonts w:hint="eastAsia" w:ascii="仿宋_GB2312" w:hAnsi="仿宋_GB2312" w:eastAsia="仿宋_GB2312" w:cs="仿宋_GB2312"/>
          <w:b w:val="0"/>
          <w:bCs/>
          <w:sz w:val="32"/>
          <w:szCs w:val="32"/>
          <w:lang w:val="zh-CN" w:eastAsia="zh-CN"/>
        </w:rPr>
        <w:t>、退休费</w:t>
      </w:r>
      <w:r>
        <w:rPr>
          <w:rFonts w:hint="eastAsia" w:ascii="仿宋_GB2312" w:hAnsi="仿宋_GB2312" w:eastAsia="仿宋_GB2312" w:cs="仿宋_GB2312"/>
          <w:b w:val="0"/>
          <w:bCs/>
          <w:sz w:val="32"/>
          <w:szCs w:val="32"/>
          <w:lang w:val="en-US" w:eastAsia="zh-CN"/>
        </w:rPr>
        <w:t>46.23万元</w:t>
      </w:r>
      <w:r>
        <w:rPr>
          <w:rFonts w:hint="eastAsia" w:ascii="仿宋_GB2312" w:hAnsi="仿宋_GB2312" w:eastAsia="仿宋_GB2312" w:cs="仿宋_GB2312"/>
          <w:b w:val="0"/>
          <w:bCs/>
          <w:sz w:val="32"/>
          <w:szCs w:val="32"/>
          <w:lang w:val="zh-CN" w:eastAsia="zh-CN"/>
        </w:rPr>
        <w:t>、医疗费补助</w:t>
      </w:r>
      <w:r>
        <w:rPr>
          <w:rFonts w:hint="eastAsia" w:ascii="仿宋_GB2312" w:hAnsi="仿宋_GB2312" w:eastAsia="仿宋_GB2312" w:cs="仿宋_GB2312"/>
          <w:b w:val="0"/>
          <w:bCs/>
          <w:sz w:val="32"/>
          <w:szCs w:val="32"/>
          <w:lang w:val="en-US" w:eastAsia="zh-CN"/>
        </w:rPr>
        <w:t>7.41万元</w:t>
      </w:r>
      <w:r>
        <w:rPr>
          <w:rFonts w:hint="eastAsia" w:ascii="仿宋_GB2312" w:hAnsi="仿宋_GB2312" w:eastAsia="仿宋_GB2312" w:cs="仿宋_GB2312"/>
          <w:b w:val="0"/>
          <w:bCs/>
          <w:sz w:val="32"/>
          <w:szCs w:val="32"/>
          <w:lang w:val="zh-CN" w:eastAsia="zh-CN"/>
        </w:rPr>
        <w:t>、奖励金</w:t>
      </w:r>
      <w:r>
        <w:rPr>
          <w:rFonts w:hint="eastAsia" w:ascii="仿宋_GB2312" w:hAnsi="仿宋_GB2312" w:eastAsia="仿宋_GB2312" w:cs="仿宋_GB2312"/>
          <w:b w:val="0"/>
          <w:bCs/>
          <w:sz w:val="32"/>
          <w:szCs w:val="32"/>
          <w:lang w:val="en-US" w:eastAsia="zh-CN"/>
        </w:rPr>
        <w:t>0.67万元</w:t>
      </w:r>
      <w:r>
        <w:rPr>
          <w:rFonts w:hint="eastAsia" w:ascii="仿宋_GB2312" w:hAnsi="仿宋_GB2312" w:eastAsia="仿宋_GB2312" w:cs="仿宋_GB2312"/>
          <w:b w:val="0"/>
          <w:bCs/>
          <w:sz w:val="32"/>
          <w:szCs w:val="32"/>
          <w:lang w:val="zh-CN" w:eastAsia="zh-CN"/>
        </w:rPr>
        <w:t>、其他对个人和家庭的补助</w:t>
      </w:r>
      <w:r>
        <w:rPr>
          <w:rFonts w:hint="eastAsia" w:ascii="仿宋_GB2312" w:hAnsi="仿宋_GB2312" w:eastAsia="仿宋_GB2312" w:cs="仿宋_GB2312"/>
          <w:b w:val="0"/>
          <w:bCs/>
          <w:sz w:val="32"/>
          <w:szCs w:val="32"/>
          <w:lang w:val="en-US" w:eastAsia="zh-CN"/>
        </w:rPr>
        <w:t>9万元；公用经费73.86万元，占基本支出的25.79%，主要包括办公费6.02万元、印刷费2.30万元、水费0.41万元、电费4.54万元、邮电费1.26万元、差旅费0.09万元、维修（护）费1.58万元、会议费2.67万元、培训费1.55万元、公务接待费0.47万元、劳务费31.86万元、工会经费3.25万元、公务用车运行维护费3.48元、其他交通费用8.27万元、其他商品和服务支出6.09万元。</w:t>
      </w:r>
    </w:p>
    <w:p>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val="0"/>
          <w:bCs/>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b w:val="0"/>
          <w:bCs/>
          <w:sz w:val="32"/>
          <w:szCs w:val="32"/>
          <w:lang w:val="en-US" w:eastAsia="zh-CN"/>
        </w:rPr>
        <w:t xml:space="preserve"> 2023年度政府性基金预算财政拨款收入0万元；年初结转和结余0万元；支出0万元，其中基本支出0万元，项目支出0万元；年末结转和结余0万元。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国有资本经营预算财政拨款支出决算情况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2023年度国有资本经营预算财政拨款收入0万元；年初结转和结余0万元；支出0万元；年末结转和结余0万元。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2023年度“三公”经费财政拨款支出预算为3.94万元，支出决算为3.94万元，完成预算的100%，其中：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因公出国（境）费支出预算为0万元，支出决算为0万元，决算数等于预算数，主要原因是我单位严格按照预算执行决算；与上年一致，无增减变动，主要原因是未安排因公出国（境）活动。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务接待费支出预算为0.47万元，公务接待费决算为0.47万元，完成预算的100%，决算数等于预算数，主要原因是我单位严格执行中央八项规定；与上年相比减少0.03万元，主要是我单位按有关政策厉行节约，严控公务接待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公务用车购置费支出预算为0万元，支出决算为0万元，决算数等于预算数，主要原因是我单位严格按照预算执行决算；与上年一致，无增减变动，主要原因为两年均未购置公务用车。</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公务用车运行维护费支出预算为3.48万元，支出决算为3.48万元，完成预算的100%，决算数等于预算数，主要原因是我单位严格按照预算执行决算，与上年一致，无增减变动。</w:t>
      </w:r>
    </w:p>
    <w:p>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2023年度“三公”经费财政拨款支出决算中，公务接待费支出决算0.47万元，占11.93%,因公出国（境）费支出决算0万元，占0%,公务用车购置费及运行维护费支出决算3.48万元，占88.07%。其中：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1、因公出国（境）费支出决算为0万元，全年安排因公出国（境）团组0个，累计0人次，我单位2023年度无因公出国（境）费支出。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2、公务接待费支出决算为0.47万元，全年共接待来访团组21个、来宾118人次，主要是各县区文联及下属协会发生的接待支出。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3、公务用车购置费及运行维护费支出决算为3.48万元，其中：公务用车购置费0万元，当年没有购置公务用车。公务用车运行维护费3.48万元，截至2023年12月31日，我单位开支财政拨款的公务用车保有量为1辆。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本部门202</w:t>
      </w:r>
      <w:r>
        <w:rPr>
          <w:rFonts w:hint="default" w:ascii="仿宋_GB2312" w:hAnsi="仿宋_GB2312" w:eastAsia="仿宋_GB2312" w:cs="仿宋_GB2312"/>
          <w:b w:val="0"/>
          <w:bCs/>
          <w:sz w:val="32"/>
          <w:szCs w:val="32"/>
          <w:lang w:val="en" w:eastAsia="zh-CN"/>
        </w:rPr>
        <w:t>3</w:t>
      </w:r>
      <w:r>
        <w:rPr>
          <w:rFonts w:hint="eastAsia" w:ascii="仿宋_GB2312" w:hAnsi="仿宋_GB2312" w:eastAsia="仿宋_GB2312" w:cs="仿宋_GB2312"/>
          <w:b w:val="0"/>
          <w:bCs/>
          <w:sz w:val="32"/>
          <w:szCs w:val="32"/>
          <w:lang w:val="en-US" w:eastAsia="zh-CN"/>
        </w:rPr>
        <w:t>年度机关运行经费支出73.86万元，比上年决算数增加16.33万元，增加28.38%。主要原因是：1、补发本单位劳务派遣人员历年人员补偿款。2、本年培训费增加1.55万元，用于开支培训班支出等。会议费增加2.67万元，召开县市区各协会会议等</w:t>
      </w:r>
      <w:bookmarkStart w:id="0" w:name="_GoBack"/>
      <w:bookmarkEnd w:id="0"/>
      <w:r>
        <w:rPr>
          <w:rFonts w:hint="eastAsia" w:ascii="仿宋_GB2312" w:hAnsi="仿宋_GB2312" w:eastAsia="仿宋_GB2312" w:cs="仿宋_GB2312"/>
          <w:b w:val="0"/>
          <w:bCs/>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w:t>
      </w:r>
      <w:r>
        <w:rPr>
          <w:rFonts w:hint="default" w:ascii="仿宋_GB2312" w:hAnsi="仿宋_GB2312" w:eastAsia="仿宋_GB2312" w:cs="仿宋_GB2312"/>
          <w:b w:val="0"/>
          <w:bCs/>
          <w:sz w:val="32"/>
          <w:szCs w:val="32"/>
          <w:lang w:val="en" w:eastAsia="zh-CN"/>
        </w:rPr>
        <w:t>3</w:t>
      </w:r>
      <w:r>
        <w:rPr>
          <w:rFonts w:hint="eastAsia" w:ascii="仿宋_GB2312" w:hAnsi="仿宋_GB2312" w:eastAsia="仿宋_GB2312" w:cs="仿宋_GB2312"/>
          <w:b w:val="0"/>
          <w:bCs/>
          <w:sz w:val="32"/>
          <w:szCs w:val="32"/>
          <w:lang w:val="en-US" w:eastAsia="zh-CN"/>
        </w:rPr>
        <w:t>年度，会议费年初预算0万元，支出决算为</w:t>
      </w:r>
      <w:r>
        <w:rPr>
          <w:rFonts w:hint="default" w:ascii="仿宋_GB2312" w:hAnsi="仿宋_GB2312" w:eastAsia="仿宋_GB2312" w:cs="仿宋_GB2312"/>
          <w:b w:val="0"/>
          <w:bCs/>
          <w:sz w:val="32"/>
          <w:szCs w:val="32"/>
          <w:lang w:val="en" w:eastAsia="zh-CN"/>
        </w:rPr>
        <w:t>2.67</w:t>
      </w:r>
      <w:r>
        <w:rPr>
          <w:rFonts w:hint="eastAsia" w:ascii="仿宋_GB2312" w:hAnsi="仿宋_GB2312" w:eastAsia="仿宋_GB2312" w:cs="仿宋_GB2312"/>
          <w:b w:val="0"/>
          <w:bCs/>
          <w:sz w:val="32"/>
          <w:szCs w:val="32"/>
          <w:lang w:val="en-US" w:eastAsia="zh-CN"/>
        </w:rPr>
        <w:t>万元，由于预算数为0，无法计算百分比。用于召开县市区协会会议，人数</w:t>
      </w:r>
      <w:r>
        <w:rPr>
          <w:rFonts w:hint="default" w:ascii="仿宋_GB2312" w:hAnsi="仿宋_GB2312" w:eastAsia="仿宋_GB2312" w:cs="仿宋_GB2312"/>
          <w:b w:val="0"/>
          <w:bCs/>
          <w:sz w:val="32"/>
          <w:szCs w:val="32"/>
          <w:lang w:val="en" w:eastAsia="zh-CN"/>
        </w:rPr>
        <w:t>1</w:t>
      </w:r>
      <w:r>
        <w:rPr>
          <w:rFonts w:hint="eastAsia" w:ascii="仿宋_GB2312" w:hAnsi="仿宋_GB2312" w:eastAsia="仿宋_GB2312" w:cs="仿宋_GB2312"/>
          <w:b w:val="0"/>
          <w:bCs/>
          <w:sz w:val="32"/>
          <w:szCs w:val="32"/>
          <w:lang w:val="en-US" w:eastAsia="zh-CN"/>
        </w:rPr>
        <w:t>80余人，内容为表彰年度优秀个人和协会等。</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培训费年初预算0万元，支出决算为</w:t>
      </w:r>
      <w:r>
        <w:rPr>
          <w:rFonts w:hint="default" w:ascii="仿宋_GB2312" w:hAnsi="仿宋_GB2312" w:eastAsia="仿宋_GB2312" w:cs="仿宋_GB2312"/>
          <w:b w:val="0"/>
          <w:bCs/>
          <w:sz w:val="32"/>
          <w:szCs w:val="32"/>
          <w:lang w:val="en" w:eastAsia="zh-CN"/>
        </w:rPr>
        <w:t>1.55</w:t>
      </w:r>
      <w:r>
        <w:rPr>
          <w:rFonts w:hint="eastAsia" w:ascii="仿宋_GB2312" w:hAnsi="仿宋_GB2312" w:eastAsia="仿宋_GB2312" w:cs="仿宋_GB2312"/>
          <w:b w:val="0"/>
          <w:bCs/>
          <w:sz w:val="32"/>
          <w:szCs w:val="32"/>
          <w:lang w:val="en-US" w:eastAsia="zh-CN"/>
        </w:rPr>
        <w:t>万元，由于预算数为0，无法计算百分比。用于组织文艺作品研讨会、培训班培训，人数</w:t>
      </w:r>
      <w:r>
        <w:rPr>
          <w:rFonts w:hint="default" w:ascii="仿宋_GB2312" w:hAnsi="仿宋_GB2312" w:eastAsia="仿宋_GB2312" w:cs="仿宋_GB2312"/>
          <w:b w:val="0"/>
          <w:bCs/>
          <w:sz w:val="32"/>
          <w:szCs w:val="32"/>
          <w:lang w:val="en" w:eastAsia="zh-CN"/>
        </w:rPr>
        <w:t>100</w:t>
      </w:r>
      <w:r>
        <w:rPr>
          <w:rFonts w:hint="eastAsia" w:ascii="仿宋_GB2312" w:hAnsi="仿宋_GB2312" w:eastAsia="仿宋_GB2312" w:cs="仿宋_GB2312"/>
          <w:b w:val="0"/>
          <w:bCs/>
          <w:sz w:val="32"/>
          <w:szCs w:val="32"/>
          <w:lang w:val="en-US" w:eastAsia="zh-CN"/>
        </w:rPr>
        <w:t>余人，内容为优秀作品研讨。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本单位无举办节庆、晚会、论坛、赛事等活动的预算和支出决算数。</w:t>
      </w:r>
    </w:p>
    <w:p>
      <w:pPr>
        <w:pStyle w:val="12"/>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本部门2023年度政府采购支出总额0万元，其中：政府采购货物支出0 万元、政府采购工程支出0万元、政府采购服务支出0万元。授予中小企业合同金额0万元（由于政府采购支出总额为0，故无法计算占政府采购支出总额的比重），其中：授予小微企业合同金额0万元（由于授予小微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auto"/>
          <w:sz w:val="32"/>
          <w:szCs w:val="32"/>
          <w:lang w:val="en-US" w:eastAsia="zh-CN"/>
        </w:rPr>
      </w:pPr>
      <w:r>
        <w:rPr>
          <w:rFonts w:hint="eastAsia" w:ascii="仿宋_GB2312" w:hAnsi="仿宋_GB2312" w:eastAsia="仿宋_GB2312" w:cs="仿宋_GB2312"/>
          <w:b w:val="0"/>
          <w:bCs/>
          <w:sz w:val="32"/>
          <w:szCs w:val="32"/>
          <w:lang w:val="en-US" w:eastAsia="zh-CN"/>
        </w:rPr>
        <w:t>截至2023年12月31日，本单位共有车辆</w:t>
      </w:r>
      <w:r>
        <w:rPr>
          <w:rFonts w:hint="default" w:ascii="仿宋_GB2312" w:hAnsi="仿宋_GB2312" w:eastAsia="仿宋_GB2312" w:cs="仿宋_GB2312"/>
          <w:b w:val="0"/>
          <w:bCs/>
          <w:sz w:val="32"/>
          <w:szCs w:val="32"/>
          <w:lang w:val="en" w:eastAsia="zh-CN"/>
        </w:rPr>
        <w:t>1</w:t>
      </w:r>
      <w:r>
        <w:rPr>
          <w:rFonts w:hint="eastAsia" w:ascii="仿宋_GB2312" w:hAnsi="仿宋_GB2312" w:eastAsia="仿宋_GB2312" w:cs="仿宋_GB2312"/>
          <w:b w:val="0"/>
          <w:bCs/>
          <w:sz w:val="32"/>
          <w:szCs w:val="32"/>
          <w:lang w:val="en-US" w:eastAsia="zh-CN"/>
        </w:rPr>
        <w:t>辆，其中，副部（省）级及以上领导用车0辆、主要负责人用车0辆、机要通信用车0辆、应急保障用车0辆、执法执勤用车0辆、特种专业技术用车0辆、离退休干部服务用车0辆、其他用车1辆；单位价值100万元以上设备（不含车辆）0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根据预算绩效管理要求，我们组织对202</w:t>
      </w:r>
      <w:r>
        <w:rPr>
          <w:rFonts w:hint="default" w:ascii="仿宋_GB2312" w:hAnsi="仿宋_GB2312" w:eastAsia="仿宋_GB2312" w:cs="仿宋_GB2312"/>
          <w:b w:val="0"/>
          <w:bCs/>
          <w:sz w:val="32"/>
          <w:szCs w:val="32"/>
          <w:lang w:val="en" w:eastAsia="zh-CN"/>
        </w:rPr>
        <w:t>3</w:t>
      </w:r>
      <w:r>
        <w:rPr>
          <w:rFonts w:hint="eastAsia" w:ascii="仿宋_GB2312" w:hAnsi="仿宋_GB2312" w:eastAsia="仿宋_GB2312" w:cs="仿宋_GB2312"/>
          <w:b w:val="0"/>
          <w:bCs/>
          <w:sz w:val="32"/>
          <w:szCs w:val="32"/>
          <w:lang w:val="en-US" w:eastAsia="zh-CN"/>
        </w:rPr>
        <w:t>年度整体支出和项目资金实施了全覆盖性的绩效评价，撰写了绩效自评报告。</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组织开展整体支出绩效评价，涉及一般公共预算支出</w:t>
      </w:r>
      <w:r>
        <w:rPr>
          <w:rFonts w:hint="default" w:ascii="仿宋_GB2312" w:hAnsi="仿宋_GB2312" w:eastAsia="仿宋_GB2312" w:cs="仿宋_GB2312"/>
          <w:b w:val="0"/>
          <w:bCs/>
          <w:sz w:val="32"/>
          <w:szCs w:val="32"/>
          <w:lang w:val="en" w:eastAsia="zh-CN"/>
        </w:rPr>
        <w:t>566.72</w:t>
      </w:r>
      <w:r>
        <w:rPr>
          <w:rFonts w:hint="eastAsia" w:ascii="仿宋_GB2312" w:hAnsi="仿宋_GB2312" w:eastAsia="仿宋_GB2312" w:cs="仿宋_GB2312"/>
          <w:b w:val="0"/>
          <w:bCs/>
          <w:sz w:val="32"/>
          <w:szCs w:val="32"/>
          <w:lang w:val="en-US" w:eastAsia="zh-CN"/>
        </w:rPr>
        <w:t>万元，政府性基金预算支出0万元，国有资本经营预算支出0万元。从评价情况来看，整体支出绩效评价中，202</w:t>
      </w:r>
      <w:r>
        <w:rPr>
          <w:rFonts w:hint="default" w:ascii="仿宋_GB2312" w:hAnsi="仿宋_GB2312" w:eastAsia="仿宋_GB2312" w:cs="仿宋_GB2312"/>
          <w:b w:val="0"/>
          <w:bCs/>
          <w:sz w:val="32"/>
          <w:szCs w:val="32"/>
          <w:lang w:val="en" w:eastAsia="zh-CN"/>
        </w:rPr>
        <w:t>3</w:t>
      </w:r>
      <w:r>
        <w:rPr>
          <w:rFonts w:hint="eastAsia" w:ascii="仿宋_GB2312" w:hAnsi="仿宋_GB2312" w:eastAsia="仿宋_GB2312" w:cs="仿宋_GB2312"/>
          <w:b w:val="0"/>
          <w:bCs/>
          <w:sz w:val="32"/>
          <w:szCs w:val="32"/>
          <w:lang w:val="en-US" w:eastAsia="zh-CN"/>
        </w:rPr>
        <w:t>年整体支出</w:t>
      </w:r>
      <w:r>
        <w:rPr>
          <w:rFonts w:hint="default" w:ascii="仿宋_GB2312" w:hAnsi="仿宋_GB2312" w:eastAsia="仿宋_GB2312" w:cs="仿宋_GB2312"/>
          <w:b w:val="0"/>
          <w:bCs/>
          <w:sz w:val="32"/>
          <w:szCs w:val="32"/>
          <w:lang w:val="en" w:eastAsia="zh-CN"/>
        </w:rPr>
        <w:t>579.</w:t>
      </w:r>
      <w:r>
        <w:rPr>
          <w:rFonts w:hint="eastAsia" w:ascii="仿宋_GB2312" w:hAnsi="仿宋_GB2312" w:eastAsia="仿宋_GB2312" w:cs="仿宋_GB2312"/>
          <w:b w:val="0"/>
          <w:bCs/>
          <w:sz w:val="32"/>
          <w:szCs w:val="32"/>
          <w:lang w:val="en-US" w:eastAsia="zh-CN"/>
        </w:rPr>
        <w:t>20万元，其中：基本支出2</w:t>
      </w:r>
      <w:r>
        <w:rPr>
          <w:rFonts w:hint="default" w:ascii="仿宋_GB2312" w:hAnsi="仿宋_GB2312" w:eastAsia="仿宋_GB2312" w:cs="仿宋_GB2312"/>
          <w:b w:val="0"/>
          <w:bCs/>
          <w:sz w:val="32"/>
          <w:szCs w:val="32"/>
          <w:lang w:val="en" w:eastAsia="zh-CN"/>
        </w:rPr>
        <w:t>98.9</w:t>
      </w:r>
      <w:r>
        <w:rPr>
          <w:rFonts w:hint="eastAsia" w:ascii="仿宋_GB2312" w:hAnsi="仿宋_GB2312" w:eastAsia="仿宋_GB2312" w:cs="仿宋_GB2312"/>
          <w:b w:val="0"/>
          <w:bCs/>
          <w:sz w:val="32"/>
          <w:szCs w:val="32"/>
          <w:lang w:val="en-US" w:eastAsia="zh-CN"/>
        </w:rPr>
        <w:t>2万元，项目支出</w:t>
      </w:r>
      <w:r>
        <w:rPr>
          <w:rFonts w:hint="default" w:ascii="仿宋_GB2312" w:hAnsi="仿宋_GB2312" w:eastAsia="仿宋_GB2312" w:cs="仿宋_GB2312"/>
          <w:b w:val="0"/>
          <w:bCs/>
          <w:sz w:val="32"/>
          <w:szCs w:val="32"/>
          <w:lang w:val="en" w:eastAsia="zh-CN"/>
        </w:rPr>
        <w:t>280.28</w:t>
      </w:r>
      <w:r>
        <w:rPr>
          <w:rFonts w:hint="eastAsia" w:ascii="仿宋_GB2312" w:hAnsi="仿宋_GB2312" w:eastAsia="仿宋_GB2312" w:cs="仿宋_GB2312"/>
          <w:b w:val="0"/>
          <w:bCs/>
          <w:sz w:val="32"/>
          <w:szCs w:val="32"/>
          <w:lang w:val="en-US" w:eastAsia="zh-CN"/>
        </w:rPr>
        <w:t>万元，本单位整体支出绩效自评综合评分96分，评价结果等次为优。</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宋体" w:hAnsi="宋体" w:eastAsia="宋体" w:cs="Times New Roman"/>
          <w:color w:val="auto"/>
          <w:kern w:val="2"/>
          <w:sz w:val="32"/>
          <w:szCs w:val="32"/>
          <w:lang w:val="en-US" w:eastAsia="zh-CN" w:bidi="ar-SA"/>
        </w:rPr>
      </w:pPr>
      <w:r>
        <w:rPr>
          <w:rFonts w:hint="eastAsia" w:ascii="仿宋_GB2312" w:hAnsi="仿宋_GB2312" w:eastAsia="仿宋_GB2312" w:cs="仿宋_GB2312"/>
          <w:b w:val="0"/>
          <w:bCs/>
          <w:sz w:val="32"/>
          <w:szCs w:val="32"/>
          <w:lang w:val="en-US" w:eastAsia="zh-CN"/>
        </w:rPr>
        <w:t>组织对一般公共预算项目支出全面开展绩效自评，项目</w:t>
      </w:r>
      <w:r>
        <w:rPr>
          <w:rFonts w:hint="default" w:ascii="仿宋_GB2312" w:hAnsi="仿宋_GB2312" w:eastAsia="仿宋_GB2312" w:cs="仿宋_GB2312"/>
          <w:b w:val="0"/>
          <w:bCs/>
          <w:sz w:val="32"/>
          <w:szCs w:val="32"/>
          <w:lang w:val="en" w:eastAsia="zh-CN"/>
        </w:rPr>
        <w:t>2</w:t>
      </w:r>
      <w:r>
        <w:rPr>
          <w:rFonts w:hint="eastAsia" w:ascii="仿宋_GB2312" w:hAnsi="仿宋_GB2312" w:eastAsia="仿宋_GB2312" w:cs="仿宋_GB2312"/>
          <w:b w:val="0"/>
          <w:bCs/>
          <w:sz w:val="32"/>
          <w:szCs w:val="32"/>
          <w:lang w:val="en-US" w:eastAsia="zh-CN"/>
        </w:rPr>
        <w:t>个，共涉及资金2</w:t>
      </w:r>
      <w:r>
        <w:rPr>
          <w:rFonts w:hint="default" w:ascii="仿宋_GB2312" w:hAnsi="仿宋_GB2312" w:eastAsia="仿宋_GB2312" w:cs="仿宋_GB2312"/>
          <w:b w:val="0"/>
          <w:bCs/>
          <w:sz w:val="32"/>
          <w:szCs w:val="32"/>
          <w:lang w:val="en" w:eastAsia="zh-CN"/>
        </w:rPr>
        <w:t>80.28</w:t>
      </w:r>
      <w:r>
        <w:rPr>
          <w:rFonts w:hint="eastAsia" w:ascii="仿宋_GB2312" w:hAnsi="仿宋_GB2312" w:eastAsia="仿宋_GB2312" w:cs="仿宋_GB2312"/>
          <w:b w:val="0"/>
          <w:bCs/>
          <w:sz w:val="32"/>
          <w:szCs w:val="32"/>
          <w:lang w:val="en-US" w:eastAsia="zh-CN"/>
        </w:rPr>
        <w:t>万元，占一般公共预算项目支出总额的100%。组织对政府性基金预算项目支出开展绩效自评，项目0个，共涉及资金0万元，（由于政府性基金预算项目支出为0，故无法计算占政府性基金预算项目支出总额的比重）。30组织对国有资本经营预算项目支出开展绩效自评，项目0个，共涉及资金0万元，（由于国有资本经营预算项目支出总额为0，故无法计算占国有资本经营预算项目支出总额的比重）。从评价情况来看，项目绩效自评得分98分，评价结果等次为优。</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根据年初设定的绩效目标，绩效自评得分为9</w:t>
      </w:r>
      <w:r>
        <w:rPr>
          <w:rFonts w:hint="default" w:ascii="仿宋_GB2312" w:hAnsi="仿宋_GB2312" w:eastAsia="仿宋_GB2312" w:cs="仿宋_GB2312"/>
          <w:b w:val="0"/>
          <w:bCs/>
          <w:sz w:val="32"/>
          <w:szCs w:val="32"/>
          <w:lang w:val="en" w:eastAsia="zh-CN"/>
        </w:rPr>
        <w:t>6</w:t>
      </w:r>
      <w:r>
        <w:rPr>
          <w:rFonts w:hint="eastAsia" w:ascii="仿宋_GB2312" w:hAnsi="仿宋_GB2312" w:eastAsia="仿宋_GB2312" w:cs="仿宋_GB2312"/>
          <w:b w:val="0"/>
          <w:bCs/>
          <w:sz w:val="32"/>
          <w:szCs w:val="32"/>
          <w:lang w:val="en-US" w:eastAsia="zh-CN"/>
        </w:rPr>
        <w:t>分。全年预算数为</w:t>
      </w:r>
      <w:r>
        <w:rPr>
          <w:rFonts w:hint="default" w:ascii="仿宋_GB2312" w:hAnsi="仿宋_GB2312" w:eastAsia="仿宋_GB2312" w:cs="仿宋_GB2312"/>
          <w:b w:val="0"/>
          <w:bCs/>
          <w:sz w:val="32"/>
          <w:szCs w:val="32"/>
          <w:lang w:val="en" w:eastAsia="zh-CN"/>
        </w:rPr>
        <w:t>579.27</w:t>
      </w:r>
      <w:r>
        <w:rPr>
          <w:rFonts w:hint="eastAsia" w:ascii="仿宋_GB2312" w:hAnsi="仿宋_GB2312" w:eastAsia="仿宋_GB2312" w:cs="仿宋_GB2312"/>
          <w:b w:val="0"/>
          <w:bCs/>
          <w:sz w:val="32"/>
          <w:szCs w:val="32"/>
          <w:lang w:val="en-US" w:eastAsia="zh-CN"/>
        </w:rPr>
        <w:t>万元，执行数为</w:t>
      </w:r>
      <w:r>
        <w:rPr>
          <w:rFonts w:hint="default" w:ascii="仿宋_GB2312" w:hAnsi="仿宋_GB2312" w:eastAsia="仿宋_GB2312" w:cs="仿宋_GB2312"/>
          <w:b w:val="0"/>
          <w:bCs/>
          <w:sz w:val="32"/>
          <w:szCs w:val="32"/>
          <w:lang w:val="en" w:eastAsia="zh-CN"/>
        </w:rPr>
        <w:t>579.19</w:t>
      </w:r>
      <w:r>
        <w:rPr>
          <w:rFonts w:hint="eastAsia" w:ascii="仿宋_GB2312" w:hAnsi="仿宋_GB2312" w:eastAsia="仿宋_GB2312" w:cs="仿宋_GB2312"/>
          <w:b w:val="0"/>
          <w:bCs/>
          <w:sz w:val="32"/>
          <w:szCs w:val="32"/>
          <w:lang w:val="en-US" w:eastAsia="zh-CN"/>
        </w:rPr>
        <w:t>万元，完成预算的</w:t>
      </w:r>
      <w:r>
        <w:rPr>
          <w:rFonts w:hint="default" w:ascii="仿宋_GB2312" w:hAnsi="仿宋_GB2312" w:eastAsia="仿宋_GB2312" w:cs="仿宋_GB2312"/>
          <w:b w:val="0"/>
          <w:bCs/>
          <w:sz w:val="32"/>
          <w:szCs w:val="32"/>
          <w:lang w:val="en" w:eastAsia="zh-CN"/>
        </w:rPr>
        <w:t>99.99</w:t>
      </w:r>
      <w:r>
        <w:rPr>
          <w:rFonts w:hint="eastAsia" w:ascii="仿宋_GB2312" w:hAnsi="仿宋_GB2312" w:eastAsia="仿宋_GB2312" w:cs="仿宋_GB2312"/>
          <w:b w:val="0"/>
          <w:bCs/>
          <w:sz w:val="32"/>
          <w:szCs w:val="32"/>
          <w:lang w:val="en-US" w:eastAsia="zh-CN"/>
        </w:rPr>
        <w:t>%。绩效目标完成情况：一是组织文艺家开展创作采风活动；二是在省级以上刊物发表出版、展览文艺作品。三、发现、挖掘文艺人才。</w:t>
      </w:r>
    </w:p>
    <w:p>
      <w:pPr>
        <w:pStyle w:val="12"/>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存在的主要问题及原因：（1）是预算编制有待进一步加强，确保预算执行力度。预算编制与实际支出项目存在差异,年初未作预算安排，但本年实际发生了支出的现象，以及一些费用明细项目超支现象的存在，预算的执行有待进一步加强。（2）内控建设有待进一步完善。</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下一步改进措施：（1）组织预算执行部门及资金使用部门，加强学习、深刻全面领会预算绩效管理相关政策，确保我单位预算绩效运行常态化、规范化。（2）进一步完善内控评价与监督体系，建立完善适合本部门的预算绩效管理长效机制。（3）加大支出力度，加强绩效运行监控。科学掌握各类项目工作进程，加快推进工作落实，严格按照项目支出预算内容、范围，及时收集整理上报资金拨款基础资料，加快项目支出拨付力度，及时对资金运行状态和绩效目标实现程度开展监控。（4）是牢固树立过紧日子思想，务必厉行节约，加强内部控制领导小组和绩效管理领导小组监督检查职能，严控“三公经费”、会议费、培训费等支出，办公用品（设备）及物品采购等严格审批手续，坚持使用公务卡结算，加强内控执行，实现预期绩效目标，切实发挥财政资金效益。</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预算绩效管理开展情况、绩效目标和绩效评价报告等，已在市政府部门财政预决算公开平台上向社会公开。</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详见附件。</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pStyle w:val="12"/>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color w:val="000000"/>
          <w:kern w:val="0"/>
          <w:sz w:val="70"/>
          <w:szCs w:val="70"/>
        </w:rPr>
      </w:pPr>
    </w:p>
    <w:p>
      <w:pPr>
        <w:pStyle w:val="2"/>
      </w:pP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机关运行经费</w:t>
      </w:r>
      <w:r>
        <w:rPr>
          <w:rFonts w:hint="eastAsia" w:ascii="宋体" w:hAnsi="宋体" w:cs="黑体"/>
          <w:color w:val="000000"/>
          <w:kern w:val="0"/>
          <w:sz w:val="32"/>
          <w:szCs w:val="32"/>
          <w:lang w:eastAsia="zh-CN"/>
        </w:rPr>
        <w:t>，指为保障行政单位（包括参照公务员法管理的事业单位）运行用于购买货物和服务的各项资金</w:t>
      </w:r>
      <w:r>
        <w:rPr>
          <w:rFonts w:hint="eastAsia" w:ascii="宋体" w:hAnsi="宋体" w:cs="黑体"/>
          <w:color w:val="000000"/>
          <w:kern w:val="0"/>
          <w:sz w:val="32"/>
          <w:szCs w:val="32"/>
        </w:rPr>
        <w:t>，包括办公</w:t>
      </w:r>
      <w:r>
        <w:rPr>
          <w:rFonts w:hint="eastAsia" w:ascii="宋体" w:hAnsi="宋体" w:cs="黑体"/>
          <w:color w:val="000000"/>
          <w:kern w:val="0"/>
          <w:sz w:val="32"/>
          <w:szCs w:val="32"/>
          <w:lang w:eastAsia="zh-CN"/>
        </w:rPr>
        <w:t>费、</w:t>
      </w:r>
      <w:r>
        <w:rPr>
          <w:rFonts w:hint="eastAsia" w:ascii="宋体" w:hAnsi="宋体" w:cs="黑体"/>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财政拨款收入：指本级财政当年拨付的资金。</w:t>
      </w:r>
    </w:p>
    <w:p>
      <w:pPr>
        <w:widowControl/>
        <w:shd w:val="clear" w:color="auto" w:fill="FFFFFF"/>
        <w:spacing w:line="480" w:lineRule="auto"/>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其他收入：指除上述“财政拨款收入”、“上级补助收入”、“事业收入”、“经营收入”、“附属单位上缴收入”等以外的收入。</w:t>
      </w:r>
    </w:p>
    <w:p>
      <w:pPr>
        <w:widowControl/>
        <w:shd w:val="clear" w:color="auto" w:fill="FFFFFF"/>
        <w:spacing w:line="480" w:lineRule="auto"/>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上年结转和结余：指以前年度尚未完成、结转到本年按有关规定继续使用的资金。</w:t>
      </w:r>
    </w:p>
    <w:p>
      <w:pPr>
        <w:widowControl/>
        <w:shd w:val="clear" w:color="auto" w:fill="FFFFFF"/>
        <w:spacing w:line="480" w:lineRule="auto"/>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年末结转和结余资金：指本年度或以前年度预算安排、因客观条件发生变化无法按原计划实施，需要延迟到以后年度按有关规定继续使用的资金。</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公共安全支出（类）：是指用于内卫、消防等武装警察部队的支出，包括保障机构正常运转、完成日常和特定的工作任务或事业发展目标的支出。</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科学技术支出（类）：是指用于科学技术方面的支出，包括保障机构正常运转、完成日常和特定的工作任务或事业发展目标的支出。</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城乡社区支出（类）：是指用于城乡社区事务支出，包括保障机构正常运转、完成日常和特定的工作任务或事业发展目标的支出。</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农林水支出（类）：是指用于农林水事务支出，包括保障机构正常运转、完成日常和特定的工作任务或事业发展目标的支出。</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基本支出：指保障机构正常运转、完成支日常工作任务而发生的人员支出和公用支出。</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项目支出：指在基本支出之外为完成特定行政任务和事业发展目标所发生的支出。</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工资福利支出：反映单位开支的在职职工和编制外长期聘用人员的各类劳动报酬，以及为上述人员缴纳的各项社会保险费等。</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奖金：反映机关工作人员年终一次性奖金。</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机关事业单位基本养老保险缴费：反映机关事业单位缴纳的基本养老保险费。由单位代扣的工作人员基本养老保险缴费，不在此科目反映。</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商品和服务支出：反映单位购买商品和服务的支出（不包括用于购置固定资产的支出、战略性和应急储备支出）。</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工会经费：反映单位按规定提取的工会经费。</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公务用车运行维护费：反映单位按规定保留的公务用车燃料费、维修费、过桥过路费、保险费、安全奖励费用等支出。</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pPr>
        <w:widowControl/>
        <w:shd w:val="clear" w:color="auto" w:fill="FFFFFF"/>
        <w:spacing w:line="480" w:lineRule="auto"/>
        <w:ind w:firstLine="48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退休费：反映行政事业单位和军队移交政府安置的退休人员的退休费和其他补贴。</w:t>
      </w:r>
    </w:p>
    <w:p>
      <w:pPr>
        <w:pStyle w:val="12"/>
        <w:jc w:val="center"/>
        <w:rPr>
          <w:rFonts w:hint="eastAsia"/>
          <w:sz w:val="72"/>
          <w:szCs w:val="72"/>
        </w:rPr>
      </w:pPr>
    </w:p>
    <w:p/>
    <w:p>
      <w:pPr>
        <w:pStyle w:val="2"/>
      </w:pPr>
    </w:p>
    <w:p>
      <w:pPr>
        <w:pStyle w:val="3"/>
      </w:pPr>
    </w:p>
    <w:p/>
    <w:p>
      <w:pPr>
        <w:pStyle w:val="2"/>
      </w:pPr>
    </w:p>
    <w:p>
      <w:pPr>
        <w:pStyle w:val="3"/>
      </w:pPr>
    </w:p>
    <w:p/>
    <w:p>
      <w:pPr>
        <w:pStyle w:val="2"/>
      </w:pPr>
    </w:p>
    <w:p>
      <w:pPr>
        <w:pStyle w:val="2"/>
      </w:pPr>
    </w:p>
    <w:p>
      <w:pPr>
        <w:pStyle w:val="3"/>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both"/>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768DD6"/>
    <w:multiLevelType w:val="singleLevel"/>
    <w:tmpl w:val="BF768DD6"/>
    <w:lvl w:ilvl="0" w:tentative="0">
      <w:start w:val="6"/>
      <w:numFmt w:val="chineseCounting"/>
      <w:suff w:val="nothing"/>
      <w:lvlText w:val="%1、"/>
      <w:lvlJc w:val="left"/>
      <w:rPr>
        <w:rFonts w:hint="eastAsia"/>
      </w:rPr>
    </w:lvl>
  </w:abstractNum>
  <w:abstractNum w:abstractNumId="1">
    <w:nsid w:val="EF3BB74F"/>
    <w:multiLevelType w:val="singleLevel"/>
    <w:tmpl w:val="EF3BB74F"/>
    <w:lvl w:ilvl="0" w:tentative="0">
      <w:start w:val="12"/>
      <w:numFmt w:val="chineseCounting"/>
      <w:suff w:val="nothing"/>
      <w:lvlText w:val="%1、"/>
      <w:lvlJc w:val="left"/>
      <w:rPr>
        <w:rFonts w:hint="eastAsia"/>
      </w:rPr>
    </w:lvl>
  </w:abstractNum>
  <w:abstractNum w:abstractNumId="2">
    <w:nsid w:val="FFFF1B59"/>
    <w:multiLevelType w:val="singleLevel"/>
    <w:tmpl w:val="FFFF1B59"/>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12583BA5"/>
    <w:rsid w:val="13BA5B9C"/>
    <w:rsid w:val="13F7E93E"/>
    <w:rsid w:val="1D97DEFF"/>
    <w:rsid w:val="1DFF72E5"/>
    <w:rsid w:val="1EFC6F07"/>
    <w:rsid w:val="2129788B"/>
    <w:rsid w:val="22AC03C2"/>
    <w:rsid w:val="2A86651B"/>
    <w:rsid w:val="2FDF85B8"/>
    <w:rsid w:val="2FFBD9A7"/>
    <w:rsid w:val="2FFFEE04"/>
    <w:rsid w:val="31C95635"/>
    <w:rsid w:val="34DF85B0"/>
    <w:rsid w:val="36EBC1E2"/>
    <w:rsid w:val="3753365B"/>
    <w:rsid w:val="3B8F36BC"/>
    <w:rsid w:val="3EEF6C8E"/>
    <w:rsid w:val="3EF64613"/>
    <w:rsid w:val="3F534B5B"/>
    <w:rsid w:val="412F3827"/>
    <w:rsid w:val="45EFCC2B"/>
    <w:rsid w:val="491FF225"/>
    <w:rsid w:val="4FEF1B31"/>
    <w:rsid w:val="4FFD214C"/>
    <w:rsid w:val="5352765A"/>
    <w:rsid w:val="5777D4F5"/>
    <w:rsid w:val="59DD8326"/>
    <w:rsid w:val="5CF3A79A"/>
    <w:rsid w:val="5DEF592A"/>
    <w:rsid w:val="5F7F3B9F"/>
    <w:rsid w:val="5FBF81F0"/>
    <w:rsid w:val="5FC6BB1E"/>
    <w:rsid w:val="5FF720F1"/>
    <w:rsid w:val="641DFBF6"/>
    <w:rsid w:val="6544132A"/>
    <w:rsid w:val="67FF5C0B"/>
    <w:rsid w:val="6BAA4A2F"/>
    <w:rsid w:val="6EFC0924"/>
    <w:rsid w:val="6FB74722"/>
    <w:rsid w:val="6FEF8B7E"/>
    <w:rsid w:val="70EB6D52"/>
    <w:rsid w:val="71A6591B"/>
    <w:rsid w:val="737D59BA"/>
    <w:rsid w:val="737F32B1"/>
    <w:rsid w:val="77C37683"/>
    <w:rsid w:val="79FF515B"/>
    <w:rsid w:val="7BF9696D"/>
    <w:rsid w:val="7D33CC1A"/>
    <w:rsid w:val="7E9E1962"/>
    <w:rsid w:val="7E9F11B4"/>
    <w:rsid w:val="7EFE84A0"/>
    <w:rsid w:val="7F37EC1E"/>
    <w:rsid w:val="7F7DCD9D"/>
    <w:rsid w:val="7F970A6F"/>
    <w:rsid w:val="7FBF2B66"/>
    <w:rsid w:val="7FBFA607"/>
    <w:rsid w:val="7FC1FFF3"/>
    <w:rsid w:val="7FC69637"/>
    <w:rsid w:val="7FDD65E3"/>
    <w:rsid w:val="7FDF8620"/>
    <w:rsid w:val="7FE72781"/>
    <w:rsid w:val="7FFB242F"/>
    <w:rsid w:val="7FFDB408"/>
    <w:rsid w:val="7FFE4EEB"/>
    <w:rsid w:val="8FE74042"/>
    <w:rsid w:val="95FB2B98"/>
    <w:rsid w:val="9A639BC2"/>
    <w:rsid w:val="9FF7D786"/>
    <w:rsid w:val="ABBFB23D"/>
    <w:rsid w:val="B9EF98AB"/>
    <w:rsid w:val="BE7F4EF7"/>
    <w:rsid w:val="BFABAEC1"/>
    <w:rsid w:val="BFFF21F2"/>
    <w:rsid w:val="C3B4DA5A"/>
    <w:rsid w:val="C5F3B7D6"/>
    <w:rsid w:val="CBFF70E0"/>
    <w:rsid w:val="CDBFF4B4"/>
    <w:rsid w:val="CFF50B82"/>
    <w:rsid w:val="CFFFAD89"/>
    <w:rsid w:val="D9995743"/>
    <w:rsid w:val="DDB637A7"/>
    <w:rsid w:val="DE3CBF18"/>
    <w:rsid w:val="DF9E1980"/>
    <w:rsid w:val="DFFE359E"/>
    <w:rsid w:val="DFFE4FFD"/>
    <w:rsid w:val="E6EDC348"/>
    <w:rsid w:val="EC0A4E2B"/>
    <w:rsid w:val="EE9F584A"/>
    <w:rsid w:val="EEABED75"/>
    <w:rsid w:val="EF1626A1"/>
    <w:rsid w:val="F56FDF51"/>
    <w:rsid w:val="F6B69F17"/>
    <w:rsid w:val="F77F1D61"/>
    <w:rsid w:val="F79D53C9"/>
    <w:rsid w:val="F7BD837B"/>
    <w:rsid w:val="F7F6551A"/>
    <w:rsid w:val="F7FED3A9"/>
    <w:rsid w:val="F8C9DB26"/>
    <w:rsid w:val="F97E8EAE"/>
    <w:rsid w:val="F9E70B96"/>
    <w:rsid w:val="FB36E1A6"/>
    <w:rsid w:val="FB3BE134"/>
    <w:rsid w:val="FCFF4275"/>
    <w:rsid w:val="FD6E8E03"/>
    <w:rsid w:val="FD7FEEEA"/>
    <w:rsid w:val="FDFFB577"/>
    <w:rsid w:val="FEEA50FE"/>
    <w:rsid w:val="FF7D47A9"/>
    <w:rsid w:val="FF7FFEFD"/>
    <w:rsid w:val="FFCF21CB"/>
    <w:rsid w:val="FFD720EA"/>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34</TotalTime>
  <ScaleCrop>false</ScaleCrop>
  <LinksUpToDate>false</LinksUpToDate>
  <CharactersWithSpaces>9008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2020-07-10T10:32:00Z</dcterms:created>
  <dc:creator>李航 null</dc:creator>
  <cp:lastModifiedBy>yp萍安</cp:lastModifiedBy>
  <cp:lastPrinted>2024-08-10T18:20:00Z</cp:lastPrinted>
  <dcterms:modified xsi:type="dcterms:W3CDTF">2025-08-15T02:10:51Z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98623D6660B449428EB8E073C6C952EA</vt:lpwstr>
  </property>
</Properties>
</file>