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F94FA0">
      <w:pPr>
        <w:spacing w:beforeLines="0" w:afterLines="0"/>
        <w:rPr>
          <w:rFonts w:hint="default" w:ascii="Times New Roman" w:cs="Times New Roman"/>
          <w:color w:val="auto"/>
          <w:sz w:val="2"/>
          <w:szCs w:val="2"/>
        </w:rPr>
      </w:pPr>
      <w:bookmarkStart w:id="0" w:name="_GoBack"/>
      <w:bookmarkEnd w:id="0"/>
    </w:p>
    <w:tbl>
      <w:tblPr>
        <w:tblStyle w:val="9"/>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2E19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F418412">
            <w:pPr>
              <w:spacing w:beforeLines="-2147483648" w:afterLines="-2147483648" w:line="1110" w:lineRule="exact"/>
              <w:ind w:left="20"/>
              <w:jc w:val="center"/>
              <w:rPr>
                <w:rFonts w:hint="eastAsia" w:ascii="方正小标宋_GBK" w:hAnsi="方正小标宋_GBK" w:eastAsia="方正小标宋_GBK" w:cs="方正小标宋_GBK"/>
                <w:b w:val="0"/>
                <w:bCs w:val="0"/>
                <w:kern w:val="0"/>
                <w:sz w:val="96"/>
                <w:szCs w:val="96"/>
              </w:rPr>
            </w:pPr>
          </w:p>
          <w:p w14:paraId="54E549C2">
            <w:pPr>
              <w:spacing w:beforeLines="-2147483648" w:afterLines="-2147483648" w:line="1110" w:lineRule="exact"/>
              <w:ind w:left="20"/>
              <w:jc w:val="center"/>
              <w:rPr>
                <w:rFonts w:hint="eastAsia" w:ascii="方正小标宋_GBK" w:hAnsi="方正小标宋_GBK" w:eastAsia="方正小标宋_GBK" w:cs="方正小标宋_GBK"/>
                <w:b w:val="0"/>
                <w:bCs w:val="0"/>
                <w:kern w:val="0"/>
                <w:sz w:val="96"/>
                <w:szCs w:val="96"/>
              </w:rPr>
            </w:pPr>
            <w:r>
              <w:rPr>
                <w:rFonts w:hint="eastAsia" w:ascii="方正小标宋_GBK" w:hAnsi="方正小标宋_GBK" w:eastAsia="方正小标宋_GBK" w:cs="方正小标宋_GBK"/>
                <w:b w:val="0"/>
                <w:bCs w:val="0"/>
                <w:kern w:val="0"/>
                <w:sz w:val="96"/>
                <w:szCs w:val="96"/>
              </w:rPr>
              <w:t>岳阳市机关事务管理局2024年度</w:t>
            </w:r>
          </w:p>
          <w:p w14:paraId="142C466A">
            <w:pPr>
              <w:spacing w:beforeLines="-2147483648" w:afterLines="-2147483648" w:line="1110" w:lineRule="exact"/>
              <w:ind w:left="20"/>
              <w:jc w:val="center"/>
              <w:rPr>
                <w:rFonts w:hint="eastAsia" w:ascii="方正小标宋_GBK" w:hAnsi="方正小标宋_GBK" w:eastAsia="方正小标宋_GBK" w:cs="方正小标宋_GBK"/>
                <w:b w:val="0"/>
                <w:bCs w:val="0"/>
                <w:kern w:val="0"/>
                <w:sz w:val="96"/>
                <w:szCs w:val="96"/>
              </w:rPr>
            </w:pPr>
          </w:p>
          <w:p w14:paraId="0FEC8681">
            <w:pPr>
              <w:spacing w:beforeLines="-2147483648" w:afterLines="-2147483648" w:line="1110" w:lineRule="exact"/>
              <w:ind w:left="20"/>
              <w:jc w:val="center"/>
              <w:rPr>
                <w:rFonts w:hint="eastAsia" w:ascii="方正小标宋_GBK" w:hAnsi="方正小标宋_GBK" w:eastAsia="方正小标宋_GBK" w:cs="方正小标宋_GBK"/>
                <w:b w:val="0"/>
                <w:bCs w:val="0"/>
                <w:kern w:val="0"/>
                <w:sz w:val="96"/>
                <w:szCs w:val="96"/>
              </w:rPr>
            </w:pPr>
          </w:p>
          <w:p w14:paraId="5EAD98B3">
            <w:pPr>
              <w:spacing w:beforeLines="-2147483648" w:afterLines="-2147483648" w:line="1110" w:lineRule="exact"/>
              <w:ind w:left="20"/>
              <w:jc w:val="center"/>
              <w:rPr>
                <w:rFonts w:hint="eastAsia" w:ascii="微软雅黑" w:hAnsi="Times New Roman" w:eastAsia="微软雅黑" w:cs="微软雅黑"/>
                <w:sz w:val="84"/>
                <w:szCs w:val="84"/>
              </w:rPr>
            </w:pPr>
            <w:r>
              <w:rPr>
                <w:rFonts w:hint="eastAsia" w:ascii="方正小标宋_GBK" w:hAnsi="方正小标宋_GBK" w:eastAsia="方正小标宋_GBK" w:cs="方正小标宋_GBK"/>
                <w:b w:val="0"/>
                <w:bCs w:val="0"/>
                <w:kern w:val="0"/>
                <w:sz w:val="96"/>
                <w:szCs w:val="96"/>
              </w:rPr>
              <w:t>部</w:t>
            </w:r>
            <w:r>
              <w:rPr>
                <w:rFonts w:hint="eastAsia" w:ascii="方正小标宋_GBK" w:hAnsi="方正小标宋_GBK" w:eastAsia="方正小标宋_GBK" w:cs="方正小标宋_GBK"/>
                <w:b w:val="0"/>
                <w:bCs w:val="0"/>
                <w:kern w:val="0"/>
                <w:sz w:val="96"/>
                <w:szCs w:val="96"/>
                <w:lang w:val="en-US" w:eastAsia="zh-CN"/>
              </w:rPr>
              <w:t xml:space="preserve"> </w:t>
            </w:r>
            <w:r>
              <w:rPr>
                <w:rFonts w:hint="eastAsia" w:ascii="方正小标宋_GBK" w:hAnsi="方正小标宋_GBK" w:eastAsia="方正小标宋_GBK" w:cs="方正小标宋_GBK"/>
                <w:b w:val="0"/>
                <w:bCs w:val="0"/>
                <w:kern w:val="0"/>
                <w:sz w:val="96"/>
                <w:szCs w:val="96"/>
              </w:rPr>
              <w:t>门</w:t>
            </w:r>
            <w:r>
              <w:rPr>
                <w:rFonts w:hint="eastAsia" w:ascii="方正小标宋_GBK" w:hAnsi="方正小标宋_GBK" w:eastAsia="方正小标宋_GBK" w:cs="方正小标宋_GBK"/>
                <w:b w:val="0"/>
                <w:bCs w:val="0"/>
                <w:kern w:val="0"/>
                <w:sz w:val="96"/>
                <w:szCs w:val="96"/>
                <w:lang w:val="en-US" w:eastAsia="zh-CN"/>
              </w:rPr>
              <w:t xml:space="preserve"> </w:t>
            </w:r>
            <w:r>
              <w:rPr>
                <w:rFonts w:hint="eastAsia" w:ascii="方正小标宋_GBK" w:hAnsi="方正小标宋_GBK" w:eastAsia="方正小标宋_GBK" w:cs="方正小标宋_GBK"/>
                <w:b w:val="0"/>
                <w:bCs w:val="0"/>
                <w:kern w:val="0"/>
                <w:sz w:val="96"/>
                <w:szCs w:val="96"/>
              </w:rPr>
              <w:t>预</w:t>
            </w:r>
            <w:r>
              <w:rPr>
                <w:rFonts w:hint="eastAsia" w:ascii="方正小标宋_GBK" w:hAnsi="方正小标宋_GBK" w:eastAsia="方正小标宋_GBK" w:cs="方正小标宋_GBK"/>
                <w:b w:val="0"/>
                <w:bCs w:val="0"/>
                <w:kern w:val="0"/>
                <w:sz w:val="96"/>
                <w:szCs w:val="96"/>
                <w:lang w:val="en-US" w:eastAsia="zh-CN"/>
              </w:rPr>
              <w:t xml:space="preserve"> </w:t>
            </w:r>
            <w:r>
              <w:rPr>
                <w:rFonts w:hint="eastAsia" w:ascii="方正小标宋_GBK" w:hAnsi="方正小标宋_GBK" w:eastAsia="方正小标宋_GBK" w:cs="方正小标宋_GBK"/>
                <w:b w:val="0"/>
                <w:bCs w:val="0"/>
                <w:kern w:val="0"/>
                <w:sz w:val="96"/>
                <w:szCs w:val="96"/>
              </w:rPr>
              <w:t>算</w:t>
            </w:r>
          </w:p>
        </w:tc>
      </w:tr>
      <w:tr w14:paraId="1F67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3B76AC3">
            <w:pPr>
              <w:spacing w:beforeLines="0" w:afterLines="0" w:line="525" w:lineRule="exact"/>
              <w:ind w:left="20"/>
              <w:jc w:val="center"/>
              <w:rPr>
                <w:rFonts w:hint="eastAsia" w:ascii="Dialog" w:hAnsi="Times New Roman" w:cs="Dialog"/>
                <w:sz w:val="44"/>
                <w:szCs w:val="44"/>
              </w:rPr>
            </w:pPr>
          </w:p>
          <w:p w14:paraId="5B0353F3">
            <w:pPr>
              <w:spacing w:beforeLines="0" w:afterLines="0" w:line="525" w:lineRule="exact"/>
              <w:ind w:left="20"/>
              <w:jc w:val="center"/>
              <w:rPr>
                <w:rFonts w:hint="eastAsia" w:ascii="Dialog" w:hAnsi="Times New Roman" w:cs="Dialog"/>
                <w:sz w:val="44"/>
                <w:szCs w:val="44"/>
              </w:rPr>
            </w:pPr>
          </w:p>
          <w:p w14:paraId="1F1431FA">
            <w:pPr>
              <w:spacing w:beforeLines="0" w:afterLines="0" w:line="525" w:lineRule="exact"/>
              <w:ind w:left="20"/>
              <w:jc w:val="center"/>
              <w:rPr>
                <w:rFonts w:hint="eastAsia" w:ascii="Dialog" w:hAnsi="Times New Roman" w:cs="Dialog"/>
                <w:sz w:val="44"/>
                <w:szCs w:val="44"/>
              </w:rPr>
            </w:pPr>
          </w:p>
          <w:p w14:paraId="7A38B3A3">
            <w:pPr>
              <w:spacing w:beforeLines="0" w:afterLines="0" w:line="525" w:lineRule="exact"/>
              <w:ind w:left="20"/>
              <w:jc w:val="center"/>
              <w:rPr>
                <w:rFonts w:hint="eastAsia" w:ascii="Dialog" w:hAnsi="Times New Roman" w:cs="Dialog"/>
                <w:sz w:val="44"/>
                <w:szCs w:val="44"/>
              </w:rPr>
            </w:pPr>
          </w:p>
          <w:p w14:paraId="5CCF7CD2">
            <w:pPr>
              <w:spacing w:beforeLines="0" w:afterLines="0" w:line="525" w:lineRule="exact"/>
              <w:ind w:left="20"/>
              <w:jc w:val="center"/>
              <w:rPr>
                <w:rFonts w:hint="eastAsia" w:ascii="Dialog" w:hAnsi="Times New Roman" w:cs="Dialog"/>
                <w:sz w:val="44"/>
                <w:szCs w:val="44"/>
              </w:rPr>
            </w:pPr>
          </w:p>
          <w:p w14:paraId="6F4FA47E">
            <w:pPr>
              <w:spacing w:beforeLines="0" w:afterLines="0" w:line="525" w:lineRule="exact"/>
              <w:ind w:left="20"/>
              <w:jc w:val="center"/>
              <w:rPr>
                <w:rFonts w:hint="eastAsia" w:ascii="Dialog" w:hAnsi="Times New Roman" w:cs="Dialog"/>
                <w:sz w:val="44"/>
                <w:szCs w:val="44"/>
              </w:rPr>
            </w:pPr>
          </w:p>
          <w:p w14:paraId="2658D8DA">
            <w:pPr>
              <w:spacing w:beforeLines="0" w:afterLines="0" w:line="525" w:lineRule="exact"/>
              <w:ind w:left="20"/>
              <w:jc w:val="center"/>
              <w:rPr>
                <w:rFonts w:hint="eastAsia" w:ascii="Dialog" w:hAnsi="Times New Roman" w:cs="Dialog"/>
                <w:sz w:val="44"/>
                <w:szCs w:val="44"/>
              </w:rPr>
            </w:pPr>
          </w:p>
          <w:p w14:paraId="4DF1A232">
            <w:pPr>
              <w:spacing w:beforeLines="0" w:afterLines="0" w:line="525" w:lineRule="exact"/>
              <w:ind w:left="20"/>
              <w:jc w:val="center"/>
              <w:rPr>
                <w:rFonts w:hint="eastAsia" w:ascii="Dialog" w:hAnsi="Times New Roman" w:cs="Dialog"/>
                <w:sz w:val="44"/>
                <w:szCs w:val="44"/>
              </w:rPr>
            </w:pPr>
          </w:p>
          <w:p w14:paraId="3C2256A1">
            <w:pPr>
              <w:spacing w:beforeLines="0" w:afterLines="0" w:line="525" w:lineRule="exact"/>
              <w:ind w:left="20"/>
              <w:jc w:val="center"/>
              <w:rPr>
                <w:rFonts w:hint="eastAsia" w:ascii="Dialog" w:hAnsi="Times New Roman" w:cs="Dialog"/>
                <w:sz w:val="44"/>
                <w:szCs w:val="44"/>
              </w:rPr>
            </w:pPr>
          </w:p>
          <w:p w14:paraId="667D1B3C">
            <w:pPr>
              <w:spacing w:beforeLines="0" w:afterLines="0" w:line="525" w:lineRule="exact"/>
              <w:ind w:left="20"/>
              <w:jc w:val="center"/>
              <w:rPr>
                <w:rFonts w:hint="eastAsia" w:ascii="Dialog" w:hAnsi="Times New Roman" w:cs="Dialog"/>
                <w:sz w:val="44"/>
                <w:szCs w:val="44"/>
              </w:rPr>
            </w:pPr>
          </w:p>
          <w:p w14:paraId="61008FF6">
            <w:pPr>
              <w:spacing w:beforeLines="0" w:afterLines="0" w:line="525" w:lineRule="exact"/>
              <w:ind w:left="20"/>
              <w:jc w:val="center"/>
              <w:rPr>
                <w:rFonts w:hint="eastAsia" w:ascii="Dialog" w:hAnsi="Times New Roman" w:cs="Dialog"/>
                <w:sz w:val="44"/>
                <w:szCs w:val="44"/>
              </w:rPr>
            </w:pPr>
          </w:p>
          <w:p w14:paraId="1FE145C9">
            <w:pPr>
              <w:spacing w:beforeLines="0" w:afterLines="0" w:line="525" w:lineRule="exact"/>
              <w:ind w:left="20"/>
              <w:jc w:val="center"/>
              <w:rPr>
                <w:rFonts w:hint="eastAsia" w:ascii="Dialog" w:hAnsi="Times New Roman" w:cs="Dialog"/>
                <w:sz w:val="44"/>
                <w:szCs w:val="44"/>
              </w:rPr>
            </w:pPr>
          </w:p>
          <w:p w14:paraId="2FA05AE9">
            <w:pPr>
              <w:spacing w:beforeLines="0" w:afterLines="0" w:line="525" w:lineRule="exact"/>
              <w:ind w:left="20"/>
              <w:jc w:val="center"/>
              <w:rPr>
                <w:rFonts w:hint="eastAsia" w:ascii="Dialog" w:hAnsi="Times New Roman" w:cs="Dialog"/>
                <w:sz w:val="44"/>
                <w:szCs w:val="44"/>
              </w:rPr>
            </w:pPr>
          </w:p>
          <w:p w14:paraId="2223D97C">
            <w:pPr>
              <w:spacing w:beforeLines="0" w:afterLines="0" w:line="525" w:lineRule="exact"/>
              <w:ind w:left="20"/>
              <w:jc w:val="center"/>
              <w:rPr>
                <w:rFonts w:hint="eastAsia" w:ascii="Dialog" w:hAnsi="Times New Roman" w:cs="Dialog"/>
                <w:sz w:val="44"/>
                <w:szCs w:val="44"/>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tc>
      </w:tr>
      <w:tr w14:paraId="1598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987AA44">
            <w:pPr>
              <w:spacing w:beforeLines="0" w:afterLines="0"/>
              <w:rPr>
                <w:rFonts w:hint="default" w:ascii="Times New Roman" w:cs="Times New Roman"/>
                <w:color w:val="auto"/>
                <w:sz w:val="24"/>
                <w:szCs w:val="24"/>
              </w:rPr>
            </w:pPr>
          </w:p>
        </w:tc>
      </w:tr>
      <w:tr w14:paraId="2365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0F19E56">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第一部分  2024年部门预算说明</w:t>
            </w:r>
          </w:p>
        </w:tc>
      </w:tr>
      <w:tr w14:paraId="40CA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4DFA38">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第二部分  2024年部门预算公开表格</w:t>
            </w:r>
          </w:p>
        </w:tc>
      </w:tr>
      <w:tr w14:paraId="5ABC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39BD19">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1、收支总表</w:t>
            </w:r>
          </w:p>
        </w:tc>
      </w:tr>
      <w:tr w14:paraId="03C0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0DD69B0">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2、收入总表</w:t>
            </w:r>
          </w:p>
        </w:tc>
      </w:tr>
      <w:tr w14:paraId="1D96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3614292">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3、支出总表</w:t>
            </w:r>
          </w:p>
        </w:tc>
      </w:tr>
      <w:tr w14:paraId="414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F862B3C">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4、支出预算分类汇总表（按政府预算经济分类）</w:t>
            </w:r>
          </w:p>
        </w:tc>
      </w:tr>
      <w:tr w14:paraId="76DB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78432B0">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5、支出预算分类汇总表（按部门预算经济分类）</w:t>
            </w:r>
          </w:p>
        </w:tc>
      </w:tr>
      <w:tr w14:paraId="0399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09CE08">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6、财政拨款收支总表</w:t>
            </w:r>
          </w:p>
        </w:tc>
      </w:tr>
      <w:tr w14:paraId="495C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FA7CB4">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7、一般公共预算支出表</w:t>
            </w:r>
          </w:p>
        </w:tc>
      </w:tr>
      <w:tr w14:paraId="34C5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455F0C">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8、一般公共预算基本支出表-人员经费（工资福利支出）（按政府预算经济分类）</w:t>
            </w:r>
          </w:p>
        </w:tc>
      </w:tr>
      <w:tr w14:paraId="6E13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750730">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9、一般公共预算基本支出表-人员经费（工资福利支出）（按部门预算经济分类）</w:t>
            </w:r>
          </w:p>
        </w:tc>
      </w:tr>
      <w:tr w14:paraId="5F79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D32793">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10、一般公共预算基本支出表-人员经费（对个人和家庭的补助）（按政府预算经济分类）</w:t>
            </w:r>
          </w:p>
        </w:tc>
      </w:tr>
      <w:tr w14:paraId="7DC5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1523A7">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11、一般公共预算基本支出表-人员经费（对个人和家庭的补助）（按部门预算经济分类）</w:t>
            </w:r>
          </w:p>
        </w:tc>
      </w:tr>
      <w:tr w14:paraId="1C6F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2C2976">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12、一般公共预算基本支出表-公用经费（商品和服务支出）（按政府预算经济分类）</w:t>
            </w:r>
          </w:p>
        </w:tc>
      </w:tr>
      <w:tr w14:paraId="59F9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DF4ABC0">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13、一般公共预算基本支出表-公用经费（商品和服务支出）（按部门预算经济分类）</w:t>
            </w:r>
          </w:p>
        </w:tc>
      </w:tr>
      <w:tr w14:paraId="18C9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709CE4">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14、一般公共预算“三公”经费支出表</w:t>
            </w:r>
          </w:p>
        </w:tc>
      </w:tr>
      <w:tr w14:paraId="64A3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E91EA8">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15、政府性基金预算支出表</w:t>
            </w:r>
          </w:p>
        </w:tc>
      </w:tr>
      <w:tr w14:paraId="08EE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B4CEEC">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16、政府性基金预算支出分类汇总表（按政府预算经济分类）</w:t>
            </w:r>
          </w:p>
        </w:tc>
      </w:tr>
      <w:tr w14:paraId="6AF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0FDBCD">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17、政府性基金预算支出分类汇总表（按部门预算经济分类）</w:t>
            </w:r>
          </w:p>
        </w:tc>
      </w:tr>
      <w:tr w14:paraId="6928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2DB23D">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18、国有资本经营预算支出表</w:t>
            </w:r>
          </w:p>
        </w:tc>
      </w:tr>
      <w:tr w14:paraId="5842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92C700">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19、财政专户管理资金预算支出表</w:t>
            </w:r>
          </w:p>
        </w:tc>
      </w:tr>
      <w:tr w14:paraId="05CF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B64E637">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20、专项资金预算汇总表</w:t>
            </w:r>
          </w:p>
        </w:tc>
      </w:tr>
      <w:tr w14:paraId="70C0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2016D3">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21、项目支出绩效目标表</w:t>
            </w:r>
          </w:p>
        </w:tc>
      </w:tr>
      <w:tr w14:paraId="6D08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2D1C23C">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22、部门整体支出绩效目标表</w:t>
            </w:r>
          </w:p>
        </w:tc>
      </w:tr>
      <w:tr w14:paraId="3F22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010946">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kern w:val="0"/>
                <w:sz w:val="32"/>
                <w:szCs w:val="32"/>
                <w:lang w:val="en-US" w:eastAsia="zh-CN" w:bidi="ar-SA"/>
              </w:rPr>
              <w:t>23、一般公共预算基本支出表</w:t>
            </w:r>
          </w:p>
        </w:tc>
      </w:tr>
      <w:tr w14:paraId="42C6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739699">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color w:val="FF0000"/>
                <w:kern w:val="0"/>
                <w:sz w:val="32"/>
                <w:szCs w:val="32"/>
                <w:lang w:val="en-US" w:eastAsia="zh-CN" w:bidi="ar-SA"/>
              </w:rPr>
            </w:pPr>
          </w:p>
          <w:p w14:paraId="255B3F04">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color w:val="FF0000"/>
                <w:kern w:val="0"/>
                <w:sz w:val="32"/>
                <w:szCs w:val="32"/>
                <w:lang w:val="en-US" w:eastAsia="zh-CN" w:bidi="ar-SA"/>
              </w:rPr>
            </w:pPr>
          </w:p>
          <w:p w14:paraId="6EE5ED34">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r>
              <w:rPr>
                <w:rFonts w:hint="eastAsia" w:ascii="Times New Roman" w:hAnsi="Times New Roman" w:eastAsia="宋体" w:cs="Times New Roman"/>
                <w:color w:val="FF0000"/>
                <w:kern w:val="0"/>
                <w:sz w:val="32"/>
                <w:szCs w:val="32"/>
                <w:lang w:val="en-US" w:eastAsia="zh-CN" w:bidi="ar-SA"/>
              </w:rPr>
              <w:t>注：以上部门预算公开报表中，空表表示本部门无相关收支情况。</w:t>
            </w:r>
          </w:p>
        </w:tc>
      </w:tr>
      <w:tr w14:paraId="1092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6B5A6B8">
            <w:pPr>
              <w:pStyle w:val="8"/>
              <w:keepNext w:val="0"/>
              <w:keepLines w:val="0"/>
              <w:pageBreakBefore w:val="0"/>
              <w:widowControl w:val="0"/>
              <w:shd w:val="clear" w:color="auto" w:fill="FFFFFF"/>
              <w:kinsoku/>
              <w:wordWrap/>
              <w:overflowPunct/>
              <w:topLinePunct w:val="0"/>
              <w:autoSpaceDE w:val="0"/>
              <w:autoSpaceDN w:val="0"/>
              <w:bidi w:val="0"/>
              <w:adjustRightInd w:val="0"/>
              <w:snapToGrid w:val="0"/>
              <w:spacing w:before="0" w:beforeLines="-2147483648" w:beforeAutospacing="0" w:after="0" w:afterLines="-2147483648" w:afterAutospacing="0" w:line="300" w:lineRule="exact"/>
              <w:ind w:left="0" w:right="0" w:firstLine="640" w:firstLineChars="200"/>
              <w:jc w:val="both"/>
              <w:textAlignment w:val="center"/>
              <w:rPr>
                <w:rFonts w:hint="eastAsia" w:ascii="Times New Roman" w:hAnsi="Times New Roman" w:eastAsia="宋体" w:cs="Times New Roman"/>
                <w:kern w:val="0"/>
                <w:sz w:val="32"/>
                <w:szCs w:val="32"/>
                <w:lang w:val="en-US" w:eastAsia="zh-CN" w:bidi="ar-SA"/>
              </w:rPr>
            </w:pPr>
          </w:p>
        </w:tc>
      </w:tr>
      <w:tr w14:paraId="7806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B3585D0">
            <w:pPr>
              <w:spacing w:beforeLines="0" w:afterLines="0"/>
              <w:rPr>
                <w:rFonts w:hint="eastAsia"/>
              </w:rPr>
            </w:pPr>
          </w:p>
          <w:p w14:paraId="7F7A6F04">
            <w:pPr>
              <w:pStyle w:val="2"/>
              <w:rPr>
                <w:rFonts w:hint="eastAsia"/>
              </w:rPr>
            </w:pPr>
          </w:p>
          <w:p w14:paraId="3DAC2778">
            <w:pPr>
              <w:rPr>
                <w:rFonts w:hint="eastAsia"/>
              </w:rPr>
            </w:pPr>
          </w:p>
          <w:p w14:paraId="465E0A13">
            <w:pPr>
              <w:pStyle w:val="2"/>
              <w:rPr>
                <w:rFonts w:hint="eastAsia"/>
              </w:rPr>
            </w:pPr>
          </w:p>
          <w:p w14:paraId="1B284AD1">
            <w:pPr>
              <w:rPr>
                <w:rFonts w:hint="eastAsia"/>
              </w:rPr>
            </w:pPr>
          </w:p>
          <w:p w14:paraId="4D81495D">
            <w:pPr>
              <w:pStyle w:val="2"/>
              <w:rPr>
                <w:rFonts w:hint="eastAsia"/>
              </w:rPr>
            </w:pPr>
          </w:p>
          <w:p w14:paraId="1B2D7042">
            <w:pPr>
              <w:rPr>
                <w:rFonts w:hint="eastAsia"/>
              </w:rPr>
            </w:pPr>
          </w:p>
        </w:tc>
      </w:tr>
      <w:tr w14:paraId="304E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E1224C8">
            <w:pPr>
              <w:spacing w:beforeLines="0" w:afterLines="0" w:line="375" w:lineRule="exact"/>
              <w:ind w:left="20"/>
              <w:jc w:val="center"/>
              <w:rPr>
                <w:rFonts w:hint="eastAsia" w:ascii="宋体" w:hAnsi="宋体" w:cs="宋体"/>
                <w:sz w:val="32"/>
                <w:szCs w:val="32"/>
              </w:rPr>
            </w:pPr>
            <w:r>
              <w:rPr>
                <w:rFonts w:hint="eastAsia" w:ascii="黑体" w:hAnsi="黑体" w:eastAsia="黑体" w:cs="黑体"/>
                <w:sz w:val="36"/>
                <w:szCs w:val="36"/>
              </w:rPr>
              <w:t>第一部分  2024年部门预算说明</w:t>
            </w:r>
          </w:p>
        </w:tc>
      </w:tr>
      <w:tr w14:paraId="3C1F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06C895A">
            <w:pPr>
              <w:spacing w:beforeLines="0" w:afterLines="0"/>
              <w:rPr>
                <w:rFonts w:hint="eastAsia" w:ascii="宋体" w:hAnsi="宋体" w:cs="宋体"/>
                <w:color w:val="auto"/>
                <w:sz w:val="24"/>
                <w:szCs w:val="24"/>
              </w:rPr>
            </w:pPr>
          </w:p>
        </w:tc>
      </w:tr>
      <w:tr w14:paraId="6F84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08606B">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eastAsia" w:ascii="黑体" w:hAnsi="黑体" w:eastAsia="黑体" w:cs="黑体"/>
                <w:sz w:val="32"/>
                <w:szCs w:val="32"/>
              </w:rPr>
              <w:t>一、部门基本概况</w:t>
            </w:r>
          </w:p>
        </w:tc>
      </w:tr>
      <w:tr w14:paraId="5A12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2C276D9">
            <w:pPr>
              <w:pStyle w:val="8"/>
              <w:keepNext w:val="0"/>
              <w:keepLines w:val="0"/>
              <w:pageBreakBefore w:val="0"/>
              <w:widowControl w:val="0"/>
              <w:numPr>
                <w:ilvl w:val="0"/>
                <w:numId w:val="0"/>
              </w:numPr>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leftChars="200"/>
              <w:jc w:val="both"/>
              <w:textAlignment w:val="center"/>
              <w:rPr>
                <w:rFonts w:hint="eastAsia" w:ascii="楷体_GB2312" w:hAnsi="楷体_GB2312" w:eastAsia="楷体_GB2312" w:cs="楷体_GB2312"/>
                <w:b/>
                <w:bCs/>
                <w:sz w:val="32"/>
                <w:szCs w:val="32"/>
                <w:lang w:bidi="ar-SA"/>
              </w:rPr>
            </w:pPr>
            <w:r>
              <w:rPr>
                <w:rFonts w:hint="eastAsia" w:ascii="楷体_GB2312" w:hAnsi="楷体_GB2312" w:eastAsia="楷体_GB2312" w:cs="楷体_GB2312"/>
                <w:b/>
                <w:bCs/>
                <w:sz w:val="32"/>
                <w:szCs w:val="32"/>
                <w:lang w:eastAsia="zh-CN" w:bidi="ar-SA"/>
              </w:rPr>
              <w:t>（一）</w:t>
            </w:r>
            <w:r>
              <w:rPr>
                <w:rFonts w:hint="eastAsia" w:ascii="楷体_GB2312" w:hAnsi="楷体_GB2312" w:eastAsia="楷体_GB2312" w:cs="楷体_GB2312"/>
                <w:b/>
                <w:bCs/>
                <w:sz w:val="32"/>
                <w:szCs w:val="32"/>
                <w:lang w:bidi="ar-SA"/>
              </w:rPr>
              <w:t>职能职责</w:t>
            </w:r>
          </w:p>
          <w:p w14:paraId="3179ACE2">
            <w:pPr>
              <w:pStyle w:val="8"/>
              <w:keepNext w:val="0"/>
              <w:keepLines w:val="0"/>
              <w:pageBreakBefore w:val="0"/>
              <w:widowControl w:val="0"/>
              <w:numPr>
                <w:ilvl w:val="0"/>
                <w:numId w:val="0"/>
              </w:numPr>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指导全市机关事务工作，负责市直机关事务的保障、管理和服务工作。</w:t>
            </w:r>
          </w:p>
          <w:p w14:paraId="112A6BC1">
            <w:pPr>
              <w:pStyle w:val="8"/>
              <w:keepNext w:val="0"/>
              <w:keepLines w:val="0"/>
              <w:pageBreakBefore w:val="0"/>
              <w:widowControl w:val="0"/>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1）对市直行政事业单位的房地产实施管理；负责市直行政事业单位办公用房集中统一管理；承担市直行政事业单位行政办公用房及其他非经营性项目的集中统一建设；负责市直行政事业单位行政用房、住宅建设土地使用权证的国有产管理工作。指导全市党政机关事业单位办公用房管理和市直单位物业管理工作。</w:t>
            </w:r>
          </w:p>
          <w:p w14:paraId="166B6A86">
            <w:pPr>
              <w:pStyle w:val="8"/>
              <w:keepNext w:val="0"/>
              <w:keepLines w:val="0"/>
              <w:pageBreakBefore w:val="0"/>
              <w:widowControl w:val="0"/>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（2）负责市直行政事业单位国有资产集中统一管理 ，承担配置计划审核、产权界定、清查登记、资产处置工作。负责市直行政事业单位公用车的编制、配备、更新、处置以及预算内专项用于解决市领导和市直单位公务用车的经费管理工作，指导监督全市公务用车管理工作。</w:t>
            </w:r>
          </w:p>
          <w:p w14:paraId="5369B980">
            <w:pPr>
              <w:pStyle w:val="8"/>
              <w:keepNext w:val="0"/>
              <w:keepLines w:val="0"/>
              <w:pageBreakBefore w:val="0"/>
              <w:widowControl w:val="0"/>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（3）统筹异地交流来岳任职市级领导干部住房建设、管理及相关服务工作；按规定管理市直单位职工住房补贴资金。</w:t>
            </w:r>
          </w:p>
          <w:p w14:paraId="6E25ED45">
            <w:pPr>
              <w:pStyle w:val="8"/>
              <w:keepNext w:val="0"/>
              <w:keepLines w:val="0"/>
              <w:pageBreakBefore w:val="0"/>
              <w:widowControl w:val="0"/>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（4）会同相关部门管理、指导、监督、检查全市党政机关事业单位国内公务接待工作。</w:t>
            </w:r>
          </w:p>
          <w:p w14:paraId="70234F13">
            <w:pPr>
              <w:pStyle w:val="8"/>
              <w:keepNext w:val="0"/>
              <w:keepLines w:val="0"/>
              <w:pageBreakBefore w:val="0"/>
              <w:widowControl w:val="0"/>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lang w:bidi="ar-SA"/>
              </w:rPr>
              <w:t>（5）统筹协调全市公共机构节能工作，会同有关部门制定推动全市公共机构节能的规划、规章制度并组织实施，负责公共机构节约能源管理工作，组织开展能耗统计、监测和评价考核、节能技术改造及专项资金管理工作。</w:t>
            </w:r>
          </w:p>
        </w:tc>
      </w:tr>
      <w:tr w14:paraId="2545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FC431F">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（二）机构设置</w:t>
            </w:r>
          </w:p>
        </w:tc>
      </w:tr>
      <w:tr w14:paraId="6362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8A62EA">
            <w:pPr>
              <w:keepNext w:val="0"/>
              <w:keepLines w:val="0"/>
              <w:pageBreakBefore w:val="0"/>
              <w:widowControl w:val="0"/>
              <w:kinsoku/>
              <w:wordWrap/>
              <w:overflowPunct/>
              <w:topLinePunct w:val="0"/>
              <w:autoSpaceDE w:val="0"/>
              <w:autoSpaceDN w:val="0"/>
              <w:bidi w:val="0"/>
              <w:adjustRightInd/>
              <w:snapToGrid w:val="0"/>
              <w:spacing w:beforeLines="0" w:afterLines="0" w:line="560" w:lineRule="exact"/>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内设科室：办公室、资产管理科（公务用车管理科）、办公用房管理科（基建维修科）、后勤服务管理科、公共机构节能管理科、财务科、机关党委（纪委）、机关工会。</w:t>
            </w:r>
          </w:p>
          <w:p w14:paraId="771E4A14">
            <w:pPr>
              <w:pStyle w:val="8"/>
              <w:keepNext w:val="0"/>
              <w:keepLines w:val="0"/>
              <w:pageBreakBefore w:val="0"/>
              <w:widowControl w:val="0"/>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下设事业单位：</w:t>
            </w:r>
          </w:p>
          <w:p w14:paraId="3CB60774">
            <w:pPr>
              <w:pStyle w:val="8"/>
              <w:keepNext w:val="0"/>
              <w:keepLines w:val="0"/>
              <w:pageBreakBefore w:val="0"/>
              <w:widowControl w:val="0"/>
              <w:numPr>
                <w:ilvl w:val="0"/>
                <w:numId w:val="1"/>
              </w:numPr>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市直行政事业单位资产管理事务中心</w:t>
            </w:r>
          </w:p>
          <w:p w14:paraId="601D631B">
            <w:pPr>
              <w:pStyle w:val="8"/>
              <w:keepNext w:val="0"/>
              <w:keepLines w:val="0"/>
              <w:pageBreakBefore w:val="0"/>
              <w:widowControl w:val="0"/>
              <w:numPr>
                <w:ilvl w:val="0"/>
                <w:numId w:val="1"/>
              </w:numPr>
              <w:shd w:val="clear" w:color="auto" w:fill="FFFFFF"/>
              <w:kinsoku/>
              <w:wordWrap/>
              <w:overflowPunct/>
              <w:topLinePunct w:val="0"/>
              <w:autoSpaceDE w:val="0"/>
              <w:autoSpaceDN w:val="0"/>
              <w:bidi w:val="0"/>
              <w:snapToGrid w:val="0"/>
              <w:spacing w:before="0" w:beforeLines="0" w:beforeAutospacing="0" w:after="0" w:afterLines="0" w:afterAutospacing="0" w:line="560" w:lineRule="exact"/>
              <w:ind w:firstLine="640" w:firstLineChars="200"/>
              <w:jc w:val="both"/>
              <w:textAlignment w:val="center"/>
              <w:rPr>
                <w:rFonts w:hint="default" w:ascii="Times New Roman" w:hAnsi="Times New Roman" w:cs="Times New Roman" w:eastAsiaTheme="minorEastAsia"/>
                <w:sz w:val="32"/>
                <w:szCs w:val="32"/>
                <w:lang w:bidi="ar-SA"/>
              </w:rPr>
            </w:pPr>
            <w:r>
              <w:rPr>
                <w:rFonts w:hint="default" w:ascii="Times New Roman" w:hAnsi="Times New Roman" w:cs="Times New Roman" w:eastAsiaTheme="minorEastAsia"/>
                <w:sz w:val="32"/>
                <w:szCs w:val="32"/>
                <w:lang w:bidi="ar-SA"/>
              </w:rPr>
              <w:t>市直机关事业单位公务用车服务中</w:t>
            </w:r>
            <w:r>
              <w:rPr>
                <w:rFonts w:hint="eastAsia" w:ascii="Times New Roman" w:hAnsi="Times New Roman" w:cs="Times New Roman" w:eastAsiaTheme="minorEastAsia"/>
                <w:sz w:val="32"/>
                <w:szCs w:val="32"/>
                <w:lang w:eastAsia="zh-CN" w:bidi="ar-SA"/>
              </w:rPr>
              <w:t>心</w:t>
            </w:r>
          </w:p>
        </w:tc>
      </w:tr>
      <w:tr w14:paraId="6374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166B99">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黑体" w:hAnsi="黑体" w:eastAsia="黑体" w:cs="黑体"/>
                <w:sz w:val="32"/>
                <w:szCs w:val="32"/>
              </w:rPr>
              <w:t>二、部门预算构成</w:t>
            </w:r>
          </w:p>
        </w:tc>
      </w:tr>
      <w:tr w14:paraId="4AAE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8D0F54">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本部门预算为汇总预算，纳入编制范围的预算单位包括：</w:t>
            </w:r>
          </w:p>
        </w:tc>
      </w:tr>
      <w:tr w14:paraId="77C5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46B7E6">
            <w:pPr>
              <w:pStyle w:val="2"/>
              <w:keepNext w:val="0"/>
              <w:keepLines w:val="0"/>
              <w:pageBreakBefore w:val="0"/>
              <w:widowControl w:val="0"/>
              <w:numPr>
                <w:ilvl w:val="0"/>
                <w:numId w:val="0"/>
              </w:numPr>
              <w:kinsoku/>
              <w:wordWrap/>
              <w:overflowPunct/>
              <w:topLinePunct w:val="0"/>
              <w:autoSpaceDE w:val="0"/>
              <w:autoSpaceDN w:val="0"/>
              <w:bidi w:val="0"/>
              <w:snapToGrid w:val="0"/>
              <w:spacing w:before="0" w:beforeLines="0" w:after="0" w:afterLines="0" w:line="560" w:lineRule="exact"/>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1、机关事务管理局本级</w:t>
            </w:r>
          </w:p>
        </w:tc>
      </w:tr>
      <w:tr w14:paraId="37DE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9388D9">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黑体" w:hAnsi="黑体" w:eastAsia="黑体" w:cs="黑体"/>
                <w:sz w:val="32"/>
                <w:szCs w:val="32"/>
              </w:rPr>
              <w:t>三、部门收支总体情况</w:t>
            </w:r>
          </w:p>
        </w:tc>
      </w:tr>
      <w:tr w14:paraId="1F22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90E53C">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14:paraId="5683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6FD954">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（一）收入预算</w:t>
            </w:r>
          </w:p>
        </w:tc>
      </w:tr>
      <w:tr w14:paraId="74F0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20F65AE">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包括一般公共预算、政府性基金、国有资本经营预算等财政拨款收入，以及经营收入、事业收入等单位资金。2024年度本部门收入预算1285.65万元，其中，一般公共预算拨款1285.65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2024年收入较去年减少26.58万元，主要是厉行节约，2024年非税收入执收成本专项支出财政预算批复比2023年减少108万元。</w:t>
            </w:r>
          </w:p>
        </w:tc>
      </w:tr>
      <w:tr w14:paraId="1222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14ED39">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（二）支出预算</w:t>
            </w:r>
          </w:p>
        </w:tc>
      </w:tr>
      <w:tr w14:paraId="3AD3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A2F8CC">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2024年本部门支出预算1285.65万元，其中，201一般公共服务支出1131.29万元，208社会保障和就业支出67.50万元，210卫生健康支出41.49万元，221住房保障支出45.37万元，支出较去年减少26.58万元，主要是2024年非税收入执收成本专项支出财政预算批复比2023年减少108万元。</w:t>
            </w:r>
          </w:p>
        </w:tc>
      </w:tr>
      <w:tr w14:paraId="2DCD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9F0E3F">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黑体" w:hAnsi="黑体" w:eastAsia="黑体" w:cs="黑体"/>
                <w:sz w:val="32"/>
                <w:szCs w:val="32"/>
              </w:rPr>
              <w:t>四、一般公共预算拨款支出预算</w:t>
            </w:r>
          </w:p>
        </w:tc>
      </w:tr>
      <w:tr w14:paraId="0AEE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0D5B46">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2024年一般公共预算拨款支出预算1285.65万元，其中，201一般公共服务支出1131.29万元，占87.99%；208社会保障和就业支出67.50万元，占5.25%；210卫生健康支出41.49万元，占3.23%；221住房保障支出45.37万元，占3.53%；具体安排情况如下：</w:t>
            </w:r>
          </w:p>
        </w:tc>
      </w:tr>
      <w:tr w14:paraId="0BDA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A969292">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（一）基本支出：</w:t>
            </w:r>
            <w:r>
              <w:rPr>
                <w:rFonts w:hint="default" w:ascii="Times New Roman" w:hAnsi="Times New Roman" w:cs="Times New Roman" w:eastAsiaTheme="minorEastAsia"/>
                <w:sz w:val="32"/>
                <w:szCs w:val="32"/>
              </w:rPr>
              <w:t>2024年基本支出年初预算数为737.65万元（数据来源见表23），是指为保障单位机构正常运转、完成日常工作任务而发生的各项支出，包括用于基本工资、津贴补贴等人员经费以及办公费、印刷费、水电费、差旅费等日常公用经费。</w:t>
            </w:r>
          </w:p>
        </w:tc>
      </w:tr>
      <w:tr w14:paraId="6113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2B713AC">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（二）项目支出：</w:t>
            </w:r>
            <w:r>
              <w:rPr>
                <w:rFonts w:hint="default" w:ascii="Times New Roman" w:hAnsi="Times New Roman" w:cs="Times New Roman" w:eastAsiaTheme="minorEastAsia"/>
                <w:sz w:val="32"/>
                <w:szCs w:val="32"/>
              </w:rPr>
              <w:t>2024年项目支出年初预算数为548.00万元（数据来源见表20），是指部门为完成特定行政工作任务或事业发展目标而发生的支出，包括有关业务工作经费、运行维护经费、其他事业发展资金等。其中：非税收入执收成本专项支出300.00万元，主要用于主要用于本单位经营性资产维修管理和本单位公务用服务平台车辆维护和临聘司机劳务费用方面,公共机构节能专项资金专项支出12.00万元，主要用于本单位节能工作开展方面,直管资产管理专项资金专项支出200.00万元，主要用于异地任职厅级干部的周转住房开支方面,资产处置调剂工作及权属登记专项资金专项支出36.00万元，主要用于本单位行政事业单位资产管理处置调剂工作及权属登记专项工作的开展方面。</w:t>
            </w:r>
          </w:p>
        </w:tc>
      </w:tr>
      <w:tr w14:paraId="6E15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55C8ED">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黑体" w:hAnsi="黑体" w:eastAsia="黑体" w:cs="黑体"/>
                <w:sz w:val="32"/>
                <w:szCs w:val="32"/>
              </w:rPr>
              <w:t>五、政府性基金预算支出</w:t>
            </w:r>
          </w:p>
        </w:tc>
      </w:tr>
      <w:tr w14:paraId="0BE6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D15BF6">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2024年度本部门无政府性基金安排的支出，所以公开的附件15-17（政府性基金预算）为空。</w:t>
            </w:r>
          </w:p>
        </w:tc>
      </w:tr>
      <w:tr w14:paraId="433A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EB2D0F7">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黑体" w:hAnsi="黑体" w:eastAsia="黑体" w:cs="黑体"/>
                <w:sz w:val="32"/>
                <w:szCs w:val="32"/>
              </w:rPr>
              <w:t>六、其他重要事项的情况说明</w:t>
            </w:r>
          </w:p>
        </w:tc>
      </w:tr>
      <w:tr w14:paraId="2ABC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6ED43E9">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（一）机关运行经费</w:t>
            </w:r>
          </w:p>
        </w:tc>
      </w:tr>
      <w:tr w14:paraId="2763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767EB4">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本部门2024年机关运行经费当年一般公共预算拨款157.31万元（数据来源见表12），比上一年增加44.78万元，增加39%。主要原因是2024年由非税收入执收成本承担的公务用车运行维护费51万元，列入一般公共预算。</w:t>
            </w:r>
          </w:p>
        </w:tc>
      </w:tr>
      <w:tr w14:paraId="1953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6AB169">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（二）“三公”经费预算</w:t>
            </w:r>
          </w:p>
        </w:tc>
      </w:tr>
      <w:tr w14:paraId="5C2C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48399C">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2024年“三公”经费预算数58.00万元（数据来源见表14），其中，公务接待费4.00万元，因公出国（境）费0.00万元，公务用车购置及运行费54.00万元（其中，公务用车购置费0.00万元，公务用车运行费54.00万元）。2024年三公经费预算较上年增加51万元，主要原因是2024年由非税收入执收成本承担的公务用车运行维护费51万元，列入一般公共预算。</w:t>
            </w:r>
          </w:p>
        </w:tc>
      </w:tr>
      <w:tr w14:paraId="3C27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181CDBF">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（三）一般性支出情况</w:t>
            </w:r>
          </w:p>
        </w:tc>
      </w:tr>
      <w:tr w14:paraId="2345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AAD1312">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2024年会议费预算1.00万元（数据来源见表13会议费、培训费），拟召开3次会议，人数180人，内容为公共机构能源资源消费数据统计会审会议；培训费预算2.00万元，拟开展4次培训，人数360人，内容为机关运行成本统计调查培训、国有资产年报培训等。</w:t>
            </w:r>
          </w:p>
          <w:p w14:paraId="408C929D">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2024年度本部门未计划举办节庆、晚会、论坛、赛事活动。</w:t>
            </w:r>
          </w:p>
        </w:tc>
      </w:tr>
      <w:tr w14:paraId="0D5A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EF3650">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（四）政府采购情况</w:t>
            </w:r>
          </w:p>
        </w:tc>
      </w:tr>
      <w:tr w14:paraId="4E76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064277">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本部门2024年政府采购预算总额170万元，其中工程类100万元，货物类20万元，服务类50万元。</w:t>
            </w:r>
          </w:p>
        </w:tc>
      </w:tr>
      <w:tr w14:paraId="5AF4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8371F3">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（五）国有资产占有使用及新增资产配置情况</w:t>
            </w:r>
          </w:p>
        </w:tc>
      </w:tr>
      <w:tr w14:paraId="78EB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BA002B">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截至上年底，本部门共有车辆26辆，其中领导干部用车0辆，一般公务用车26辆，其他用车0辆。单位价值50万元以上通用设备0台，单位价值100万元以上专用设备0台。 </w:t>
            </w:r>
          </w:p>
          <w:p w14:paraId="2646C3D3">
            <w:pPr>
              <w:keepNext w:val="0"/>
              <w:keepLines w:val="0"/>
              <w:pageBreakBefore w:val="0"/>
              <w:widowControl w:val="0"/>
              <w:kinsoku/>
              <w:wordWrap/>
              <w:overflowPunct/>
              <w:topLinePunct w:val="0"/>
              <w:autoSpaceDE w:val="0"/>
              <w:autoSpaceDN w:val="0"/>
              <w:bidi w:val="0"/>
              <w:snapToGrid w:val="0"/>
              <w:spacing w:beforeLines="0" w:afterLines="0" w:line="560" w:lineRule="exact"/>
              <w:ind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2024年度本部门未计划处置或新增车辆、设备等。</w:t>
            </w:r>
          </w:p>
        </w:tc>
      </w:tr>
      <w:tr w14:paraId="3BFD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F945F28">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（六）预算绩效目标说明</w:t>
            </w:r>
          </w:p>
        </w:tc>
      </w:tr>
      <w:tr w14:paraId="1756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2F79C1">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本部门所有支出实行绩效目标管理。纳入2024年部门整体支出绩效目标的金额为1285.65万元，其中，基本支出737.65万元，项目支出548.00万元，详见文尾附表中部门预算公开表格的表21-22。</w:t>
            </w:r>
          </w:p>
        </w:tc>
      </w:tr>
      <w:tr w14:paraId="57C4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00CAC37">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rPr>
                <w:rFonts w:hint="default" w:ascii="Times New Roman" w:hAnsi="Times New Roman" w:cs="Times New Roman" w:eastAsiaTheme="minorEastAsia"/>
                <w:sz w:val="32"/>
                <w:szCs w:val="32"/>
              </w:rPr>
            </w:pPr>
            <w:r>
              <w:rPr>
                <w:rFonts w:hint="default" w:ascii="黑体" w:hAnsi="黑体" w:eastAsia="黑体" w:cs="黑体"/>
                <w:sz w:val="32"/>
                <w:szCs w:val="32"/>
              </w:rPr>
              <w:t>七、名词解释</w:t>
            </w:r>
          </w:p>
        </w:tc>
      </w:tr>
      <w:tr w14:paraId="5178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E14E40">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1、机关运行经费：</w:t>
            </w:r>
            <w:r>
              <w:rPr>
                <w:rFonts w:hint="default" w:ascii="Times New Roman" w:hAnsi="Times New Roman" w:cs="Times New Roman" w:eastAsiaTheme="minorEastAsia"/>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tc>
      </w:tr>
      <w:tr w14:paraId="029A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DBC597">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3" w:firstLineChars="200"/>
              <w:rPr>
                <w:rFonts w:hint="default" w:ascii="Times New Roman" w:hAnsi="Times New Roman" w:cs="Times New Roman" w:eastAsiaTheme="minorEastAsia"/>
                <w:sz w:val="32"/>
                <w:szCs w:val="32"/>
              </w:rPr>
            </w:pPr>
            <w:r>
              <w:rPr>
                <w:rFonts w:hint="default" w:ascii="楷体_GB2312" w:hAnsi="楷体_GB2312" w:eastAsia="楷体_GB2312" w:cs="楷体_GB2312"/>
                <w:b/>
                <w:bCs/>
                <w:color w:val="000000"/>
                <w:sz w:val="32"/>
                <w:szCs w:val="32"/>
                <w:lang w:val="en-US" w:eastAsia="zh-CN" w:bidi="ar-SA"/>
              </w:rPr>
              <w:t>2、“三公”经费：</w:t>
            </w:r>
            <w:r>
              <w:rPr>
                <w:rFonts w:hint="default" w:ascii="Times New Roman" w:hAnsi="Times New Roman" w:cs="Times New Roman" w:eastAsiaTheme="minorEastAsia"/>
                <w:sz w:val="32"/>
                <w:szCs w:val="32"/>
              </w:rPr>
              <w:t>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14:paraId="224A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EB92C18">
            <w:pPr>
              <w:keepNext w:val="0"/>
              <w:keepLines w:val="0"/>
              <w:pageBreakBefore w:val="0"/>
              <w:widowControl w:val="0"/>
              <w:kinsoku/>
              <w:wordWrap/>
              <w:overflowPunct/>
              <w:topLinePunct w:val="0"/>
              <w:autoSpaceDE w:val="0"/>
              <w:autoSpaceDN w:val="0"/>
              <w:bidi w:val="0"/>
              <w:snapToGrid w:val="0"/>
              <w:spacing w:beforeLines="0" w:afterLines="0" w:line="560" w:lineRule="exact"/>
              <w:ind w:firstLine="480" w:firstLineChars="200"/>
              <w:rPr>
                <w:rFonts w:hint="default" w:ascii="Times New Roman" w:hAnsi="Times New Roman" w:cs="Times New Roman" w:eastAsiaTheme="minorEastAsia"/>
                <w:color w:val="auto"/>
                <w:sz w:val="24"/>
                <w:szCs w:val="24"/>
              </w:rPr>
            </w:pPr>
          </w:p>
        </w:tc>
      </w:tr>
      <w:tr w14:paraId="2D14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6422193">
            <w:pPr>
              <w:keepNext w:val="0"/>
              <w:keepLines w:val="0"/>
              <w:pageBreakBefore w:val="0"/>
              <w:widowControl w:val="0"/>
              <w:kinsoku/>
              <w:wordWrap/>
              <w:overflowPunct/>
              <w:topLinePunct w:val="0"/>
              <w:autoSpaceDE w:val="0"/>
              <w:autoSpaceDN w:val="0"/>
              <w:bidi w:val="0"/>
              <w:snapToGrid w:val="0"/>
              <w:spacing w:beforeLines="0" w:afterLines="0" w:line="560" w:lineRule="exact"/>
              <w:ind w:firstLine="480" w:firstLineChars="200"/>
              <w:rPr>
                <w:rFonts w:hint="default" w:ascii="Times New Roman" w:hAnsi="Times New Roman" w:cs="Times New Roman" w:eastAsiaTheme="minorEastAsia"/>
                <w:color w:val="auto"/>
                <w:sz w:val="24"/>
                <w:szCs w:val="24"/>
              </w:rPr>
            </w:pPr>
          </w:p>
        </w:tc>
      </w:tr>
      <w:tr w14:paraId="519D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408505E">
            <w:pPr>
              <w:keepNext w:val="0"/>
              <w:keepLines w:val="0"/>
              <w:pageBreakBefore w:val="0"/>
              <w:widowControl w:val="0"/>
              <w:kinsoku/>
              <w:wordWrap/>
              <w:overflowPunct/>
              <w:topLinePunct w:val="0"/>
              <w:autoSpaceDE w:val="0"/>
              <w:autoSpaceDN w:val="0"/>
              <w:bidi w:val="0"/>
              <w:snapToGrid w:val="0"/>
              <w:spacing w:beforeLines="0" w:afterLines="0" w:line="560" w:lineRule="exact"/>
              <w:ind w:firstLine="480" w:firstLineChars="200"/>
              <w:rPr>
                <w:rFonts w:hint="default"/>
              </w:rPr>
            </w:pPr>
          </w:p>
          <w:p w14:paraId="6DD2A32D">
            <w:pPr>
              <w:pStyle w:val="2"/>
              <w:rPr>
                <w:rFonts w:hint="default"/>
              </w:rPr>
            </w:pPr>
          </w:p>
          <w:p w14:paraId="28FEEB4C">
            <w:pPr>
              <w:rPr>
                <w:rFonts w:hint="default"/>
              </w:rPr>
            </w:pPr>
          </w:p>
          <w:p w14:paraId="12F95381">
            <w:pPr>
              <w:pStyle w:val="2"/>
              <w:rPr>
                <w:rFonts w:hint="default"/>
              </w:rPr>
            </w:pPr>
          </w:p>
          <w:p w14:paraId="28141E48">
            <w:pPr>
              <w:rPr>
                <w:rFonts w:hint="default"/>
              </w:rPr>
            </w:pPr>
          </w:p>
          <w:p w14:paraId="51939FE0">
            <w:pPr>
              <w:pStyle w:val="2"/>
              <w:rPr>
                <w:rFonts w:hint="default"/>
              </w:rPr>
            </w:pPr>
          </w:p>
          <w:p w14:paraId="1656DADC">
            <w:pPr>
              <w:rPr>
                <w:rFonts w:hint="default"/>
              </w:rPr>
            </w:pPr>
          </w:p>
          <w:p w14:paraId="7B607D75">
            <w:pPr>
              <w:pStyle w:val="2"/>
              <w:rPr>
                <w:rFonts w:hint="default"/>
              </w:rPr>
            </w:pPr>
          </w:p>
          <w:p w14:paraId="113FE34D">
            <w:pPr>
              <w:rPr>
                <w:rFonts w:hint="default"/>
              </w:rPr>
            </w:pPr>
          </w:p>
          <w:p w14:paraId="4904FCD1">
            <w:pPr>
              <w:pStyle w:val="2"/>
              <w:rPr>
                <w:rFonts w:hint="default"/>
              </w:rPr>
            </w:pPr>
          </w:p>
          <w:p w14:paraId="5DAD5E37">
            <w:pPr>
              <w:rPr>
                <w:rFonts w:hint="default"/>
              </w:rPr>
            </w:pPr>
          </w:p>
        </w:tc>
      </w:tr>
      <w:tr w14:paraId="3FB9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64AA3F7">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jc w:val="center"/>
              <w:rPr>
                <w:rFonts w:hint="default" w:ascii="Times New Roman" w:hAnsi="Times New Roman" w:cs="Times New Roman" w:eastAsiaTheme="minorEastAsia"/>
                <w:sz w:val="32"/>
                <w:szCs w:val="32"/>
              </w:rPr>
            </w:pPr>
          </w:p>
          <w:p w14:paraId="69156500">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640" w:firstLineChars="200"/>
              <w:jc w:val="center"/>
              <w:rPr>
                <w:rFonts w:hint="default" w:ascii="Times New Roman" w:hAnsi="Times New Roman" w:cs="Times New Roman" w:eastAsiaTheme="minorEastAsia"/>
                <w:sz w:val="32"/>
                <w:szCs w:val="32"/>
              </w:rPr>
            </w:pPr>
          </w:p>
          <w:p w14:paraId="319518A9">
            <w:pPr>
              <w:pStyle w:val="2"/>
              <w:rPr>
                <w:rFonts w:hint="default"/>
              </w:rPr>
            </w:pPr>
          </w:p>
          <w:p w14:paraId="5DD707DC">
            <w:pPr>
              <w:keepNext w:val="0"/>
              <w:keepLines w:val="0"/>
              <w:pageBreakBefore w:val="0"/>
              <w:widowControl w:val="0"/>
              <w:kinsoku/>
              <w:wordWrap/>
              <w:overflowPunct/>
              <w:topLinePunct w:val="0"/>
              <w:autoSpaceDE w:val="0"/>
              <w:autoSpaceDN w:val="0"/>
              <w:bidi w:val="0"/>
              <w:snapToGrid w:val="0"/>
              <w:spacing w:beforeLines="0" w:afterLines="0" w:line="560" w:lineRule="exact"/>
              <w:ind w:left="20" w:firstLine="720" w:firstLineChars="200"/>
              <w:jc w:val="center"/>
              <w:rPr>
                <w:rFonts w:hint="default" w:ascii="Times New Roman" w:hAnsi="Times New Roman" w:cs="Times New Roman" w:eastAsiaTheme="minorEastAsia"/>
                <w:sz w:val="32"/>
                <w:szCs w:val="32"/>
              </w:rPr>
            </w:pPr>
            <w:r>
              <w:rPr>
                <w:rFonts w:hint="eastAsia" w:ascii="黑体" w:hAnsi="黑体" w:eastAsia="黑体" w:cs="黑体"/>
                <w:sz w:val="36"/>
                <w:szCs w:val="36"/>
              </w:rPr>
              <w:t>第二部分  2024年部门预算公开表格</w:t>
            </w:r>
          </w:p>
        </w:tc>
      </w:tr>
      <w:tr w14:paraId="22A6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917EB9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p>
          <w:p w14:paraId="296ECDA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p>
          <w:p w14:paraId="7C3B5AC3">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1、收支总表</w:t>
            </w:r>
          </w:p>
        </w:tc>
      </w:tr>
      <w:tr w14:paraId="7440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A43AB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2、收入总表</w:t>
            </w:r>
          </w:p>
        </w:tc>
      </w:tr>
      <w:tr w14:paraId="6156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8F1467">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3、支出总表</w:t>
            </w:r>
          </w:p>
        </w:tc>
      </w:tr>
      <w:tr w14:paraId="50DD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742D3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4、支出预算分类汇总表（按政府预算经济分类）</w:t>
            </w:r>
          </w:p>
        </w:tc>
      </w:tr>
      <w:tr w14:paraId="48D9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546DC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5、支出预算分类汇总表（按部门预算经济分类）</w:t>
            </w:r>
          </w:p>
        </w:tc>
      </w:tr>
      <w:tr w14:paraId="280F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CD4EA7">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6、财政拨款收支总表</w:t>
            </w:r>
          </w:p>
        </w:tc>
      </w:tr>
      <w:tr w14:paraId="0579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9EFDE4">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7、一般公共预算支出表</w:t>
            </w:r>
          </w:p>
        </w:tc>
      </w:tr>
      <w:tr w14:paraId="3BCF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B21B9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8、一般公共预算基本支出表-人员经费（工资福利支出）（按政府预算经济分类）</w:t>
            </w:r>
          </w:p>
        </w:tc>
      </w:tr>
      <w:tr w14:paraId="43DF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C17BDB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9、一般公共预算基本支出表-人员经费（工资福利支出）（按部门预算经济分类）</w:t>
            </w:r>
          </w:p>
        </w:tc>
      </w:tr>
      <w:tr w14:paraId="2547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CB6373">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10、一般公共预算基本支出表-人员经费（对个人和家庭的补助）（按政府预算经济分类）</w:t>
            </w:r>
          </w:p>
        </w:tc>
      </w:tr>
      <w:tr w14:paraId="50BE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1B1CB85">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11、一般公共预算基本支出表-人员经费（对个人和家庭的补助）（按部门预算经济分类）</w:t>
            </w:r>
          </w:p>
        </w:tc>
      </w:tr>
      <w:tr w14:paraId="7982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4C5284">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12、一般公共预算基本支出表-公用经费（商品和服务支出）（按政府预算经济分类）</w:t>
            </w:r>
          </w:p>
        </w:tc>
      </w:tr>
      <w:tr w14:paraId="44DE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CB964A">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13、一般公共预算基本支出表-公用经费（商品和服务支出）（按部门预算经济分类）</w:t>
            </w:r>
          </w:p>
        </w:tc>
      </w:tr>
      <w:tr w14:paraId="1F14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8F445F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14、一般公共预算“三公”经费支出表</w:t>
            </w:r>
          </w:p>
        </w:tc>
      </w:tr>
      <w:tr w14:paraId="015E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91999B">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15、政府性基金预算支出表</w:t>
            </w:r>
          </w:p>
        </w:tc>
      </w:tr>
      <w:tr w14:paraId="6D9F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B11ACA8">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16、政府性基金预算支出分类汇总表（按政府预算经济分类）</w:t>
            </w:r>
          </w:p>
        </w:tc>
      </w:tr>
      <w:tr w14:paraId="6DB4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04E7D15">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17、政府性基金预算支出分类汇总表（按部门预算经济分类）</w:t>
            </w:r>
          </w:p>
        </w:tc>
      </w:tr>
      <w:tr w14:paraId="1E0B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76B850">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18、国有资本经营预算支出表</w:t>
            </w:r>
          </w:p>
        </w:tc>
      </w:tr>
      <w:tr w14:paraId="199C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6105824">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19、财政专户管理资金预算支出表</w:t>
            </w:r>
          </w:p>
        </w:tc>
      </w:tr>
      <w:tr w14:paraId="2499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E4470C">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20、专项资金预算汇总表</w:t>
            </w:r>
          </w:p>
        </w:tc>
      </w:tr>
      <w:tr w14:paraId="78E1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CE6BB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21、项目支出绩效目标表</w:t>
            </w:r>
          </w:p>
        </w:tc>
      </w:tr>
      <w:tr w14:paraId="4DEE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1A8777">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22、部门整体支出绩效目标表</w:t>
            </w:r>
          </w:p>
        </w:tc>
      </w:tr>
      <w:tr w14:paraId="7237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FE3842">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0" w:firstLineChars="200"/>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23、一般公共预算基本支出表</w:t>
            </w:r>
          </w:p>
        </w:tc>
      </w:tr>
      <w:tr w14:paraId="287D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C13794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3" w:firstLineChars="200"/>
              <w:textAlignment w:val="auto"/>
              <w:rPr>
                <w:rFonts w:hint="default" w:ascii="Times New Roman" w:hAnsi="Times New Roman" w:cs="Times New Roman" w:eastAsiaTheme="minorEastAsia"/>
                <w:b/>
                <w:color w:val="FF0000"/>
                <w:sz w:val="32"/>
                <w:szCs w:val="32"/>
              </w:rPr>
            </w:pPr>
          </w:p>
          <w:p w14:paraId="36B79B33">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3" w:firstLineChars="200"/>
              <w:textAlignment w:val="auto"/>
              <w:rPr>
                <w:rFonts w:hint="default" w:ascii="Times New Roman" w:hAnsi="Times New Roman" w:cs="Times New Roman" w:eastAsiaTheme="minorEastAsia"/>
                <w:b/>
                <w:color w:val="FF0000"/>
                <w:sz w:val="32"/>
                <w:szCs w:val="32"/>
              </w:rPr>
            </w:pPr>
          </w:p>
          <w:p w14:paraId="546E6C2F">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ind w:left="20" w:firstLine="643" w:firstLineChars="200"/>
              <w:textAlignment w:val="auto"/>
              <w:rPr>
                <w:rFonts w:hint="default" w:ascii="Times New Roman" w:hAnsi="Times New Roman" w:cs="Times New Roman" w:eastAsiaTheme="minorEastAsia"/>
                <w:color w:val="FF0000"/>
                <w:sz w:val="32"/>
                <w:szCs w:val="32"/>
              </w:rPr>
            </w:pPr>
            <w:r>
              <w:rPr>
                <w:rFonts w:hint="default" w:ascii="Times New Roman" w:hAnsi="Times New Roman" w:cs="Times New Roman" w:eastAsiaTheme="minorEastAsia"/>
                <w:b/>
                <w:color w:val="FF0000"/>
                <w:sz w:val="32"/>
                <w:szCs w:val="32"/>
              </w:rPr>
              <w:t>注：以上部门预算公开报表中，空表表示本部门无相关收支情况。</w:t>
            </w:r>
          </w:p>
        </w:tc>
      </w:tr>
    </w:tbl>
    <w:p w14:paraId="6DD8CD76">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exact"/>
        <w:textAlignment w:val="auto"/>
        <w:rPr>
          <w:rFonts w:hint="eastAsia" w:ascii="宋体" w:hAnsi="宋体" w:cs="宋体"/>
          <w:sz w:val="24"/>
          <w:szCs w:val="24"/>
        </w:rPr>
      </w:pPr>
    </w:p>
    <w:sectPr>
      <w:pgSz w:w="18708" w:h="15840"/>
      <w:pgMar w:top="388" w:right="1080" w:bottom="388" w:left="131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E54CD"/>
    <w:multiLevelType w:val="multilevel"/>
    <w:tmpl w:val="259E54CD"/>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2ZiOWU3MWM1MjMxY2MwYzMzZDY1MjI5YjRkNzAifQ=="/>
    <w:docVar w:name="KSO_WPS_MARK_KEY" w:val="9e1fdf96-616c-4b57-b296-ea9399c6b984"/>
  </w:docVars>
  <w:rsids>
    <w:rsidRoot w:val="00172A27"/>
    <w:rsid w:val="1A72129F"/>
    <w:rsid w:val="4A0E450A"/>
    <w:rsid w:val="DFBF0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Arial" w:hAnsi="Arial" w:eastAsia="宋体" w:cs="Arial"/>
      <w:color w:val="000000"/>
      <w:sz w:val="24"/>
      <w:szCs w:val="24"/>
      <w:lang w:val="en-US" w:eastAsia="zh-CN" w:bidi="ar-SA"/>
    </w:rPr>
  </w:style>
  <w:style w:type="paragraph" w:styleId="3">
    <w:name w:val="heading 1"/>
    <w:basedOn w:val="1"/>
    <w:next w:val="1"/>
    <w:link w:val="12"/>
    <w:unhideWhenUsed/>
    <w:qFormat/>
    <w:uiPriority w:val="9"/>
    <w:pPr>
      <w:spacing w:beforeLines="0" w:afterLines="0"/>
      <w:outlineLvl w:val="0"/>
    </w:pPr>
    <w:rPr>
      <w:rFonts w:hint="eastAsia"/>
      <w:b/>
      <w:sz w:val="32"/>
      <w:szCs w:val="32"/>
    </w:rPr>
  </w:style>
  <w:style w:type="paragraph" w:styleId="4">
    <w:name w:val="heading 2"/>
    <w:basedOn w:val="1"/>
    <w:next w:val="1"/>
    <w:link w:val="13"/>
    <w:unhideWhenUsed/>
    <w:qFormat/>
    <w:uiPriority w:val="99"/>
    <w:pPr>
      <w:spacing w:beforeLines="0" w:afterLines="0"/>
      <w:outlineLvl w:val="1"/>
    </w:pPr>
    <w:rPr>
      <w:rFonts w:hint="eastAsia"/>
      <w:b/>
      <w:i/>
      <w:sz w:val="28"/>
      <w:szCs w:val="28"/>
    </w:rPr>
  </w:style>
  <w:style w:type="paragraph" w:styleId="5">
    <w:name w:val="heading 3"/>
    <w:basedOn w:val="1"/>
    <w:next w:val="1"/>
    <w:link w:val="11"/>
    <w:unhideWhenUsed/>
    <w:qFormat/>
    <w:uiPriority w:val="99"/>
    <w:pPr>
      <w:spacing w:beforeLines="0" w:afterLines="0"/>
      <w:outlineLvl w:val="2"/>
    </w:pPr>
    <w:rPr>
      <w:rFonts w:hint="eastAsia"/>
      <w:b/>
      <w:sz w:val="26"/>
      <w:szCs w:val="26"/>
    </w:rPr>
  </w:style>
  <w:style w:type="character" w:default="1" w:styleId="10">
    <w:name w:val="Default Paragraph Font"/>
    <w:unhideWhenUsed/>
    <w:qFormat/>
    <w:uiPriority w:val="1"/>
    <w:rPr>
      <w:rFonts w:hint="default"/>
      <w:sz w:val="24"/>
      <w:szCs w:val="24"/>
    </w:rPr>
  </w:style>
  <w:style w:type="table" w:default="1" w:styleId="9">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eastAsia" w:ascii="Arial" w:hAnsi="Arial"/>
      <w:sz w:val="24"/>
      <w:szCs w:val="24"/>
    </w:rPr>
  </w:style>
  <w:style w:type="paragraph" w:styleId="6">
    <w:name w:val="footer"/>
    <w:basedOn w:val="1"/>
    <w:link w:val="15"/>
    <w:unhideWhenUsed/>
    <w:qFormat/>
    <w:uiPriority w:val="99"/>
    <w:pPr>
      <w:tabs>
        <w:tab w:val="center" w:pos="4153"/>
        <w:tab w:val="right" w:pos="8306"/>
      </w:tabs>
      <w:snapToGrid w:val="0"/>
      <w:spacing w:beforeLines="0" w:afterLines="0"/>
    </w:pPr>
    <w:rPr>
      <w:rFonts w:hint="eastAsia"/>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8">
    <w:name w:val="Normal (Web)"/>
    <w:basedOn w:val="1"/>
    <w:unhideWhenUsed/>
    <w:qFormat/>
    <w:uiPriority w:val="0"/>
    <w:pPr>
      <w:spacing w:before="100" w:beforeLines="0" w:beforeAutospacing="1" w:after="100" w:afterLines="0" w:afterAutospacing="1"/>
    </w:pPr>
    <w:rPr>
      <w:rFonts w:hint="eastAsia"/>
      <w:sz w:val="24"/>
      <w:szCs w:val="24"/>
      <w:lang w:bidi="ar"/>
    </w:rPr>
  </w:style>
  <w:style w:type="character" w:customStyle="1" w:styleId="11">
    <w:name w:val="标题 3 Char"/>
    <w:basedOn w:val="10"/>
    <w:link w:val="5"/>
    <w:unhideWhenUsed/>
    <w:qFormat/>
    <w:locked/>
    <w:uiPriority w:val="9"/>
    <w:rPr>
      <w:rFonts w:hint="default" w:cs="Times New Roman"/>
      <w:b/>
      <w:sz w:val="32"/>
      <w:szCs w:val="32"/>
    </w:rPr>
  </w:style>
  <w:style w:type="character" w:customStyle="1" w:styleId="12">
    <w:name w:val="标题 1 Char"/>
    <w:basedOn w:val="10"/>
    <w:link w:val="3"/>
    <w:unhideWhenUsed/>
    <w:qFormat/>
    <w:locked/>
    <w:uiPriority w:val="9"/>
    <w:rPr>
      <w:rFonts w:hint="default" w:cs="Times New Roman"/>
      <w:b/>
      <w:kern w:val="44"/>
      <w:sz w:val="44"/>
      <w:szCs w:val="44"/>
    </w:rPr>
  </w:style>
  <w:style w:type="character" w:customStyle="1" w:styleId="13">
    <w:name w:val="标题 2 Char"/>
    <w:basedOn w:val="10"/>
    <w:link w:val="4"/>
    <w:unhideWhenUsed/>
    <w:qFormat/>
    <w:locked/>
    <w:uiPriority w:val="9"/>
    <w:rPr>
      <w:rFonts w:hint="eastAsia" w:ascii="Cambria" w:hAnsi="Cambria" w:eastAsia="宋体" w:cs="Times New Roman"/>
      <w:b/>
      <w:sz w:val="32"/>
      <w:szCs w:val="32"/>
    </w:rPr>
  </w:style>
  <w:style w:type="character" w:customStyle="1" w:styleId="14">
    <w:name w:val="页眉 Char"/>
    <w:basedOn w:val="10"/>
    <w:link w:val="7"/>
    <w:unhideWhenUsed/>
    <w:qFormat/>
    <w:locked/>
    <w:uiPriority w:val="99"/>
    <w:rPr>
      <w:rFonts w:hint="default" w:ascii="Arial" w:hAnsi="Times New Roman" w:eastAsia="宋体" w:cs="Arial"/>
      <w:color w:val="000000"/>
      <w:sz w:val="18"/>
      <w:szCs w:val="18"/>
    </w:rPr>
  </w:style>
  <w:style w:type="character" w:customStyle="1" w:styleId="15">
    <w:name w:val="页脚 Char"/>
    <w:basedOn w:val="10"/>
    <w:link w:val="6"/>
    <w:unhideWhenUsed/>
    <w:qFormat/>
    <w:locked/>
    <w:uiPriority w:val="99"/>
    <w:rPr>
      <w:rFonts w:hint="default" w:ascii="Arial" w:hAnsi="Times New Roman" w:eastAsia="宋体" w:cs="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3746</Words>
  <Characters>4100</Characters>
  <TotalTime>12</TotalTime>
  <ScaleCrop>false</ScaleCrop>
  <LinksUpToDate>false</LinksUpToDate>
  <CharactersWithSpaces>4117</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2024-03-25T13:48:00Z</dcterms:created>
  <dc:creator>Administrator</dc:creator>
  <cp:lastModifiedBy>Mrs 葉 甜品屋</cp:lastModifiedBy>
  <dcterms:modified xsi:type="dcterms:W3CDTF">2025-08-18T00:56:50Z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6BED147F0DD04211930E26E1CC4D3B77_13</vt:lpwstr>
  </property>
</Properties>
</file>