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AAF9D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8"/>
        <w:tblW w:w="1530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 w14:paraId="7E08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8E2D5A"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中共岳阳市委党史研究室</w:t>
            </w:r>
            <w:r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  <w:t>2024</w:t>
            </w: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年度</w:t>
            </w:r>
          </w:p>
          <w:p w14:paraId="77D32D58"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部门预算</w:t>
            </w:r>
          </w:p>
        </w:tc>
      </w:tr>
      <w:tr w14:paraId="7C459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D8B772">
            <w:pPr>
              <w:spacing w:line="525" w:lineRule="exact"/>
              <w:ind w:left="20"/>
              <w:jc w:val="center"/>
              <w:rPr>
                <w:rFonts w:ascii="Dialog" w:hAnsi="Times New Roman" w:eastAsia="Dialog" w:cs="Dialog"/>
                <w:sz w:val="44"/>
                <w:szCs w:val="44"/>
              </w:rPr>
            </w:pPr>
            <w:r>
              <w:rPr>
                <w:rFonts w:hint="eastAsia" w:ascii="Dialog" w:hAnsi="Times New Roman" w:eastAsia="Dialog" w:cs="Dialog"/>
                <w:sz w:val="44"/>
                <w:szCs w:val="44"/>
              </w:rPr>
              <w:t>目录</w:t>
            </w:r>
          </w:p>
        </w:tc>
      </w:tr>
      <w:tr w14:paraId="24E7D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4DD12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B5A6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FF9BBEE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年部门预算说明</w:t>
            </w:r>
          </w:p>
        </w:tc>
      </w:tr>
      <w:tr w14:paraId="55588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DF29679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年部门预算公开表格</w:t>
            </w:r>
          </w:p>
        </w:tc>
      </w:tr>
      <w:tr w14:paraId="44940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A83BA39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、收支总表</w:t>
            </w:r>
          </w:p>
        </w:tc>
      </w:tr>
      <w:tr w14:paraId="373FD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8D9517D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、收入总表</w:t>
            </w:r>
          </w:p>
        </w:tc>
      </w:tr>
      <w:tr w14:paraId="1ECF0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FA5412F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、支出总表</w:t>
            </w:r>
          </w:p>
        </w:tc>
      </w:tr>
      <w:tr w14:paraId="2C1E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EC267BB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、支出预算分类汇总表（按政府预算经济分类）</w:t>
            </w:r>
          </w:p>
        </w:tc>
      </w:tr>
      <w:tr w14:paraId="18962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B838052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、支出预算分类汇总表（按部门预算经济分类）</w:t>
            </w:r>
          </w:p>
        </w:tc>
      </w:tr>
      <w:tr w14:paraId="5AEB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DDF490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、财政拨款收支总表</w:t>
            </w:r>
          </w:p>
        </w:tc>
      </w:tr>
      <w:tr w14:paraId="64F9E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029DE64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、一般公共预算支出表</w:t>
            </w:r>
          </w:p>
        </w:tc>
      </w:tr>
      <w:tr w14:paraId="1D09A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DC934B4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人员经费（工资福利支出）（按政府预算经济分类）</w:t>
            </w:r>
          </w:p>
        </w:tc>
      </w:tr>
      <w:tr w14:paraId="1C71B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09B3BBC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人员经费（工资福利支出）（按部门预算经济分类）</w:t>
            </w:r>
          </w:p>
        </w:tc>
      </w:tr>
      <w:tr w14:paraId="4145C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3FEF286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 w14:paraId="424A7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D70EBE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 w14:paraId="4E214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11DC6C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公用经费（商品和服务支出）（按政府预算经济分类）</w:t>
            </w:r>
          </w:p>
        </w:tc>
      </w:tr>
      <w:tr w14:paraId="5ABE8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E7B1914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公用经费（商品和服务支出）（按部门预算经济分类）</w:t>
            </w:r>
          </w:p>
        </w:tc>
      </w:tr>
      <w:tr w14:paraId="1D5FC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C9F2E18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、一般公共预算“三公”经费支出表</w:t>
            </w:r>
          </w:p>
        </w:tc>
      </w:tr>
      <w:tr w14:paraId="6522C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3E64BA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、政府性基金预算支出表</w:t>
            </w:r>
          </w:p>
        </w:tc>
      </w:tr>
      <w:tr w14:paraId="2107B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BF84519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 w14:paraId="520AE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3E7939C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 w14:paraId="06FB2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46E61CA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、国有资本经营预算支出表</w:t>
            </w:r>
          </w:p>
        </w:tc>
      </w:tr>
      <w:tr w14:paraId="1DAAA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32CB99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、财政专户管理资金预算支出表</w:t>
            </w:r>
          </w:p>
        </w:tc>
      </w:tr>
      <w:tr w14:paraId="5A69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7449723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、专项资金预算汇总表</w:t>
            </w:r>
          </w:p>
        </w:tc>
      </w:tr>
      <w:tr w14:paraId="48DAA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81FF1F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、项目支出绩效目标表</w:t>
            </w:r>
          </w:p>
        </w:tc>
      </w:tr>
      <w:tr w14:paraId="34B4E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BB5591A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、部门整体支出绩效目标表</w:t>
            </w:r>
          </w:p>
        </w:tc>
      </w:tr>
      <w:tr w14:paraId="60BFC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E07AE98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</w:p>
        </w:tc>
      </w:tr>
      <w:tr w14:paraId="739D2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9291A1">
            <w:pPr>
              <w:spacing w:line="375" w:lineRule="exact"/>
              <w:ind w:left="20"/>
              <w:rPr>
                <w:rFonts w:ascii="Dialog" w:hAnsi="Times New Roman" w:eastAsia="Dialog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color w:val="FF0000"/>
                <w:sz w:val="32"/>
                <w:szCs w:val="32"/>
              </w:rPr>
              <w:t>注：以上部门预算公开报表中，空表表示本部门无相关收支情况。</w:t>
            </w:r>
          </w:p>
        </w:tc>
      </w:tr>
      <w:tr w14:paraId="62841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0BB84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3345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D9F2A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86E0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D5FE4F"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年部门预算说明</w:t>
            </w:r>
          </w:p>
        </w:tc>
      </w:tr>
      <w:tr w14:paraId="00D65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71FE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C8A0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CEF3EFF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一、部门基本概况</w:t>
            </w:r>
          </w:p>
        </w:tc>
      </w:tr>
      <w:tr w14:paraId="0732D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EA0CDF5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1.贯彻执行中共中央、国务院、中共湖南省委、省政府关于党史、地方志编修的有关方针、政策及规定，拟订地方性的党史、地方志编修工作政策、规定和规划。</w:t>
            </w:r>
          </w:p>
          <w:p w14:paraId="31CFCFDE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2.认真贯彻落实市委、市政府指示精神，组织全市党史、市志、部门志、专业志及市志丛书的编修及管理工作。</w:t>
            </w:r>
          </w:p>
          <w:p w14:paraId="7AB90DC7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3.负责对各县市区和各部门的党史、史料、方志、年鉴工作进行督查和业务指导；培训党史、方志干部；组织对各级史（志）稿的评审、验收、出版和评奖。</w:t>
            </w:r>
          </w:p>
          <w:p w14:paraId="766914DC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4.收集、整理、研究岳阳地方党史、地方文献资料和市情资料，编纂出版《中共岳阳地方史》《中共岳阳市委工作纪实》《回首当年》等；规划和组织对岳阳籍重要党史人物生平和思想研究；编写党史人物传记等。</w:t>
            </w:r>
          </w:p>
          <w:p w14:paraId="1C6DEA60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5.编辑出版《岳阳年鉴》；建立《岳阳年鉴》全文数据库（CAFD）；指导全市各县市区年鉴编辑出版工作。</w:t>
            </w:r>
          </w:p>
          <w:p w14:paraId="21EB5788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6.依据《著作权法》等有关法律、法规，负责对全市史书、志书、年鉴编纂工作纠纷进行技术鉴定仲裁。</w:t>
            </w:r>
          </w:p>
          <w:p w14:paraId="1D51A3BB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7.运用党史、方志资料和党史、方志研究成果，开展各种形式的宣传教育，发挥“存史、资政、育人”的社会功能；会同有关部门协助市委组织重大党史事件、重要党史人物的纪念活动。</w:t>
            </w:r>
          </w:p>
          <w:p w14:paraId="3CA59A63">
            <w:pPr>
              <w:spacing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8.负责市党史联络组的日常工作，为市党史联络组的老同志做好党史工作提供服务。</w:t>
            </w:r>
          </w:p>
          <w:p w14:paraId="61605C6D">
            <w:pPr>
              <w:spacing w:line="375" w:lineRule="exact"/>
              <w:ind w:left="20" w:leftChars="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9.承办市委、市政府交办的其他事项。</w:t>
            </w:r>
          </w:p>
        </w:tc>
      </w:tr>
      <w:tr w14:paraId="366A5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EFBBFDE">
            <w:pPr>
              <w:spacing w:line="375" w:lineRule="exact"/>
              <w:ind w:left="20" w:leftChars="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（二）机构设置</w:t>
            </w:r>
          </w:p>
        </w:tc>
      </w:tr>
      <w:tr w14:paraId="66FBB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734E135">
            <w:pPr>
              <w:spacing w:line="375" w:lineRule="exact"/>
              <w:ind w:left="20" w:leftChars="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中共岳阳市委党史研究室设置6个内设机构：综合部、党史编研部、历史人物研究部、方志部、年鉴部、党办。</w:t>
            </w:r>
          </w:p>
        </w:tc>
      </w:tr>
      <w:tr w14:paraId="60081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901FEC">
            <w:pPr>
              <w:spacing w:line="375" w:lineRule="exact"/>
              <w:ind w:left="20" w:leftChars="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二、部门预算构成</w:t>
            </w:r>
          </w:p>
        </w:tc>
      </w:tr>
      <w:tr w14:paraId="2660B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D791F39">
            <w:pPr>
              <w:keepNext w:val="0"/>
              <w:keepLines w:val="0"/>
              <w:widowControl/>
              <w:suppressLineNumbers w:val="0"/>
              <w:spacing w:line="375" w:lineRule="exact"/>
              <w:ind w:left="20" w:leftChars="0"/>
              <w:jc w:val="left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本部门</w:t>
            </w:r>
            <w:bookmarkStart w:id="0" w:name="_GoBack"/>
            <w:bookmarkEnd w:id="0"/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预算仅含本级预算。</w:t>
            </w:r>
          </w:p>
        </w:tc>
      </w:tr>
      <w:tr w14:paraId="39D70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276DF77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三、部门收支总体情况</w:t>
            </w:r>
          </w:p>
        </w:tc>
      </w:tr>
      <w:tr w14:paraId="1099C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CD3663D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表均为空。</w:t>
            </w:r>
          </w:p>
        </w:tc>
      </w:tr>
      <w:tr w14:paraId="5584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FC16888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（一）收入预算</w:t>
            </w:r>
          </w:p>
        </w:tc>
      </w:tr>
      <w:tr w14:paraId="43807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4E632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包括一般公共预算、政府性基金、国有资本经营预算等财政拨款收入，以及经营收入、事业收入等单位资金。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年度本部门收入预算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412.61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412.61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万元，政府性基金预算资金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，国有资本经营预算资金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，财政专户管理资金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，上级补助收入资金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万元，事业单位经营收入资金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万元，上年结转结余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年收入较去年减少</w:t>
            </w:r>
            <w:r>
              <w:rPr>
                <w:rFonts w:hint="default" w:ascii="宋体" w:hAnsi="Times New Roman" w:eastAsia="宋体" w:cs="宋体"/>
                <w:sz w:val="32"/>
                <w:szCs w:val="32"/>
                <w:lang w:val="en"/>
              </w:rPr>
              <w:t>9.79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万元，主要是因为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卫生健康、住房保障收入预算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减少。</w:t>
            </w:r>
          </w:p>
        </w:tc>
      </w:tr>
      <w:tr w14:paraId="5283C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7B3DE75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（二）支出预算</w:t>
            </w:r>
          </w:p>
        </w:tc>
      </w:tr>
      <w:tr w14:paraId="1368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50F67B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年本部门支出预算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412.61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一般公共服务支出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279.05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101.08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14.36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18.11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万元，支出较去年减少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9.79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万元，主要是因为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卫生健康、住房保障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支出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预算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减少。</w:t>
            </w:r>
          </w:p>
        </w:tc>
      </w:tr>
      <w:tr w14:paraId="352D1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6EAE07C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四、一般公共预算拨款支出预算</w:t>
            </w:r>
          </w:p>
        </w:tc>
      </w:tr>
      <w:tr w14:paraId="7AC50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4670A5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年一般公共预算拨款支出预算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412.61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一般公共服务支出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279.05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67.63%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101.08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24.5%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14.36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3.48%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18.11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4.39%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；具体安排情况如下：</w:t>
            </w:r>
          </w:p>
        </w:tc>
      </w:tr>
      <w:tr w14:paraId="63A1A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D8B5A3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（一）基本支出：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年基本支出年初预算数为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350.81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 w14:paraId="6235F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8746ED1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（二）项目支出：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年项目支出年初预算数为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61.80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），是指部门为完成特定行政工作任务或事业发展目标而发生的支出，包括有关业务工作经费、运行维护经费、其他事业发展资金等。其中：《岳阳年鉴》编纂出版专项支出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24.00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万元，主要用于《岳阳年鉴》编纂出版方面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党史联络专项支出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万元，主要用于党史联络方面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党史学习教育常态化长效化推进专项支出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23.00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万元，主要用于党史学习教育常态化长效化推进方面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非税收入征管费专项支出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4.80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万元，主要用于非税收入征管费方面。</w:t>
            </w:r>
          </w:p>
        </w:tc>
      </w:tr>
      <w:tr w14:paraId="7912F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F2E9DB6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五、政府性基金预算支出</w:t>
            </w:r>
          </w:p>
        </w:tc>
      </w:tr>
      <w:tr w14:paraId="5DB15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DDF0033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年度本部门无政府性基金安排的支出，所以公开的附件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15-17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（政府性基金预算）为空。</w:t>
            </w:r>
          </w:p>
        </w:tc>
      </w:tr>
      <w:tr w14:paraId="5FC3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AB0A90E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六、其他重要事项的情况说明</w:t>
            </w:r>
          </w:p>
        </w:tc>
      </w:tr>
      <w:tr w14:paraId="52A1B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0DE0DE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（一）机关运行经费</w:t>
            </w:r>
          </w:p>
        </w:tc>
      </w:tr>
      <w:tr w14:paraId="3EF5A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DC2CAEE"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年机关运行经费当年一般公共预算拨款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51.48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），比上一年减少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4.3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万元，降低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7.7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。主要原因是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办公经费等减少。</w:t>
            </w:r>
          </w:p>
        </w:tc>
      </w:tr>
      <w:tr w14:paraId="1B6AF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B30B12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（二）“三公”经费预算</w:t>
            </w:r>
          </w:p>
        </w:tc>
      </w:tr>
      <w:tr w14:paraId="28978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AED3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年“三公”经费预算数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），其中，公务接待费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万元，因公出国（境）费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万元，公务用车购置及运行费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万元（其中，公务用车购置费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万元）。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年三公经费预算较上年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持平，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主要原因是落实过“紧日子”要求。</w:t>
            </w:r>
          </w:p>
          <w:p w14:paraId="1A83376C">
            <w:pPr>
              <w:spacing w:line="375" w:lineRule="exact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</w:p>
        </w:tc>
      </w:tr>
      <w:tr w14:paraId="41BA3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EE70D42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（三）一般性支出情况</w:t>
            </w:r>
          </w:p>
        </w:tc>
      </w:tr>
      <w:tr w14:paraId="08CC0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70A7F5"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年会议费预算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会议费、培训费），拟召开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次会议，人数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人，内容为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全市党史地方志系统工作推进会议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；培训费预算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万元，内容为干部拟参加党校培训费用；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年度本部门未计划举办节庆、晚会、论坛、赛事活动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。</w:t>
            </w:r>
          </w:p>
        </w:tc>
      </w:tr>
      <w:tr w14:paraId="1C2A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F5CFE99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（四）政府采购情况</w:t>
            </w:r>
          </w:p>
        </w:tc>
      </w:tr>
      <w:tr w14:paraId="6D0DF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341274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年政府采购预算总额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48.2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万元，其中工程类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万元，货物类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7.3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万元，服务类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40.9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万元。</w:t>
            </w:r>
          </w:p>
        </w:tc>
      </w:tr>
      <w:tr w14:paraId="66918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C9339BA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（五）国有资产占有使用及新增资产配置情况</w:t>
            </w:r>
          </w:p>
        </w:tc>
      </w:tr>
      <w:tr w14:paraId="43DD7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F5179A">
            <w:pPr>
              <w:spacing w:line="375" w:lineRule="exact"/>
              <w:ind w:left="20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截至上年底，本部门共有车辆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辆。单位价值</w:t>
            </w:r>
            <w:r>
              <w:rPr>
                <w:rFonts w:ascii="宋体" w:hAnsi="Times New Roman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台。</w:t>
            </w:r>
            <w:r>
              <w:rPr>
                <w:rFonts w:ascii="宋体" w:hAnsi="Times New Roman" w:cs="宋体"/>
                <w:sz w:val="32"/>
                <w:szCs w:val="32"/>
              </w:rPr>
              <w:t xml:space="preserve"> </w:t>
            </w:r>
          </w:p>
          <w:p w14:paraId="3CE6A9DC">
            <w:pPr>
              <w:spacing w:line="375" w:lineRule="exact"/>
              <w:ind w:left="20"/>
              <w:rPr>
                <w:rFonts w:hint="eastAsia" w:ascii="宋体" w:hAnsi="Times New Roman" w:cs="宋体" w:eastAsiaTheme="minorEastAsia"/>
                <w:sz w:val="32"/>
                <w:szCs w:val="32"/>
                <w:lang w:eastAsia="zh-CN"/>
              </w:rPr>
            </w:pPr>
            <w:r>
              <w:rPr>
                <w:rFonts w:ascii="宋体" w:hAnsi="Times New Roman" w:cs="宋体"/>
                <w:sz w:val="32"/>
                <w:szCs w:val="32"/>
              </w:rPr>
              <w:t xml:space="preserve"> 202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年拟报废处置车辆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辆，其中：报废处置领导干部用车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辆，报废处置一般公务用车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辆，报废处置其他用车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辆，报废处置单位价值</w:t>
            </w:r>
            <w:r>
              <w:rPr>
                <w:rFonts w:ascii="宋体" w:hAnsi="Times New Roman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台，报废处置单位价值</w:t>
            </w:r>
            <w:r>
              <w:rPr>
                <w:rFonts w:ascii="宋体" w:hAnsi="Times New Roman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台。拟新增配置车辆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。</w:t>
            </w:r>
          </w:p>
          <w:p w14:paraId="30D69423">
            <w:pPr>
              <w:pStyle w:val="2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cs="宋体"/>
                <w:sz w:val="32"/>
                <w:szCs w:val="32"/>
              </w:rPr>
              <w:t xml:space="preserve">  202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年拟新增配备领导干部用车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辆，新增配备单位价值</w:t>
            </w:r>
            <w:r>
              <w:rPr>
                <w:rFonts w:ascii="宋体" w:hAnsi="Times New Roman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台。</w:t>
            </w:r>
            <w:r>
              <w:rPr>
                <w:rFonts w:ascii="宋体" w:hAnsi="Times New Roman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年度本部门未计划处置或新增车辆、设备等。</w:t>
            </w:r>
          </w:p>
        </w:tc>
      </w:tr>
      <w:tr w14:paraId="44FE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E27D2C0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（六）预算绩效目标说明</w:t>
            </w:r>
          </w:p>
        </w:tc>
      </w:tr>
      <w:tr w14:paraId="26326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EC1926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本部门所有支出实行绩效目标管理。纳入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年部门整体支出绩效目标的金额为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412.61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万元，其中，基本支出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350.81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万元，项目支出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61.80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万元，详见文尾附表中部门预算公开表格的表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21-22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</w:t>
            </w:r>
          </w:p>
        </w:tc>
      </w:tr>
      <w:tr w14:paraId="33489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24B943"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七、名词解释</w:t>
            </w:r>
          </w:p>
        </w:tc>
      </w:tr>
      <w:tr w14:paraId="5D06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EA6D0DD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 w14:paraId="59FBC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1B44B4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      </w:r>
          </w:p>
        </w:tc>
      </w:tr>
      <w:tr w14:paraId="20832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7165E8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612F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4329B6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0DC7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08D459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37B8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205B21"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年部门预算公开表格</w:t>
            </w:r>
          </w:p>
        </w:tc>
      </w:tr>
      <w:tr w14:paraId="1B298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781EBC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、收支总表</w:t>
            </w:r>
          </w:p>
        </w:tc>
      </w:tr>
      <w:tr w14:paraId="3AE74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DFD12BE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、收入总表</w:t>
            </w:r>
          </w:p>
        </w:tc>
      </w:tr>
      <w:tr w14:paraId="0555D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AD1AD5D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、支出总表</w:t>
            </w:r>
          </w:p>
        </w:tc>
      </w:tr>
      <w:tr w14:paraId="54C6E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8C79F66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、支出预算分类汇总表（按政府预算经济分类）</w:t>
            </w:r>
          </w:p>
        </w:tc>
      </w:tr>
      <w:tr w14:paraId="0179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22476AF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、支出预算分类汇总表（按部门预算经济分类）</w:t>
            </w:r>
          </w:p>
        </w:tc>
      </w:tr>
      <w:tr w14:paraId="0560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9C7E89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、财政拨款收支总表</w:t>
            </w:r>
          </w:p>
        </w:tc>
      </w:tr>
      <w:tr w14:paraId="30E5E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E95EB38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、一般公共预算支出表</w:t>
            </w:r>
          </w:p>
        </w:tc>
      </w:tr>
      <w:tr w14:paraId="4CA3A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9504DE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人员经费（工资福利支出）（按政府预算经济分类）</w:t>
            </w:r>
          </w:p>
        </w:tc>
      </w:tr>
      <w:tr w14:paraId="7F29B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6D38D2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人员经费（工资福利支出）（按部门预算经济分类）</w:t>
            </w:r>
          </w:p>
        </w:tc>
      </w:tr>
      <w:tr w14:paraId="5093C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7B734E1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 w14:paraId="6FFF1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27199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 w14:paraId="41E4D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87C4FE2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公用经费（商品和服务支出）（按政府预算经济分类）</w:t>
            </w:r>
          </w:p>
        </w:tc>
      </w:tr>
      <w:tr w14:paraId="769A6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ED8EEBA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公用经费（商品和服务支出）（按部门预算经济分类）</w:t>
            </w:r>
          </w:p>
        </w:tc>
      </w:tr>
      <w:tr w14:paraId="6CCBC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027C87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、一般公共预算“三公”经费支出表</w:t>
            </w:r>
          </w:p>
        </w:tc>
      </w:tr>
      <w:tr w14:paraId="5CD1E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0BBD23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、政府性基金预算支出表</w:t>
            </w:r>
          </w:p>
        </w:tc>
      </w:tr>
      <w:tr w14:paraId="1B55D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EF79044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 w14:paraId="48E30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CC964E6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 w14:paraId="2DF84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E8ACC5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、国有资本经营预算支出表</w:t>
            </w:r>
          </w:p>
        </w:tc>
      </w:tr>
      <w:tr w14:paraId="1337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43E0E9F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、财政专户管理资金预算支出表</w:t>
            </w:r>
          </w:p>
        </w:tc>
      </w:tr>
      <w:tr w14:paraId="0B00F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A64A3D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、专项资金预算汇总表</w:t>
            </w:r>
          </w:p>
        </w:tc>
      </w:tr>
      <w:tr w14:paraId="534A7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5F9F29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、项目支出绩效目标表</w:t>
            </w:r>
          </w:p>
        </w:tc>
      </w:tr>
      <w:tr w14:paraId="670FD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B96E4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、部门整体支出绩效目标表</w:t>
            </w:r>
          </w:p>
        </w:tc>
      </w:tr>
      <w:tr w14:paraId="77269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AC49D0B"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</w:p>
        </w:tc>
      </w:tr>
      <w:tr w14:paraId="70E35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96A379">
            <w:pPr>
              <w:spacing w:line="375" w:lineRule="exact"/>
              <w:ind w:left="20"/>
              <w:rPr>
                <w:rFonts w:ascii="宋体" w:hAnsi="Times New Roman" w:eastAsia="宋体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sz w:val="32"/>
                <w:szCs w:val="32"/>
              </w:rPr>
              <w:t>注：以上部门预算公开报表中，空表表示本部门无相关收支情况。</w:t>
            </w:r>
          </w:p>
        </w:tc>
      </w:tr>
    </w:tbl>
    <w:p w14:paraId="066937F2"/>
    <w:sectPr>
      <w:pgSz w:w="18708" w:h="15840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imbus Roman No9 L">
    <w:altName w:val="Sazanami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zanami Mincho">
    <w:panose1 w:val="02000009000000000000"/>
    <w:charset w:val="80"/>
    <w:family w:val="auto"/>
    <w:pitch w:val="default"/>
    <w:sig w:usb0="A00002BF" w:usb1="68C7FCFB" w:usb2="00000010" w:usb3="00000000" w:csb0="8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41"/>
    <w:rsid w:val="00C41C41"/>
    <w:rsid w:val="1BFE35BB"/>
    <w:rsid w:val="1FDF4701"/>
    <w:rsid w:val="2FFD29C7"/>
    <w:rsid w:val="7BBF772D"/>
    <w:rsid w:val="7CD54F62"/>
    <w:rsid w:val="7E8BE18A"/>
    <w:rsid w:val="7FFA3789"/>
    <w:rsid w:val="BE8508E5"/>
    <w:rsid w:val="EEDE78D1"/>
    <w:rsid w:val="FF7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link w:val="12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10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basedOn w:val="9"/>
    <w:link w:val="5"/>
    <w:semiHidden/>
    <w:qFormat/>
    <w:uiPriority w:val="9"/>
    <w:rPr>
      <w:b/>
      <w:bCs/>
      <w:sz w:val="32"/>
      <w:szCs w:val="32"/>
    </w:rPr>
  </w:style>
  <w:style w:type="character" w:customStyle="1" w:styleId="11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9"/>
    <w:link w:val="7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3699</Words>
  <Characters>4032</Characters>
  <Lines>27</Lines>
  <Paragraphs>7</Paragraphs>
  <TotalTime>17</TotalTime>
  <ScaleCrop>false</ScaleCrop>
  <LinksUpToDate>false</LinksUpToDate>
  <CharactersWithSpaces>4110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2024-03-28T03:42:00Z</dcterms:created>
  <dc:creator>PC</dc:creator>
  <cp:lastModifiedBy>German Phillip</cp:lastModifiedBy>
  <dcterms:modified xsi:type="dcterms:W3CDTF">2025-08-21T06:43:18Z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eyJoZGlkIjoiMmIyMGFmMTJjZDc5MTY3YTY1N2I2YTE3ZGU3YTY2NDUiLCJ1c2VySWQiOiIyMDY0MDAyNjUifQ==</vt:lpwstr>
  </property>
  <property fmtid="{D5CDD505-2E9C-101B-9397-08002B2CF9AE}" pid="4" name="ICV">
    <vt:lpwstr>5F2A9589CE7345908FDE00828B00E1FC_12</vt:lpwstr>
  </property>
</Properties>
</file>