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DCA67C">
      <w:pPr>
        <w:rPr>
          <w:rFonts w:hint="default"/>
          <w:sz w:val="2"/>
          <w:szCs w:val="24"/>
        </w:rPr>
      </w:pPr>
      <w:bookmarkStart w:id="0" w:name="_GoBack"/>
      <w:bookmarkEnd w:id="0"/>
    </w:p>
    <w:tbl>
      <w:tblPr>
        <w:tblStyle w:val="6"/>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429B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5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4F4DC3E">
            <w:pPr>
              <w:spacing w:line="1125" w:lineRule="exact"/>
              <w:ind w:left="20"/>
              <w:jc w:val="center"/>
              <w:rPr>
                <w:rFonts w:hint="eastAsia" w:ascii="微软雅黑" w:hAnsi="微软雅黑" w:eastAsia="微软雅黑"/>
                <w:b/>
                <w:sz w:val="84"/>
                <w:szCs w:val="24"/>
              </w:rPr>
            </w:pPr>
            <w:r>
              <w:rPr>
                <w:rFonts w:hint="eastAsia" w:ascii="微软雅黑" w:hAnsi="微软雅黑" w:eastAsia="微软雅黑"/>
                <w:b/>
                <w:sz w:val="84"/>
                <w:szCs w:val="24"/>
              </w:rPr>
              <w:t>岳阳市住房和城乡建设局2024年度</w:t>
            </w:r>
          </w:p>
          <w:p w14:paraId="2B2DEBCF">
            <w:pPr>
              <w:spacing w:line="1125" w:lineRule="exact"/>
              <w:ind w:left="20"/>
              <w:jc w:val="center"/>
              <w:rPr>
                <w:rFonts w:hint="eastAsia" w:ascii="微软雅黑" w:hAnsi="微软雅黑" w:eastAsia="微软雅黑"/>
                <w:sz w:val="84"/>
                <w:szCs w:val="24"/>
              </w:rPr>
            </w:pPr>
            <w:r>
              <w:rPr>
                <w:rFonts w:hint="eastAsia" w:ascii="微软雅黑" w:hAnsi="微软雅黑" w:eastAsia="微软雅黑"/>
                <w:b/>
                <w:sz w:val="84"/>
                <w:szCs w:val="24"/>
              </w:rPr>
              <w:t>部门预算</w:t>
            </w:r>
          </w:p>
        </w:tc>
      </w:tr>
      <w:tr w14:paraId="52CD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4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80F9E0">
            <w:pPr>
              <w:spacing w:line="525" w:lineRule="exact"/>
              <w:ind w:left="20"/>
              <w:jc w:val="center"/>
              <w:rPr>
                <w:rFonts w:hint="default" w:ascii="宋体" w:hAnsi="Dialog"/>
                <w:sz w:val="44"/>
                <w:szCs w:val="24"/>
              </w:rPr>
            </w:pPr>
            <w:r>
              <w:rPr>
                <w:rFonts w:hint="default" w:ascii="宋体" w:hAnsi="Dialog"/>
                <w:sz w:val="44"/>
                <w:szCs w:val="24"/>
              </w:rPr>
              <w:t>目录</w:t>
            </w:r>
          </w:p>
        </w:tc>
      </w:tr>
      <w:tr w14:paraId="61D74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D329E16">
            <w:pPr>
              <w:rPr>
                <w:rFonts w:hint="default"/>
                <w:sz w:val="24"/>
                <w:szCs w:val="24"/>
              </w:rPr>
            </w:pPr>
          </w:p>
        </w:tc>
      </w:tr>
      <w:tr w14:paraId="618A8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4CD3566">
            <w:pPr>
              <w:spacing w:line="375" w:lineRule="exact"/>
              <w:ind w:left="20"/>
              <w:rPr>
                <w:rFonts w:hint="default" w:ascii="宋体" w:hAnsi="Dialog"/>
                <w:sz w:val="32"/>
                <w:szCs w:val="24"/>
              </w:rPr>
            </w:pPr>
            <w:r>
              <w:rPr>
                <w:rFonts w:hint="default" w:ascii="宋体" w:hAnsi="Dialog"/>
                <w:sz w:val="32"/>
                <w:szCs w:val="24"/>
              </w:rPr>
              <w:t>第一部分  2024年部门预算说明</w:t>
            </w:r>
          </w:p>
        </w:tc>
      </w:tr>
      <w:tr w14:paraId="634D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37126D6">
            <w:pPr>
              <w:spacing w:line="375" w:lineRule="exact"/>
              <w:ind w:left="20"/>
              <w:rPr>
                <w:rFonts w:hint="default" w:ascii="宋体" w:hAnsi="Dialog"/>
                <w:sz w:val="32"/>
                <w:szCs w:val="24"/>
              </w:rPr>
            </w:pPr>
            <w:r>
              <w:rPr>
                <w:rFonts w:hint="default" w:ascii="宋体" w:hAnsi="Dialog"/>
                <w:sz w:val="32"/>
                <w:szCs w:val="24"/>
              </w:rPr>
              <w:t>第二部分  2024年部门预算公开表格</w:t>
            </w:r>
          </w:p>
        </w:tc>
      </w:tr>
      <w:tr w14:paraId="6393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CC0CA80">
            <w:pPr>
              <w:spacing w:line="375" w:lineRule="exact"/>
              <w:ind w:left="20"/>
              <w:rPr>
                <w:rFonts w:hint="default" w:ascii="宋体" w:hAnsi="Dialog"/>
                <w:sz w:val="32"/>
                <w:szCs w:val="24"/>
              </w:rPr>
            </w:pPr>
            <w:r>
              <w:rPr>
                <w:rFonts w:hint="default" w:ascii="宋体" w:hAnsi="Dialog"/>
                <w:sz w:val="32"/>
                <w:szCs w:val="24"/>
              </w:rPr>
              <w:t>1、收支总表</w:t>
            </w:r>
          </w:p>
        </w:tc>
      </w:tr>
      <w:tr w14:paraId="77DE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A1994FB">
            <w:pPr>
              <w:spacing w:line="375" w:lineRule="exact"/>
              <w:ind w:left="20"/>
              <w:rPr>
                <w:rFonts w:hint="default" w:ascii="宋体" w:hAnsi="Dialog"/>
                <w:sz w:val="32"/>
                <w:szCs w:val="24"/>
              </w:rPr>
            </w:pPr>
            <w:r>
              <w:rPr>
                <w:rFonts w:hint="default" w:ascii="宋体" w:hAnsi="Dialog"/>
                <w:sz w:val="32"/>
                <w:szCs w:val="24"/>
              </w:rPr>
              <w:t>2、收入总表</w:t>
            </w:r>
          </w:p>
        </w:tc>
      </w:tr>
      <w:tr w14:paraId="5D88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D1E943D">
            <w:pPr>
              <w:spacing w:line="375" w:lineRule="exact"/>
              <w:ind w:left="20"/>
              <w:rPr>
                <w:rFonts w:hint="default" w:ascii="宋体" w:hAnsi="Dialog"/>
                <w:sz w:val="32"/>
                <w:szCs w:val="24"/>
              </w:rPr>
            </w:pPr>
            <w:r>
              <w:rPr>
                <w:rFonts w:hint="default" w:ascii="宋体" w:hAnsi="Dialog"/>
                <w:sz w:val="32"/>
                <w:szCs w:val="24"/>
              </w:rPr>
              <w:t>3、支出总表</w:t>
            </w:r>
          </w:p>
        </w:tc>
      </w:tr>
      <w:tr w14:paraId="7E8C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7407753">
            <w:pPr>
              <w:spacing w:line="375" w:lineRule="exact"/>
              <w:ind w:left="20"/>
              <w:rPr>
                <w:rFonts w:hint="default" w:ascii="宋体" w:hAnsi="Dialog"/>
                <w:sz w:val="32"/>
                <w:szCs w:val="24"/>
              </w:rPr>
            </w:pPr>
            <w:r>
              <w:rPr>
                <w:rFonts w:hint="default" w:ascii="宋体" w:hAnsi="Dialog"/>
                <w:sz w:val="32"/>
                <w:szCs w:val="24"/>
              </w:rPr>
              <w:t>4、支出预算分类汇总表（按政府预算经济分类）</w:t>
            </w:r>
          </w:p>
        </w:tc>
      </w:tr>
      <w:tr w14:paraId="2991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1EFDE4D">
            <w:pPr>
              <w:spacing w:line="375" w:lineRule="exact"/>
              <w:ind w:left="20"/>
              <w:rPr>
                <w:rFonts w:hint="default" w:ascii="宋体" w:hAnsi="Dialog"/>
                <w:sz w:val="32"/>
                <w:szCs w:val="24"/>
              </w:rPr>
            </w:pPr>
            <w:r>
              <w:rPr>
                <w:rFonts w:hint="default" w:ascii="宋体" w:hAnsi="Dialog"/>
                <w:sz w:val="32"/>
                <w:szCs w:val="24"/>
              </w:rPr>
              <w:t>5、支出预算分类汇总表（按部门预算经济分类）</w:t>
            </w:r>
          </w:p>
        </w:tc>
      </w:tr>
      <w:tr w14:paraId="3052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4CAA495">
            <w:pPr>
              <w:spacing w:line="375" w:lineRule="exact"/>
              <w:ind w:left="20"/>
              <w:rPr>
                <w:rFonts w:hint="default" w:ascii="宋体" w:hAnsi="Dialog"/>
                <w:sz w:val="32"/>
                <w:szCs w:val="24"/>
              </w:rPr>
            </w:pPr>
            <w:r>
              <w:rPr>
                <w:rFonts w:hint="default" w:ascii="宋体" w:hAnsi="Dialog"/>
                <w:sz w:val="32"/>
                <w:szCs w:val="24"/>
              </w:rPr>
              <w:t>6、财政拨款收支总表</w:t>
            </w:r>
          </w:p>
        </w:tc>
      </w:tr>
      <w:tr w14:paraId="42CE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125B4DF">
            <w:pPr>
              <w:spacing w:line="375" w:lineRule="exact"/>
              <w:ind w:left="20"/>
              <w:rPr>
                <w:rFonts w:hint="default" w:ascii="宋体" w:hAnsi="Dialog"/>
                <w:sz w:val="32"/>
                <w:szCs w:val="24"/>
              </w:rPr>
            </w:pPr>
            <w:r>
              <w:rPr>
                <w:rFonts w:hint="default" w:ascii="宋体" w:hAnsi="Dialog"/>
                <w:sz w:val="32"/>
                <w:szCs w:val="24"/>
              </w:rPr>
              <w:t>7、一般公共预算支出表</w:t>
            </w:r>
          </w:p>
        </w:tc>
      </w:tr>
      <w:tr w14:paraId="5410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794900C">
            <w:pPr>
              <w:spacing w:line="375" w:lineRule="exact"/>
              <w:ind w:left="20"/>
              <w:rPr>
                <w:rFonts w:hint="default" w:ascii="宋体" w:hAnsi="Dialog"/>
                <w:sz w:val="32"/>
                <w:szCs w:val="24"/>
              </w:rPr>
            </w:pPr>
            <w:r>
              <w:rPr>
                <w:rFonts w:hint="default" w:ascii="宋体" w:hAnsi="Dialog"/>
                <w:sz w:val="32"/>
                <w:szCs w:val="24"/>
              </w:rPr>
              <w:t>8、一般公共预算基本支出表-人员经费（工资福利支出）（按政府预算经济分类）</w:t>
            </w:r>
          </w:p>
        </w:tc>
      </w:tr>
      <w:tr w14:paraId="45B6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4BEC8C8">
            <w:pPr>
              <w:spacing w:line="375" w:lineRule="exact"/>
              <w:ind w:left="20"/>
              <w:rPr>
                <w:rFonts w:hint="default" w:ascii="宋体" w:hAnsi="Dialog"/>
                <w:sz w:val="32"/>
                <w:szCs w:val="24"/>
              </w:rPr>
            </w:pPr>
            <w:r>
              <w:rPr>
                <w:rFonts w:hint="default" w:ascii="宋体" w:hAnsi="Dialog"/>
                <w:sz w:val="32"/>
                <w:szCs w:val="24"/>
              </w:rPr>
              <w:t>9、一般公共预算基本支出表-人员经费（工资福利支出）（按部门预算经济分类）</w:t>
            </w:r>
          </w:p>
        </w:tc>
      </w:tr>
      <w:tr w14:paraId="2C8C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A01634">
            <w:pPr>
              <w:spacing w:line="375" w:lineRule="exact"/>
              <w:ind w:left="20"/>
              <w:rPr>
                <w:rFonts w:hint="default" w:ascii="宋体" w:hAnsi="Dialog"/>
                <w:sz w:val="32"/>
                <w:szCs w:val="24"/>
              </w:rPr>
            </w:pPr>
            <w:r>
              <w:rPr>
                <w:rFonts w:hint="default" w:ascii="宋体" w:hAnsi="Dialog"/>
                <w:sz w:val="32"/>
                <w:szCs w:val="24"/>
              </w:rPr>
              <w:t>10、一般公共预算基本支出表-人员经费（对个人和家庭的补助）（按政府预算经济分类）</w:t>
            </w:r>
          </w:p>
        </w:tc>
      </w:tr>
      <w:tr w14:paraId="782D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EDC9EF4">
            <w:pPr>
              <w:spacing w:line="375" w:lineRule="exact"/>
              <w:ind w:left="20"/>
              <w:rPr>
                <w:rFonts w:hint="default" w:ascii="宋体" w:hAnsi="Dialog"/>
                <w:sz w:val="32"/>
                <w:szCs w:val="24"/>
              </w:rPr>
            </w:pPr>
            <w:r>
              <w:rPr>
                <w:rFonts w:hint="default" w:ascii="宋体" w:hAnsi="Dialog"/>
                <w:sz w:val="32"/>
                <w:szCs w:val="24"/>
              </w:rPr>
              <w:t>11、一般公共预算基本支出表-人员经费（对个人和家庭的补助）（按部门预算经济分类）</w:t>
            </w:r>
          </w:p>
        </w:tc>
      </w:tr>
      <w:tr w14:paraId="48A36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A8F523F">
            <w:pPr>
              <w:spacing w:line="375" w:lineRule="exact"/>
              <w:ind w:left="20"/>
              <w:rPr>
                <w:rFonts w:hint="default" w:ascii="宋体" w:hAnsi="Dialog"/>
                <w:sz w:val="32"/>
                <w:szCs w:val="24"/>
              </w:rPr>
            </w:pPr>
            <w:r>
              <w:rPr>
                <w:rFonts w:hint="default" w:ascii="宋体" w:hAnsi="Dialog"/>
                <w:sz w:val="32"/>
                <w:szCs w:val="24"/>
              </w:rPr>
              <w:t>12、一般公共预算基本支出表-公用经费（商品和服务支出）（按政府预算经济分类）</w:t>
            </w:r>
          </w:p>
        </w:tc>
      </w:tr>
      <w:tr w14:paraId="31EE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0F40D8D">
            <w:pPr>
              <w:spacing w:line="375" w:lineRule="exact"/>
              <w:ind w:left="20"/>
              <w:rPr>
                <w:rFonts w:hint="default" w:ascii="宋体" w:hAnsi="Dialog"/>
                <w:sz w:val="32"/>
                <w:szCs w:val="24"/>
              </w:rPr>
            </w:pPr>
            <w:r>
              <w:rPr>
                <w:rFonts w:hint="default" w:ascii="宋体" w:hAnsi="Dialog"/>
                <w:sz w:val="32"/>
                <w:szCs w:val="24"/>
              </w:rPr>
              <w:t>13、一般公共预算基本支出表-公用经费（商品和服务支出）（按部门预算经济分类）</w:t>
            </w:r>
          </w:p>
        </w:tc>
      </w:tr>
      <w:tr w14:paraId="0427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138FC9">
            <w:pPr>
              <w:spacing w:line="375" w:lineRule="exact"/>
              <w:ind w:left="20"/>
              <w:rPr>
                <w:rFonts w:hint="default" w:ascii="宋体" w:hAnsi="Dialog"/>
                <w:sz w:val="32"/>
                <w:szCs w:val="24"/>
              </w:rPr>
            </w:pPr>
            <w:r>
              <w:rPr>
                <w:rFonts w:hint="default" w:ascii="宋体" w:hAnsi="Dialog"/>
                <w:sz w:val="32"/>
                <w:szCs w:val="24"/>
              </w:rPr>
              <w:t>14、一般公共预算“三公”经费支出表</w:t>
            </w:r>
          </w:p>
        </w:tc>
      </w:tr>
      <w:tr w14:paraId="5A3C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56B1F86">
            <w:pPr>
              <w:spacing w:line="375" w:lineRule="exact"/>
              <w:ind w:left="20"/>
              <w:rPr>
                <w:rFonts w:hint="default" w:ascii="宋体" w:hAnsi="Dialog"/>
                <w:sz w:val="32"/>
                <w:szCs w:val="24"/>
              </w:rPr>
            </w:pPr>
            <w:r>
              <w:rPr>
                <w:rFonts w:hint="default" w:ascii="宋体" w:hAnsi="Dialog"/>
                <w:sz w:val="32"/>
                <w:szCs w:val="24"/>
              </w:rPr>
              <w:t>15、政府性基金预算支出表</w:t>
            </w:r>
          </w:p>
        </w:tc>
      </w:tr>
      <w:tr w14:paraId="65EB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94054CF">
            <w:pPr>
              <w:spacing w:line="375" w:lineRule="exact"/>
              <w:ind w:left="20"/>
              <w:rPr>
                <w:rFonts w:hint="default" w:ascii="宋体" w:hAnsi="Dialog"/>
                <w:sz w:val="32"/>
                <w:szCs w:val="24"/>
              </w:rPr>
            </w:pPr>
            <w:r>
              <w:rPr>
                <w:rFonts w:hint="default" w:ascii="宋体" w:hAnsi="Dialog"/>
                <w:sz w:val="32"/>
                <w:szCs w:val="24"/>
              </w:rPr>
              <w:t>16、政府性基金预算支出分类汇总表（按政府预算经济分类）</w:t>
            </w:r>
          </w:p>
        </w:tc>
      </w:tr>
      <w:tr w14:paraId="1AF1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82D1E5">
            <w:pPr>
              <w:spacing w:line="375" w:lineRule="exact"/>
              <w:ind w:left="20"/>
              <w:rPr>
                <w:rFonts w:hint="default" w:ascii="宋体" w:hAnsi="Dialog"/>
                <w:sz w:val="32"/>
                <w:szCs w:val="24"/>
              </w:rPr>
            </w:pPr>
            <w:r>
              <w:rPr>
                <w:rFonts w:hint="default" w:ascii="宋体" w:hAnsi="Dialog"/>
                <w:sz w:val="32"/>
                <w:szCs w:val="24"/>
              </w:rPr>
              <w:t>17、政府性基金预算支出分类汇总表（按部门预算经济分类）</w:t>
            </w:r>
          </w:p>
        </w:tc>
      </w:tr>
      <w:tr w14:paraId="363E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BD42C5C">
            <w:pPr>
              <w:spacing w:line="375" w:lineRule="exact"/>
              <w:ind w:left="20"/>
              <w:rPr>
                <w:rFonts w:hint="default" w:ascii="宋体" w:hAnsi="Dialog"/>
                <w:sz w:val="32"/>
                <w:szCs w:val="24"/>
              </w:rPr>
            </w:pPr>
            <w:r>
              <w:rPr>
                <w:rFonts w:hint="default" w:ascii="宋体" w:hAnsi="Dialog"/>
                <w:sz w:val="32"/>
                <w:szCs w:val="24"/>
              </w:rPr>
              <w:t>18、国有资本经营预算支出表</w:t>
            </w:r>
          </w:p>
        </w:tc>
      </w:tr>
      <w:tr w14:paraId="0179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83FB0C3">
            <w:pPr>
              <w:spacing w:line="375" w:lineRule="exact"/>
              <w:ind w:left="20"/>
              <w:rPr>
                <w:rFonts w:hint="default" w:ascii="宋体" w:hAnsi="Dialog"/>
                <w:sz w:val="32"/>
                <w:szCs w:val="24"/>
              </w:rPr>
            </w:pPr>
            <w:r>
              <w:rPr>
                <w:rFonts w:hint="default" w:ascii="宋体" w:hAnsi="Dialog"/>
                <w:sz w:val="32"/>
                <w:szCs w:val="24"/>
              </w:rPr>
              <w:t>19、财政专户管理资金预算支出表</w:t>
            </w:r>
          </w:p>
        </w:tc>
      </w:tr>
      <w:tr w14:paraId="2B81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A275996">
            <w:pPr>
              <w:spacing w:line="375" w:lineRule="exact"/>
              <w:ind w:left="20"/>
              <w:rPr>
                <w:rFonts w:hint="default" w:ascii="宋体" w:hAnsi="Dialog"/>
                <w:sz w:val="32"/>
                <w:szCs w:val="24"/>
              </w:rPr>
            </w:pPr>
            <w:r>
              <w:rPr>
                <w:rFonts w:hint="default" w:ascii="宋体" w:hAnsi="Dialog"/>
                <w:sz w:val="32"/>
                <w:szCs w:val="24"/>
              </w:rPr>
              <w:t>20、专项资金预算汇总表</w:t>
            </w:r>
          </w:p>
        </w:tc>
      </w:tr>
      <w:tr w14:paraId="4036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2141F14">
            <w:pPr>
              <w:spacing w:line="375" w:lineRule="exact"/>
              <w:ind w:left="20"/>
              <w:rPr>
                <w:rFonts w:hint="default" w:ascii="宋体" w:hAnsi="Dialog"/>
                <w:sz w:val="32"/>
                <w:szCs w:val="24"/>
              </w:rPr>
            </w:pPr>
            <w:r>
              <w:rPr>
                <w:rFonts w:hint="default" w:ascii="宋体" w:hAnsi="Dialog"/>
                <w:sz w:val="32"/>
                <w:szCs w:val="24"/>
              </w:rPr>
              <w:t>21、项目支出绩效目标表</w:t>
            </w:r>
          </w:p>
        </w:tc>
      </w:tr>
      <w:tr w14:paraId="5AFD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0F07E93">
            <w:pPr>
              <w:spacing w:line="375" w:lineRule="exact"/>
              <w:ind w:left="20"/>
              <w:rPr>
                <w:rFonts w:hint="default" w:ascii="宋体" w:hAnsi="Dialog"/>
                <w:sz w:val="32"/>
                <w:szCs w:val="24"/>
              </w:rPr>
            </w:pPr>
            <w:r>
              <w:rPr>
                <w:rFonts w:hint="default" w:ascii="宋体" w:hAnsi="Dialog"/>
                <w:sz w:val="32"/>
                <w:szCs w:val="24"/>
              </w:rPr>
              <w:t>22、部门整体支出绩效目标表</w:t>
            </w:r>
          </w:p>
        </w:tc>
      </w:tr>
      <w:tr w14:paraId="68A1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93152E7">
            <w:pPr>
              <w:spacing w:line="375" w:lineRule="exact"/>
              <w:ind w:left="20"/>
              <w:rPr>
                <w:rFonts w:hint="default" w:ascii="宋体" w:hAnsi="Dialog"/>
                <w:sz w:val="32"/>
                <w:szCs w:val="24"/>
              </w:rPr>
            </w:pPr>
            <w:r>
              <w:rPr>
                <w:rFonts w:hint="default" w:ascii="宋体" w:hAnsi="Dialog"/>
                <w:sz w:val="32"/>
                <w:szCs w:val="24"/>
              </w:rPr>
              <w:t>23、一般公共预算基本支出表</w:t>
            </w:r>
          </w:p>
        </w:tc>
      </w:tr>
      <w:tr w14:paraId="38864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D801A9">
            <w:pPr>
              <w:spacing w:line="375" w:lineRule="exact"/>
              <w:ind w:left="20"/>
              <w:rPr>
                <w:rFonts w:hint="default" w:ascii="宋体" w:hAnsi="Dialog"/>
                <w:color w:val="FF0000"/>
                <w:sz w:val="32"/>
                <w:szCs w:val="24"/>
              </w:rPr>
            </w:pPr>
            <w:r>
              <w:rPr>
                <w:rFonts w:hint="default" w:ascii="宋体" w:hAnsi="Dialog"/>
                <w:color w:val="FF0000"/>
                <w:sz w:val="32"/>
                <w:szCs w:val="24"/>
              </w:rPr>
              <w:t>注：以上部门预算公开报表中，空表表示本部门无相关收支情况。</w:t>
            </w:r>
          </w:p>
        </w:tc>
      </w:tr>
      <w:tr w14:paraId="6376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9DFE089">
            <w:pPr>
              <w:rPr>
                <w:rFonts w:hint="default"/>
                <w:sz w:val="24"/>
                <w:szCs w:val="24"/>
              </w:rPr>
            </w:pPr>
          </w:p>
        </w:tc>
      </w:tr>
      <w:tr w14:paraId="2779A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B575788">
            <w:pPr>
              <w:rPr>
                <w:rFonts w:hint="default"/>
                <w:sz w:val="24"/>
                <w:szCs w:val="24"/>
              </w:rPr>
            </w:pPr>
          </w:p>
        </w:tc>
      </w:tr>
      <w:tr w14:paraId="4CCE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2FDE994">
            <w:pPr>
              <w:spacing w:line="375" w:lineRule="exact"/>
              <w:ind w:left="20"/>
              <w:jc w:val="center"/>
              <w:rPr>
                <w:rFonts w:hint="default" w:ascii="宋体" w:hAnsi="Dialog"/>
                <w:sz w:val="32"/>
                <w:szCs w:val="24"/>
              </w:rPr>
            </w:pPr>
            <w:r>
              <w:rPr>
                <w:rFonts w:hint="default" w:ascii="宋体" w:hAnsi="Dialog"/>
                <w:sz w:val="32"/>
                <w:szCs w:val="24"/>
              </w:rPr>
              <w:t>第一部分  2024年部门预算说明</w:t>
            </w:r>
          </w:p>
        </w:tc>
      </w:tr>
      <w:tr w14:paraId="220D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175C488">
            <w:pPr>
              <w:rPr>
                <w:rFonts w:hint="default"/>
                <w:sz w:val="24"/>
                <w:szCs w:val="24"/>
              </w:rPr>
            </w:pPr>
          </w:p>
        </w:tc>
      </w:tr>
      <w:tr w14:paraId="0D3F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AEBC5CD">
            <w:pPr>
              <w:spacing w:line="375" w:lineRule="exact"/>
              <w:ind w:left="20"/>
              <w:rPr>
                <w:rFonts w:hint="default" w:ascii="宋体" w:hAnsi="Dialog"/>
                <w:sz w:val="32"/>
                <w:szCs w:val="24"/>
              </w:rPr>
            </w:pPr>
            <w:r>
              <w:rPr>
                <w:rFonts w:hint="default" w:ascii="宋体" w:hAnsi="Dialog"/>
                <w:sz w:val="32"/>
                <w:szCs w:val="24"/>
              </w:rPr>
              <w:t xml:space="preserve">  一、部门基本概况</w:t>
            </w:r>
          </w:p>
        </w:tc>
      </w:tr>
      <w:tr w14:paraId="30EE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7FD3A79">
            <w:pPr>
              <w:spacing w:line="375" w:lineRule="exact"/>
              <w:ind w:left="20"/>
              <w:rPr>
                <w:rFonts w:hint="default" w:ascii="宋体" w:hAnsi="宋体"/>
                <w:sz w:val="32"/>
                <w:szCs w:val="24"/>
              </w:rPr>
            </w:pPr>
            <w:r>
              <w:rPr>
                <w:rFonts w:hint="default" w:ascii="宋体" w:hAnsi="宋体"/>
                <w:sz w:val="32"/>
                <w:szCs w:val="24"/>
              </w:rPr>
              <w:t xml:space="preserve">  （一）职能职责</w:t>
            </w:r>
          </w:p>
        </w:tc>
      </w:tr>
      <w:tr w14:paraId="4F99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C514527">
            <w:pPr>
              <w:numPr>
                <w:ilvl w:val="0"/>
                <w:numId w:val="1"/>
              </w:numPr>
              <w:spacing w:line="375" w:lineRule="exact"/>
              <w:ind w:firstLine="640" w:firstLineChars="200"/>
              <w:rPr>
                <w:rFonts w:hint="default" w:ascii="宋体" w:hAnsi="宋体"/>
                <w:sz w:val="32"/>
                <w:szCs w:val="24"/>
                <w:lang w:val="en-US" w:eastAsia="zh-CN"/>
              </w:rPr>
            </w:pPr>
            <w:r>
              <w:rPr>
                <w:rFonts w:hint="default" w:ascii="宋体" w:hAnsi="宋体"/>
                <w:sz w:val="32"/>
                <w:szCs w:val="24"/>
                <w:lang w:val="en-US" w:eastAsia="zh-CN"/>
              </w:rPr>
              <w:t>贯彻落实有关住房和城乡建设的法律法规、规章和政策;拟订住房和城乡建设行业地方性法规、规章草案、规范性文件；研究拟订住房和城乡建设发展战略、产业政策、改革方案和中长期规划及年度计划并组织实施；牵头组织推进城市智慧化建设和新型城市化发展战略；组织推进行业诚信体系建设和管理;负责市本级住房和城乡建设行政执法工作；负责监督指导各县市区住房和城乡建设行政执法工作；负责编制城市建设行业专业规划；负责住房和城乡建设行业综合统计;指导和协调各县市区住房和城乡建设管理工作。</w:t>
            </w:r>
          </w:p>
          <w:p w14:paraId="5BC05E83">
            <w:pPr>
              <w:numPr>
                <w:ilvl w:val="0"/>
                <w:numId w:val="1"/>
              </w:numPr>
              <w:spacing w:line="375" w:lineRule="exact"/>
              <w:ind w:firstLine="640" w:firstLineChars="200"/>
              <w:rPr>
                <w:rFonts w:hint="default" w:ascii="宋体" w:hAnsi="宋体" w:cs="Times New Roman"/>
                <w:sz w:val="32"/>
                <w:szCs w:val="24"/>
                <w:lang w:val="zh-CN" w:eastAsia="zh-CN"/>
              </w:rPr>
            </w:pPr>
            <w:r>
              <w:rPr>
                <w:rFonts w:hint="default" w:ascii="宋体" w:hAnsi="宋体" w:cs="Times New Roman"/>
                <w:sz w:val="32"/>
                <w:szCs w:val="24"/>
                <w:lang w:val="zh-CN" w:eastAsia="zh-CN"/>
              </w:rPr>
              <w:t>负责全市市政基础(公用)设施建设的行业管理和城建计划；牵头负责城市地下管线建设统筹和数据管理；负责住宅专项维修资金缴存管理和城市基础设施建设配套费的征收管理。</w:t>
            </w:r>
          </w:p>
          <w:p w14:paraId="56CD9F56">
            <w:pPr>
              <w:numPr>
                <w:ilvl w:val="0"/>
                <w:numId w:val="1"/>
              </w:numPr>
              <w:spacing w:line="375" w:lineRule="exact"/>
              <w:ind w:firstLine="640" w:firstLineChars="200"/>
              <w:rPr>
                <w:rFonts w:hint="default" w:ascii="宋体" w:hAnsi="宋体"/>
                <w:sz w:val="32"/>
                <w:szCs w:val="24"/>
              </w:rPr>
            </w:pPr>
            <w:r>
              <w:rPr>
                <w:rFonts w:hint="default" w:ascii="宋体" w:hAnsi="宋体"/>
                <w:sz w:val="32"/>
                <w:szCs w:val="24"/>
                <w:lang w:val="zh-CN"/>
              </w:rPr>
              <w:t>建立和完善住房保障体系，研究拟订全市住房保障 政策并监督实施；指导监督全市住房保障工作；拟订全市住房 (含保障性住房)发展规划及年度计划并监督实施；会同相关部门做好政府有关住房保障专项资金安排和资金监管工作；指导监督保障性住房建设、运营、管理；组织指导城市、国有工矿棚户区改造和老旧小区改造工作。</w:t>
            </w:r>
          </w:p>
          <w:p w14:paraId="4AC59555">
            <w:pPr>
              <w:numPr>
                <w:ilvl w:val="0"/>
                <w:numId w:val="1"/>
              </w:numPr>
              <w:spacing w:line="375" w:lineRule="exact"/>
              <w:ind w:firstLine="640" w:firstLineChars="200"/>
              <w:rPr>
                <w:rFonts w:hint="default" w:ascii="宋体" w:hAnsi="宋体"/>
                <w:sz w:val="32"/>
                <w:szCs w:val="24"/>
              </w:rPr>
            </w:pPr>
            <w:r>
              <w:rPr>
                <w:rFonts w:hint="default" w:ascii="宋体" w:hAnsi="宋体"/>
                <w:sz w:val="32"/>
                <w:szCs w:val="24"/>
                <w:lang w:val="zh-CN"/>
              </w:rPr>
              <w:t>负责全市房地产市场监督管理，规范房地产市场秩序。负责权限内房地产开发企业资质认定；负责商品房屋预售许可、销售管理和房屋交易管理；负责房产测绘及成果应用的监督管理；监督管理房地产开发市场、房地产交易市场、物业管理市场、房地产中介服务市场和房屋租赁市场；监督管理国有土地上房屋征收与补偿、城市房屋白蚁防治工作；负责危旧房屋的安全鉴定和行业管理工作。</w:t>
            </w:r>
          </w:p>
          <w:p w14:paraId="032224F5">
            <w:pPr>
              <w:numPr>
                <w:ilvl w:val="0"/>
                <w:numId w:val="1"/>
              </w:numPr>
              <w:spacing w:line="375" w:lineRule="exact"/>
              <w:ind w:firstLine="640" w:firstLineChars="200"/>
              <w:rPr>
                <w:rFonts w:hint="default" w:ascii="宋体" w:hAnsi="宋体"/>
                <w:sz w:val="32"/>
                <w:szCs w:val="24"/>
              </w:rPr>
            </w:pPr>
            <w:r>
              <w:rPr>
                <w:rFonts w:hint="default" w:ascii="宋体" w:hAnsi="宋体"/>
                <w:sz w:val="32"/>
                <w:szCs w:val="24"/>
                <w:lang w:val="zh-CN"/>
              </w:rPr>
              <w:t>负责全市建筑市场监督管理。负责全市建设工程招标投标监管和备案工作；负责建筑施工、装饰装修、工程监理、造价咨询、招标代理、建设工程质量检测和商品混凝土生产等行业的监管；按照规定权限负责全市建筑业、工程监理、检验检测、商品混凝土、预拌砂浆、装饰装修等企业及其相关中介组织的资质和从业人员资格管理，对商品混凝土、预拌砂浆生产、销售、使用过程中的违法违规行为进行行政处罚；负责建筑工程施工许可；负责房屋建筑和市政基础设施工程公开招标项目的招标控制价备案、工程造价管理。</w:t>
            </w:r>
          </w:p>
          <w:p w14:paraId="2DFF251F">
            <w:pPr>
              <w:numPr>
                <w:ilvl w:val="0"/>
                <w:numId w:val="1"/>
              </w:numPr>
              <w:spacing w:line="375" w:lineRule="exact"/>
              <w:ind w:firstLine="640" w:firstLineChars="200"/>
              <w:rPr>
                <w:rFonts w:hint="default" w:ascii="宋体" w:hAnsi="宋体"/>
                <w:sz w:val="32"/>
                <w:szCs w:val="24"/>
              </w:rPr>
            </w:pPr>
            <w:r>
              <w:rPr>
                <w:rFonts w:hint="default" w:ascii="宋体" w:hAnsi="宋体"/>
                <w:sz w:val="32"/>
                <w:szCs w:val="24"/>
                <w:lang w:val="zh-CN"/>
              </w:rPr>
              <w:t>负责全市房屋建筑和市政基础设施的工程质量、安全生产、文明施工的监督管理。贯彻执行工程建设标准；制定建设工程质量管理、安全生产的规章制度并监督执行；负责中心城区(含城陵矶新港区，下同)建设工程施工现场质量安全管理；牵头组织建设工程项目联合验收备案；按照规定权限负责建筑施工企业安全生产许可证和安管人员资格的管理；负责建筑起重机械特种作业操作资格管理；参与建设工程质量、安全事故的调查处理。</w:t>
            </w:r>
          </w:p>
          <w:p w14:paraId="3F68CBC9">
            <w:pPr>
              <w:numPr>
                <w:ilvl w:val="0"/>
                <w:numId w:val="1"/>
              </w:numPr>
              <w:spacing w:line="375" w:lineRule="exact"/>
              <w:ind w:firstLine="640" w:firstLineChars="200"/>
              <w:rPr>
                <w:rFonts w:hint="default" w:ascii="宋体" w:hAnsi="宋体"/>
                <w:sz w:val="32"/>
                <w:szCs w:val="24"/>
              </w:rPr>
            </w:pPr>
            <w:r>
              <w:rPr>
                <w:rFonts w:hint="default" w:ascii="宋体" w:hAnsi="宋体"/>
                <w:sz w:val="32"/>
                <w:szCs w:val="24"/>
                <w:lang w:val="zh-CN"/>
              </w:rPr>
              <w:t>负责建设工程消防设计审查、消防验收及竣工验收消防备案、抽查工作；按照法定职权负责消防行政执法工作，对建设工程消防设计审查验收过程中的违法违规行为进行行政处罚。</w:t>
            </w:r>
          </w:p>
          <w:p w14:paraId="0DA0AB2D">
            <w:pPr>
              <w:numPr>
                <w:ilvl w:val="0"/>
                <w:numId w:val="1"/>
              </w:numPr>
              <w:spacing w:line="375" w:lineRule="exact"/>
              <w:ind w:firstLine="640" w:firstLineChars="200"/>
              <w:rPr>
                <w:rFonts w:hint="default" w:ascii="宋体" w:hAnsi="宋体"/>
                <w:sz w:val="32"/>
                <w:szCs w:val="24"/>
              </w:rPr>
            </w:pPr>
            <w:r>
              <w:rPr>
                <w:rFonts w:hint="default" w:ascii="宋体" w:hAnsi="宋体"/>
                <w:sz w:val="32"/>
                <w:szCs w:val="24"/>
                <w:lang w:val="zh-CN"/>
              </w:rPr>
              <w:t>负责绿色建筑、建筑节能和建设科技成果应用推广。组织实施建筑节能、绿色建筑、装配式建筑、可再生能源建筑等重点项目和示范工程；指导行业企业技术中心建设和绿色建材、新型墙体材料、散装水泥、机制砂石的推广应用工作；推广实施工程建设标准和工法；负责对粘土砖的生产销售使用、散装水泥及水泥制品的生产销售使用、现场搅拌混凝土和砂浆、绿色建筑、装配式建筑等违法违规行为进行行政处罚；指导住宅产业化工作。</w:t>
            </w:r>
          </w:p>
          <w:p w14:paraId="42E60F23">
            <w:pPr>
              <w:numPr>
                <w:ilvl w:val="0"/>
                <w:numId w:val="1"/>
              </w:numPr>
              <w:spacing w:line="375" w:lineRule="exact"/>
              <w:ind w:firstLine="640" w:firstLineChars="200"/>
              <w:rPr>
                <w:rFonts w:hint="default" w:ascii="宋体" w:hAnsi="宋体"/>
                <w:sz w:val="32"/>
                <w:szCs w:val="24"/>
              </w:rPr>
            </w:pPr>
            <w:r>
              <w:rPr>
                <w:rFonts w:hint="default" w:ascii="宋体" w:hAnsi="宋体"/>
                <w:sz w:val="32"/>
                <w:szCs w:val="24"/>
                <w:lang w:val="zh-CN"/>
              </w:rPr>
              <w:t>负责全市建设工程勘察设计市场的监督管理。负责全市政府投资项目的房屋建筑、市政基础设施工程初步设计方案及概算审查、概算变更管理，参与工程预算、结算管理；负责建设工程施工图设计文件审查备案；负责全市建设工程勘察 设计行业的监督管理。</w:t>
            </w:r>
          </w:p>
          <w:p w14:paraId="721517EE">
            <w:pPr>
              <w:numPr>
                <w:ilvl w:val="0"/>
                <w:numId w:val="1"/>
              </w:numPr>
              <w:spacing w:line="375" w:lineRule="exact"/>
              <w:ind w:firstLine="640" w:firstLineChars="200"/>
              <w:rPr>
                <w:rFonts w:hint="default" w:ascii="宋体" w:hAnsi="宋体"/>
                <w:sz w:val="32"/>
                <w:szCs w:val="24"/>
              </w:rPr>
            </w:pPr>
            <w:r>
              <w:rPr>
                <w:rFonts w:hint="default" w:ascii="宋体" w:hAnsi="宋体"/>
                <w:sz w:val="32"/>
                <w:szCs w:val="24"/>
                <w:lang w:val="zh-CN"/>
              </w:rPr>
              <w:t>负责村镇建设的指导和历史文化名城(镇、村)保护的监督管理。参与城乡一体化建设工作；组织编制历史文化名城(镇、村)专项规划、历史文化街区和历史风貌保护区专项规划，并监督实施；负责本市建设项目的档案收集、保管和利用工作；负责指导全市农村危房改造和乡镇污水设施建设运营管理。</w:t>
            </w:r>
          </w:p>
          <w:p w14:paraId="3C6EBB4B">
            <w:pPr>
              <w:numPr>
                <w:ilvl w:val="0"/>
                <w:numId w:val="1"/>
              </w:numPr>
              <w:spacing w:line="375" w:lineRule="exact"/>
              <w:ind w:firstLine="640" w:firstLineChars="200"/>
              <w:rPr>
                <w:rFonts w:hint="default" w:ascii="宋体" w:hAnsi="宋体"/>
                <w:sz w:val="32"/>
                <w:szCs w:val="24"/>
              </w:rPr>
            </w:pPr>
            <w:r>
              <w:rPr>
                <w:rFonts w:hint="default" w:ascii="宋体" w:hAnsi="宋体"/>
                <w:sz w:val="32"/>
                <w:szCs w:val="24"/>
                <w:lang w:val="zh-CN"/>
              </w:rPr>
              <w:t>负责城市供水、排水和海绵城市建设的监督管理。负责全市供水用水行业管理和污水处理监督管理；参与城市给水用水工程的论证、审查和验收;负责全市雨水管道、污水管道、泵站、污水处理设施的建设、管理、运维和调度工作；牵头负责城市生活污水污染防治和黑臭水体治理工作；负责污水处理特许经营管理；负责对排水户排放污水的水质等是否符合规定进行审查；负责拟订和执行海绵城市建设设计标准的监督管理；负责海绵城市建设的监督指导。</w:t>
            </w:r>
          </w:p>
          <w:p w14:paraId="033FA8E4">
            <w:pPr>
              <w:spacing w:line="375" w:lineRule="exact"/>
              <w:ind w:left="20" w:firstLine="960" w:firstLineChars="300"/>
              <w:rPr>
                <w:rFonts w:hint="default" w:ascii="宋体" w:hAnsi="宋体"/>
                <w:sz w:val="32"/>
                <w:szCs w:val="24"/>
              </w:rPr>
            </w:pPr>
            <w:r>
              <w:rPr>
                <w:rFonts w:hint="default" w:ascii="宋体" w:hAnsi="宋体"/>
                <w:sz w:val="32"/>
                <w:szCs w:val="24"/>
                <w:lang w:val="en-US" w:eastAsia="zh-CN"/>
              </w:rPr>
              <w:t>12、</w:t>
            </w:r>
            <w:r>
              <w:rPr>
                <w:rFonts w:hint="default" w:ascii="宋体" w:hAnsi="宋体"/>
                <w:sz w:val="32"/>
                <w:szCs w:val="24"/>
                <w:lang w:val="zh-CN"/>
              </w:rPr>
              <w:t>承办市委、市政府交办的其他事项。</w:t>
            </w:r>
          </w:p>
        </w:tc>
      </w:tr>
      <w:tr w14:paraId="09D4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60E200C">
            <w:pPr>
              <w:spacing w:line="375" w:lineRule="exact"/>
              <w:ind w:left="20"/>
              <w:rPr>
                <w:rFonts w:hint="default" w:ascii="宋体" w:hAnsi="宋体"/>
                <w:sz w:val="32"/>
                <w:szCs w:val="24"/>
              </w:rPr>
            </w:pPr>
            <w:r>
              <w:rPr>
                <w:rFonts w:hint="default" w:ascii="宋体" w:hAnsi="宋体"/>
                <w:sz w:val="32"/>
                <w:szCs w:val="24"/>
              </w:rPr>
              <w:t xml:space="preserve">  （二）机构设置</w:t>
            </w:r>
          </w:p>
        </w:tc>
      </w:tr>
      <w:tr w14:paraId="2014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A3397F9">
            <w:pPr>
              <w:spacing w:line="375" w:lineRule="exact"/>
              <w:ind w:left="20"/>
              <w:rPr>
                <w:rFonts w:hint="default" w:ascii="宋体" w:hAnsi="宋体"/>
                <w:sz w:val="32"/>
                <w:szCs w:val="24"/>
              </w:rPr>
            </w:pPr>
            <w:r>
              <w:rPr>
                <w:rFonts w:hint="default" w:ascii="宋体" w:hAnsi="宋体"/>
                <w:sz w:val="32"/>
                <w:szCs w:val="24"/>
              </w:rPr>
              <w:t xml:space="preserve">  </w:t>
            </w:r>
            <w:r>
              <w:rPr>
                <w:rFonts w:hint="default" w:ascii="宋体" w:hAnsi="宋体" w:cs="Times New Roman"/>
                <w:sz w:val="32"/>
                <w:szCs w:val="24"/>
                <w:lang w:val="zh-CN" w:eastAsia="zh-CN"/>
              </w:rPr>
              <w:t>岳阳市住房和城乡建设局内设</w:t>
            </w:r>
            <w:r>
              <w:rPr>
                <w:rFonts w:hint="default" w:ascii="宋体" w:hAnsi="宋体" w:cs="Times New Roman"/>
                <w:sz w:val="32"/>
                <w:szCs w:val="24"/>
                <w:lang w:val="en-US" w:eastAsia="zh-CN"/>
              </w:rPr>
              <w:t>24个科室：</w:t>
            </w:r>
            <w:r>
              <w:rPr>
                <w:rFonts w:hint="default" w:ascii="宋体" w:hAnsi="宋体"/>
                <w:sz w:val="32"/>
                <w:szCs w:val="24"/>
                <w:lang w:val="zh-CN"/>
              </w:rPr>
              <w:t>办公室、综合调研室（新型城镇化办公室）、行政审批科、住房保障科、房地产市场监管科、房屋和物业管理科、勘察设计管理科、建设工程招标投标管理办公室、建设市场管理科（岳阳市人民政府清理拖欠工程款领导小组办公室）、信息和信用监管科、建筑节能与科技科、质量安全管理科、建设工程消防管理科、村镇建设科、城市建设科、历史文化名城保护管理科、供排水管理科（海绵城市建设办公室）、政策法规科、工程技术科、信访科、人事科、计财审计科组成。</w:t>
            </w:r>
            <w:r>
              <w:rPr>
                <w:rFonts w:hint="default" w:ascii="宋体" w:hAnsi="宋体"/>
                <w:sz w:val="32"/>
                <w:szCs w:val="24"/>
              </w:rPr>
              <w:t>机关党委、机关纪委按章程设置，住房建设工会、离退休人员管理服务科按相关规定设置。</w:t>
            </w:r>
            <w:r>
              <w:rPr>
                <w:rFonts w:hint="default" w:ascii="宋体" w:hAnsi="宋体" w:cs="Times New Roman"/>
                <w:sz w:val="32"/>
                <w:szCs w:val="24"/>
                <w:lang w:val="en-US" w:eastAsia="zh-CN"/>
              </w:rPr>
              <w:t>下设市建设工程质量安全监督站、市住房保障服务中心、市城乡建设事务中心、市城市建设档案馆、市房地产市场服务中心、市污水处理监督中心、市绿色建筑产业发展服务中心、市房地产交易中心8个二级独立核算单位。2024年预算在职在编人数407人，离休0人，退休202人。</w:t>
            </w:r>
          </w:p>
        </w:tc>
      </w:tr>
      <w:tr w14:paraId="4D51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1396B5">
            <w:pPr>
              <w:spacing w:line="375" w:lineRule="exact"/>
              <w:ind w:left="20"/>
              <w:rPr>
                <w:rFonts w:hint="default" w:ascii="宋体" w:hAnsi="Dialog"/>
                <w:sz w:val="32"/>
                <w:szCs w:val="24"/>
              </w:rPr>
            </w:pPr>
            <w:r>
              <w:rPr>
                <w:rFonts w:hint="default" w:ascii="宋体" w:hAnsi="Dialog"/>
                <w:sz w:val="32"/>
                <w:szCs w:val="24"/>
              </w:rPr>
              <w:t xml:space="preserve">  二、部门预算构成</w:t>
            </w:r>
          </w:p>
        </w:tc>
      </w:tr>
      <w:tr w14:paraId="5DBB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B5B2F9E">
            <w:pPr>
              <w:spacing w:line="375" w:lineRule="exact"/>
              <w:ind w:left="20"/>
              <w:rPr>
                <w:rFonts w:hint="default" w:ascii="宋体" w:hAnsi="宋体"/>
                <w:sz w:val="32"/>
                <w:szCs w:val="24"/>
              </w:rPr>
            </w:pPr>
            <w:r>
              <w:rPr>
                <w:rFonts w:hint="default" w:ascii="宋体" w:hAnsi="宋体"/>
                <w:sz w:val="32"/>
                <w:szCs w:val="24"/>
              </w:rPr>
              <w:t xml:space="preserve">  本部门预算为汇总预算，纳入编制范围的预算单位包括：</w:t>
            </w:r>
          </w:p>
        </w:tc>
      </w:tr>
      <w:tr w14:paraId="39F9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6600F64">
            <w:pPr>
              <w:spacing w:line="375" w:lineRule="exact"/>
              <w:ind w:left="20"/>
              <w:rPr>
                <w:rFonts w:hint="default" w:ascii="宋体" w:hAnsi="宋体"/>
                <w:sz w:val="32"/>
                <w:szCs w:val="24"/>
              </w:rPr>
            </w:pPr>
            <w:r>
              <w:rPr>
                <w:rFonts w:hint="default" w:ascii="宋体" w:hAnsi="宋体"/>
                <w:sz w:val="32"/>
                <w:szCs w:val="24"/>
              </w:rPr>
              <w:t xml:space="preserve">    1、</w:t>
            </w:r>
            <w:r>
              <w:rPr>
                <w:rFonts w:hint="default" w:ascii="宋体" w:hAnsi="宋体"/>
                <w:sz w:val="32"/>
                <w:szCs w:val="24"/>
                <w:lang w:val="zh-CN"/>
              </w:rPr>
              <w:t>岳阳市住房和城乡建设局</w:t>
            </w:r>
            <w:r>
              <w:rPr>
                <w:rFonts w:hint="default" w:ascii="宋体" w:hAnsi="宋体"/>
                <w:sz w:val="32"/>
                <w:szCs w:val="24"/>
                <w:lang w:val="en-US" w:eastAsia="zh-CN"/>
              </w:rPr>
              <w:t>本级</w:t>
            </w:r>
          </w:p>
        </w:tc>
      </w:tr>
      <w:tr w14:paraId="1A8E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9D5001E">
            <w:pPr>
              <w:spacing w:line="375" w:lineRule="exact"/>
              <w:ind w:left="20"/>
              <w:rPr>
                <w:rFonts w:hint="default" w:ascii="宋体" w:hAnsi="宋体"/>
                <w:sz w:val="32"/>
                <w:szCs w:val="24"/>
              </w:rPr>
            </w:pPr>
            <w:r>
              <w:rPr>
                <w:rFonts w:hint="default" w:ascii="宋体" w:hAnsi="宋体"/>
                <w:sz w:val="32"/>
                <w:szCs w:val="24"/>
              </w:rPr>
              <w:t xml:space="preserve">    2、</w:t>
            </w:r>
            <w:r>
              <w:rPr>
                <w:rFonts w:hint="default" w:ascii="宋体" w:hAnsi="宋体"/>
                <w:sz w:val="32"/>
                <w:szCs w:val="24"/>
                <w:lang w:eastAsia="zh-CN"/>
              </w:rPr>
              <w:t>岳阳市建设工程质量安全监督站</w:t>
            </w:r>
            <w:r>
              <w:rPr>
                <w:rFonts w:hint="default" w:ascii="宋体" w:hAnsi="宋体"/>
                <w:sz w:val="32"/>
                <w:szCs w:val="24"/>
              </w:rPr>
              <w:t>、</w:t>
            </w:r>
            <w:r>
              <w:rPr>
                <w:rFonts w:hint="default" w:ascii="宋体" w:hAnsi="宋体"/>
                <w:sz w:val="32"/>
                <w:szCs w:val="24"/>
                <w:lang w:val="en-US" w:eastAsia="zh-CN"/>
              </w:rPr>
              <w:t>岳阳</w:t>
            </w:r>
            <w:r>
              <w:rPr>
                <w:rFonts w:hint="default" w:ascii="宋体" w:hAnsi="宋体"/>
                <w:sz w:val="32"/>
                <w:szCs w:val="24"/>
                <w:lang w:eastAsia="zh-CN"/>
              </w:rPr>
              <w:t>市住房保障服务中心、</w:t>
            </w:r>
            <w:r>
              <w:rPr>
                <w:rFonts w:hint="default" w:ascii="宋体" w:hAnsi="宋体"/>
                <w:sz w:val="32"/>
                <w:szCs w:val="24"/>
                <w:lang w:val="en-US" w:eastAsia="zh-CN"/>
              </w:rPr>
              <w:t>岳阳</w:t>
            </w:r>
            <w:r>
              <w:rPr>
                <w:rFonts w:hint="default" w:ascii="宋体" w:hAnsi="宋体"/>
                <w:sz w:val="32"/>
                <w:szCs w:val="24"/>
                <w:lang w:eastAsia="zh-CN"/>
              </w:rPr>
              <w:t>市城乡建设事务中心、</w:t>
            </w:r>
            <w:r>
              <w:rPr>
                <w:rFonts w:hint="default" w:ascii="宋体" w:hAnsi="宋体"/>
                <w:sz w:val="32"/>
                <w:szCs w:val="24"/>
                <w:lang w:val="en-US" w:eastAsia="zh-CN"/>
              </w:rPr>
              <w:t>岳阳</w:t>
            </w:r>
            <w:r>
              <w:rPr>
                <w:rFonts w:hint="default" w:ascii="宋体" w:hAnsi="宋体"/>
                <w:sz w:val="32"/>
                <w:szCs w:val="24"/>
                <w:lang w:eastAsia="zh-CN"/>
              </w:rPr>
              <w:t>市城市建设档案馆、</w:t>
            </w:r>
            <w:r>
              <w:rPr>
                <w:rFonts w:hint="default" w:ascii="宋体" w:hAnsi="宋体"/>
                <w:sz w:val="32"/>
                <w:szCs w:val="24"/>
                <w:lang w:val="en-US" w:eastAsia="zh-CN"/>
              </w:rPr>
              <w:t>岳阳</w:t>
            </w:r>
            <w:r>
              <w:rPr>
                <w:rFonts w:hint="default" w:ascii="宋体" w:hAnsi="宋体"/>
                <w:sz w:val="32"/>
                <w:szCs w:val="24"/>
                <w:lang w:eastAsia="zh-CN"/>
              </w:rPr>
              <w:t>市房地产市场服务中心、</w:t>
            </w:r>
            <w:r>
              <w:rPr>
                <w:rFonts w:hint="default" w:ascii="宋体" w:hAnsi="宋体"/>
                <w:sz w:val="32"/>
                <w:szCs w:val="24"/>
                <w:lang w:val="en-US" w:eastAsia="zh-CN"/>
              </w:rPr>
              <w:t>岳阳</w:t>
            </w:r>
            <w:r>
              <w:rPr>
                <w:rFonts w:hint="default" w:ascii="宋体" w:hAnsi="宋体"/>
                <w:sz w:val="32"/>
                <w:szCs w:val="24"/>
                <w:lang w:eastAsia="zh-CN"/>
              </w:rPr>
              <w:t>市污水处理监督中心、</w:t>
            </w:r>
            <w:r>
              <w:rPr>
                <w:rFonts w:hint="default" w:ascii="宋体" w:hAnsi="宋体"/>
                <w:sz w:val="32"/>
                <w:szCs w:val="24"/>
                <w:lang w:val="en-US" w:eastAsia="zh-CN"/>
              </w:rPr>
              <w:t>岳阳</w:t>
            </w:r>
            <w:r>
              <w:rPr>
                <w:rFonts w:hint="default" w:ascii="宋体" w:hAnsi="宋体"/>
                <w:sz w:val="32"/>
                <w:szCs w:val="24"/>
                <w:lang w:eastAsia="zh-CN"/>
              </w:rPr>
              <w:t>市绿色建筑产业发展服务中心、岳阳市房地产交易中心</w:t>
            </w:r>
          </w:p>
        </w:tc>
      </w:tr>
      <w:tr w14:paraId="7A66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CF70742">
            <w:pPr>
              <w:spacing w:line="375" w:lineRule="exact"/>
              <w:ind w:left="20"/>
              <w:rPr>
                <w:rFonts w:hint="default" w:ascii="宋体" w:hAnsi="Dialog"/>
                <w:sz w:val="32"/>
                <w:szCs w:val="24"/>
              </w:rPr>
            </w:pPr>
            <w:r>
              <w:rPr>
                <w:rFonts w:hint="default" w:ascii="宋体" w:hAnsi="Dialog"/>
                <w:sz w:val="32"/>
                <w:szCs w:val="24"/>
              </w:rPr>
              <w:t xml:space="preserve">  三、部门收支总体情况</w:t>
            </w:r>
          </w:p>
        </w:tc>
      </w:tr>
      <w:tr w14:paraId="0385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01ADB8">
            <w:pPr>
              <w:spacing w:line="375" w:lineRule="exact"/>
              <w:ind w:left="20"/>
              <w:rPr>
                <w:rFonts w:hint="default" w:ascii="宋体" w:hAnsi="宋体"/>
                <w:sz w:val="32"/>
                <w:szCs w:val="24"/>
              </w:rPr>
            </w:pPr>
            <w:r>
              <w:rPr>
                <w:rFonts w:hint="default" w:ascii="宋体" w:hAnsi="宋体"/>
                <w:sz w:val="32"/>
                <w:szCs w:val="24"/>
              </w:rPr>
              <w:t xml:space="preserve">  本部门2024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14:paraId="1F82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3A1AFBD">
            <w:pPr>
              <w:spacing w:line="375" w:lineRule="exact"/>
              <w:ind w:left="20"/>
              <w:rPr>
                <w:rFonts w:hint="default" w:ascii="宋体" w:hAnsi="Dialog"/>
                <w:sz w:val="32"/>
                <w:szCs w:val="24"/>
              </w:rPr>
            </w:pPr>
            <w:r>
              <w:rPr>
                <w:rFonts w:hint="default" w:ascii="宋体" w:hAnsi="Dialog"/>
                <w:sz w:val="32"/>
                <w:szCs w:val="24"/>
              </w:rPr>
              <w:t xml:space="preserve">  （一）收入预算</w:t>
            </w:r>
          </w:p>
        </w:tc>
      </w:tr>
      <w:tr w14:paraId="1DEE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209"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0A6E21">
            <w:pPr>
              <w:spacing w:line="375" w:lineRule="exact"/>
              <w:ind w:left="20"/>
              <w:rPr>
                <w:rFonts w:hint="default" w:ascii="宋体" w:hAnsi="宋体"/>
                <w:sz w:val="32"/>
                <w:szCs w:val="24"/>
              </w:rPr>
            </w:pPr>
            <w:r>
              <w:rPr>
                <w:rFonts w:hint="default" w:ascii="宋体" w:hAnsi="宋体"/>
                <w:sz w:val="32"/>
                <w:szCs w:val="24"/>
              </w:rPr>
              <w:t xml:space="preserve">  包括一般公共预算、政府性基金、国有资本经营预算等财政拨款收入，以及经营收入、事业收入等单位资金。2024年度本部门收入预算8570.90万元，其中，一般公共预算拨款8570.90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部门2024年收入较去年增加</w:t>
            </w:r>
            <w:r>
              <w:rPr>
                <w:rFonts w:hint="default" w:ascii="宋体" w:hAnsi="宋体"/>
                <w:sz w:val="32"/>
                <w:szCs w:val="24"/>
                <w:lang w:val="en-US" w:eastAsia="zh-CN"/>
              </w:rPr>
              <w:t>373.05</w:t>
            </w:r>
            <w:r>
              <w:rPr>
                <w:rFonts w:hint="default" w:ascii="宋体" w:hAnsi="宋体"/>
                <w:sz w:val="32"/>
                <w:szCs w:val="24"/>
              </w:rPr>
              <w:t>万元，主要是因为</w:t>
            </w:r>
            <w:r>
              <w:rPr>
                <w:rFonts w:hint="default" w:ascii="宋体" w:hAnsi="宋体"/>
                <w:sz w:val="32"/>
                <w:szCs w:val="24"/>
                <w:lang w:eastAsia="zh-CN"/>
              </w:rPr>
              <w:t>新增</w:t>
            </w:r>
            <w:r>
              <w:rPr>
                <w:rFonts w:hint="default" w:ascii="宋体" w:hAnsi="宋体"/>
                <w:sz w:val="32"/>
                <w:szCs w:val="24"/>
                <w:lang w:val="en-US" w:eastAsia="zh-CN"/>
              </w:rPr>
              <w:t>二级预算单位市房地产交易中心。</w:t>
            </w:r>
          </w:p>
        </w:tc>
      </w:tr>
      <w:tr w14:paraId="2E27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037D64A">
            <w:pPr>
              <w:spacing w:line="375" w:lineRule="exact"/>
              <w:ind w:left="20"/>
              <w:rPr>
                <w:rFonts w:hint="default" w:ascii="宋体" w:hAnsi="Dialog"/>
                <w:sz w:val="32"/>
                <w:szCs w:val="24"/>
              </w:rPr>
            </w:pPr>
            <w:r>
              <w:rPr>
                <w:rFonts w:hint="default" w:ascii="宋体" w:hAnsi="Dialog"/>
                <w:sz w:val="32"/>
                <w:szCs w:val="24"/>
              </w:rPr>
              <w:t xml:space="preserve">  （二）支出预算</w:t>
            </w:r>
          </w:p>
        </w:tc>
      </w:tr>
      <w:tr w14:paraId="0EED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36FEF99">
            <w:pPr>
              <w:spacing w:line="375" w:lineRule="exact"/>
              <w:ind w:left="20"/>
              <w:rPr>
                <w:rFonts w:hint="default" w:ascii="宋体" w:hAnsi="宋体"/>
                <w:sz w:val="32"/>
                <w:szCs w:val="24"/>
              </w:rPr>
            </w:pPr>
            <w:r>
              <w:rPr>
                <w:rFonts w:hint="default" w:ascii="宋体" w:hAnsi="宋体"/>
                <w:sz w:val="32"/>
                <w:szCs w:val="24"/>
              </w:rPr>
              <w:t xml:space="preserve">  2024年本部门支出预算8570.90万元，其中，208社会保障和就业支出1020.45万元，210卫生健康支出244.95万元，212城乡社区支出2319.64万元，215资源勘探工业信息等支出4516.82万元，221住房保障支出469.04万元，支出较去年增加</w:t>
            </w:r>
            <w:r>
              <w:rPr>
                <w:rFonts w:hint="default" w:ascii="宋体" w:hAnsi="宋体"/>
                <w:sz w:val="32"/>
                <w:szCs w:val="24"/>
                <w:lang w:val="en-US" w:eastAsia="zh-CN"/>
              </w:rPr>
              <w:t>373.05</w:t>
            </w:r>
            <w:r>
              <w:rPr>
                <w:rFonts w:hint="default" w:ascii="宋体" w:hAnsi="宋体"/>
                <w:sz w:val="32"/>
                <w:szCs w:val="24"/>
              </w:rPr>
              <w:t>万元，主要是因为</w:t>
            </w:r>
            <w:r>
              <w:rPr>
                <w:rFonts w:hint="default" w:ascii="宋体" w:hAnsi="宋体"/>
                <w:sz w:val="32"/>
                <w:szCs w:val="24"/>
                <w:lang w:eastAsia="zh-CN"/>
              </w:rPr>
              <w:t>新增</w:t>
            </w:r>
            <w:r>
              <w:rPr>
                <w:rFonts w:hint="default" w:ascii="宋体" w:hAnsi="宋体"/>
                <w:sz w:val="32"/>
                <w:szCs w:val="24"/>
                <w:lang w:val="en-US" w:eastAsia="zh-CN"/>
              </w:rPr>
              <w:t>二级预算单位市房地产交易中心。</w:t>
            </w:r>
          </w:p>
        </w:tc>
      </w:tr>
      <w:tr w14:paraId="45F7E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A11260E">
            <w:pPr>
              <w:spacing w:line="375" w:lineRule="exact"/>
              <w:ind w:left="20"/>
              <w:rPr>
                <w:rFonts w:hint="default" w:ascii="宋体" w:hAnsi="Dialog"/>
                <w:sz w:val="32"/>
                <w:szCs w:val="24"/>
              </w:rPr>
            </w:pPr>
            <w:r>
              <w:rPr>
                <w:rFonts w:hint="default" w:ascii="宋体" w:hAnsi="Dialog"/>
                <w:sz w:val="32"/>
                <w:szCs w:val="24"/>
              </w:rPr>
              <w:t xml:space="preserve">  四、一般公共预算拨款支出预算</w:t>
            </w:r>
          </w:p>
        </w:tc>
      </w:tr>
      <w:tr w14:paraId="73463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10E61C3">
            <w:pPr>
              <w:spacing w:line="375" w:lineRule="exact"/>
              <w:ind w:left="20"/>
              <w:rPr>
                <w:rFonts w:hint="default" w:ascii="宋体" w:hAnsi="宋体"/>
                <w:sz w:val="32"/>
                <w:szCs w:val="24"/>
              </w:rPr>
            </w:pPr>
            <w:r>
              <w:rPr>
                <w:rFonts w:hint="default" w:ascii="宋体" w:hAnsi="宋体"/>
                <w:sz w:val="32"/>
                <w:szCs w:val="24"/>
              </w:rPr>
              <w:t xml:space="preserve">  2024年一般公共预算拨款支出预算8570.90万元，其中，208社会保障和就业支出1020.45万元，占11.91%；210卫生健康支出244.95万元，占2.86%；212城乡社区支出2319.64万元，占27.06%；215资源勘探工业信息等支出4516.82万元，占52.7%；221住房保障支出469.04万元，占5.47%；具体安排情况如下：</w:t>
            </w:r>
          </w:p>
        </w:tc>
      </w:tr>
      <w:tr w14:paraId="3C9F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E253110">
            <w:pPr>
              <w:spacing w:line="375" w:lineRule="exact"/>
              <w:ind w:left="20"/>
              <w:rPr>
                <w:rFonts w:hint="default" w:ascii="宋体" w:hAnsi="宋体"/>
                <w:sz w:val="32"/>
                <w:szCs w:val="24"/>
              </w:rPr>
            </w:pPr>
            <w:r>
              <w:rPr>
                <w:rFonts w:hint="default" w:ascii="宋体" w:hAnsi="宋体"/>
                <w:sz w:val="32"/>
                <w:szCs w:val="24"/>
              </w:rPr>
              <w:t xml:space="preserve">  （一）基本支出：2024年基本支出年初预算数为7253.90万元（数据来源见表23），是指为保障单位机构正常运转、完成日常工作任务而发生的各项支出，包括用于基本工资、津贴补贴等人员经费以及办公费、印刷费、水电费、差旅费等日常公用经费。</w:t>
            </w:r>
          </w:p>
        </w:tc>
      </w:tr>
      <w:tr w14:paraId="3ADA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67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5A5B938">
            <w:pPr>
              <w:spacing w:line="375" w:lineRule="exact"/>
              <w:ind w:left="20"/>
              <w:rPr>
                <w:rFonts w:hint="default" w:ascii="宋体" w:hAnsi="宋体"/>
                <w:sz w:val="32"/>
                <w:szCs w:val="24"/>
              </w:rPr>
            </w:pPr>
            <w:r>
              <w:rPr>
                <w:rFonts w:hint="default" w:ascii="宋体" w:hAnsi="宋体"/>
                <w:sz w:val="32"/>
                <w:szCs w:val="24"/>
              </w:rPr>
              <w:t xml:space="preserve">  （二）项目支出：2024年项目支出年初预算数为1317.00万元（数据来源见表20），是指部门为完成特定行政工作任务或事业发展目标而发生的支出，包括有关业务工作经费、运行维护经费、其他事业发展资金等。其中：采石场专项补助专项支出10.00万元，主要用于</w:t>
            </w:r>
            <w:r>
              <w:rPr>
                <w:rFonts w:hint="default" w:ascii="宋体" w:hAnsi="宋体"/>
                <w:sz w:val="32"/>
                <w:szCs w:val="24"/>
                <w:lang w:eastAsia="zh-CN"/>
              </w:rPr>
              <w:t>采石场退休人员待遇保障</w:t>
            </w:r>
            <w:r>
              <w:rPr>
                <w:rFonts w:hint="default" w:ascii="宋体" w:hAnsi="宋体"/>
                <w:sz w:val="32"/>
                <w:szCs w:val="24"/>
              </w:rPr>
              <w:t>方面方面,城乡建设事务管理经费专项支出156.00万元，主要用于</w:t>
            </w:r>
            <w:r>
              <w:rPr>
                <w:rFonts w:hint="default" w:ascii="宋体" w:hAnsi="宋体"/>
                <w:sz w:val="32"/>
                <w:szCs w:val="24"/>
                <w:lang w:val="en-US" w:eastAsia="zh-CN"/>
              </w:rPr>
              <w:t>造价管理、城建项目管理、建筑行业从业人员培训考核等</w:t>
            </w:r>
            <w:r>
              <w:rPr>
                <w:rFonts w:hint="default" w:ascii="宋体" w:hAnsi="宋体"/>
                <w:sz w:val="32"/>
                <w:szCs w:val="24"/>
              </w:rPr>
              <w:t>方面,房地产开发事务管理经费专项支出36.00万元，主要用于“保交楼、稳民生”工作</w:t>
            </w:r>
            <w:r>
              <w:rPr>
                <w:rFonts w:hint="default" w:ascii="宋体" w:hAnsi="宋体"/>
                <w:sz w:val="32"/>
                <w:szCs w:val="24"/>
                <w:lang w:eastAsia="zh-CN"/>
              </w:rPr>
              <w:t>、</w:t>
            </w:r>
            <w:r>
              <w:rPr>
                <w:rFonts w:hint="default" w:ascii="宋体" w:hAnsi="宋体"/>
                <w:sz w:val="32"/>
                <w:szCs w:val="24"/>
              </w:rPr>
              <w:t>化解房地产办证信访突出问题</w:t>
            </w:r>
            <w:r>
              <w:rPr>
                <w:rFonts w:hint="default" w:ascii="宋体" w:hAnsi="宋体"/>
                <w:sz w:val="32"/>
                <w:szCs w:val="24"/>
                <w:lang w:eastAsia="zh-CN"/>
              </w:rPr>
              <w:t>、</w:t>
            </w:r>
            <w:r>
              <w:rPr>
                <w:rFonts w:hint="default" w:ascii="宋体" w:hAnsi="宋体"/>
                <w:sz w:val="32"/>
                <w:szCs w:val="24"/>
              </w:rPr>
              <w:t>稳定房地产市场</w:t>
            </w:r>
            <w:r>
              <w:rPr>
                <w:rFonts w:hint="default" w:ascii="宋体" w:hAnsi="宋体"/>
                <w:sz w:val="32"/>
                <w:szCs w:val="24"/>
                <w:lang w:eastAsia="zh-CN"/>
              </w:rPr>
              <w:t>等</w:t>
            </w:r>
            <w:r>
              <w:rPr>
                <w:rFonts w:hint="default" w:ascii="宋体" w:hAnsi="宋体"/>
                <w:sz w:val="32"/>
                <w:szCs w:val="24"/>
              </w:rPr>
              <w:t>方面,防范化解房地产项目风险工作经费专项支出50.00万元，主要用于</w:t>
            </w:r>
            <w:r>
              <w:rPr>
                <w:rFonts w:hint="default" w:ascii="宋体" w:hAnsi="宋体"/>
                <w:sz w:val="32"/>
                <w:szCs w:val="24"/>
                <w:lang w:eastAsia="zh-CN"/>
              </w:rPr>
              <w:t>推动全市房地产项目复工、化解房地产市场风险等</w:t>
            </w:r>
            <w:r>
              <w:rPr>
                <w:rFonts w:hint="default" w:ascii="宋体" w:hAnsi="宋体"/>
                <w:sz w:val="32"/>
                <w:szCs w:val="24"/>
              </w:rPr>
              <w:t>方面,非税收入征管经费（职称考试考务费）专项支出8.00万元，主要用于</w:t>
            </w:r>
            <w:r>
              <w:rPr>
                <w:rFonts w:hint="default" w:ascii="宋体" w:hAnsi="宋体"/>
                <w:sz w:val="32"/>
                <w:szCs w:val="24"/>
                <w:lang w:val="en-US" w:eastAsia="zh-CN"/>
              </w:rPr>
              <w:t>土建类职称考试考务</w:t>
            </w:r>
            <w:r>
              <w:rPr>
                <w:rFonts w:hint="default" w:ascii="宋体" w:hAnsi="宋体"/>
                <w:sz w:val="32"/>
                <w:szCs w:val="24"/>
              </w:rPr>
              <w:t>方面,非税收入征管经费专项支出26.00万元，主要用于</w:t>
            </w:r>
            <w:r>
              <w:rPr>
                <w:rFonts w:hint="default" w:ascii="宋体" w:hAnsi="宋体"/>
                <w:sz w:val="32"/>
                <w:szCs w:val="24"/>
                <w:lang w:eastAsia="zh-CN"/>
              </w:rPr>
              <w:t>非税收入执收成本</w:t>
            </w:r>
            <w:r>
              <w:rPr>
                <w:rFonts w:hint="default" w:ascii="宋体" w:hAnsi="宋体"/>
                <w:sz w:val="32"/>
                <w:szCs w:val="24"/>
              </w:rPr>
              <w:t>方面,建设档案事务管理经费专项支出100.00万元，主要用于</w:t>
            </w:r>
            <w:r>
              <w:rPr>
                <w:rFonts w:hint="default" w:ascii="宋体" w:hAnsi="宋体"/>
                <w:sz w:val="32"/>
                <w:szCs w:val="24"/>
                <w:lang w:val="en-US" w:eastAsia="zh-CN"/>
              </w:rPr>
              <w:t>城市建设档案事务管理</w:t>
            </w:r>
            <w:r>
              <w:rPr>
                <w:rFonts w:hint="default" w:ascii="宋体" w:hAnsi="宋体"/>
                <w:sz w:val="32"/>
                <w:szCs w:val="24"/>
              </w:rPr>
              <w:t>方面,建设工程消防罚没收入专项支出1.00万元，主要用于</w:t>
            </w:r>
            <w:r>
              <w:rPr>
                <w:rFonts w:hint="default" w:ascii="宋体" w:hAnsi="宋体"/>
                <w:sz w:val="32"/>
                <w:szCs w:val="24"/>
                <w:lang w:eastAsia="zh-CN"/>
              </w:rPr>
              <w:t>消防罚没收入执收成本</w:t>
            </w:r>
            <w:r>
              <w:rPr>
                <w:rFonts w:hint="default" w:ascii="宋体" w:hAnsi="宋体"/>
                <w:sz w:val="32"/>
                <w:szCs w:val="24"/>
              </w:rPr>
              <w:t>方面,建设事务管理经费专项支出393.00万元，主要用于</w:t>
            </w:r>
            <w:r>
              <w:rPr>
                <w:rFonts w:hint="default" w:ascii="宋体" w:hAnsi="宋体"/>
                <w:sz w:val="32"/>
                <w:szCs w:val="24"/>
                <w:lang w:eastAsia="zh-CN"/>
              </w:rPr>
              <w:t>全市建筑市场监管、房地产市场监管、住房保障、农村危房改造、消防管理、勘察设计管理等</w:t>
            </w:r>
            <w:r>
              <w:rPr>
                <w:rFonts w:hint="default" w:ascii="宋体" w:hAnsi="宋体"/>
                <w:sz w:val="32"/>
                <w:szCs w:val="24"/>
              </w:rPr>
              <w:t>方面,建设质量安全监督事务管理经费专项支出40.00万元，主要用于</w:t>
            </w:r>
            <w:r>
              <w:rPr>
                <w:rFonts w:hint="default" w:ascii="宋体" w:hAnsi="宋体"/>
                <w:sz w:val="32"/>
                <w:szCs w:val="24"/>
                <w:lang w:val="en-US" w:eastAsia="zh-CN"/>
              </w:rPr>
              <w:t>建筑工地安全生产督查</w:t>
            </w:r>
            <w:r>
              <w:rPr>
                <w:rFonts w:hint="default" w:ascii="宋体" w:hAnsi="宋体"/>
                <w:sz w:val="32"/>
                <w:szCs w:val="24"/>
              </w:rPr>
              <w:t>方面,可再生能源、绿色建筑产业发展配套资金专项支出50.00万元，主要用于</w:t>
            </w:r>
            <w:r>
              <w:rPr>
                <w:rFonts w:hint="default" w:ascii="宋体" w:hAnsi="宋体"/>
                <w:sz w:val="32"/>
                <w:szCs w:val="24"/>
                <w:lang w:val="en-US" w:eastAsia="zh-CN"/>
              </w:rPr>
              <w:t>绿色建筑、绿色建材、绿色施工、可再生能源建筑应用发展等</w:t>
            </w:r>
            <w:r>
              <w:rPr>
                <w:rFonts w:hint="default" w:ascii="宋体" w:hAnsi="宋体"/>
                <w:sz w:val="32"/>
                <w:szCs w:val="24"/>
              </w:rPr>
              <w:t>方面,施工图审查经费专项支出300.00万元，主要用于</w:t>
            </w:r>
            <w:r>
              <w:rPr>
                <w:rFonts w:hint="default" w:ascii="宋体" w:hAnsi="宋体"/>
                <w:sz w:val="32"/>
                <w:szCs w:val="24"/>
                <w:lang w:eastAsia="zh-CN"/>
              </w:rPr>
              <w:t>施工图审查政府购买服务</w:t>
            </w:r>
            <w:r>
              <w:rPr>
                <w:rFonts w:hint="default" w:ascii="宋体" w:hAnsi="宋体"/>
                <w:sz w:val="32"/>
                <w:szCs w:val="24"/>
              </w:rPr>
              <w:t>方面,住房保障事务管理经费专项支出147.00万元，主要用于</w:t>
            </w:r>
            <w:r>
              <w:rPr>
                <w:rFonts w:hint="default" w:ascii="宋体" w:hAnsi="宋体"/>
                <w:sz w:val="32"/>
                <w:szCs w:val="24"/>
                <w:lang w:eastAsia="zh-CN"/>
              </w:rPr>
              <w:t>保障房的入户分配、白蚁预防灭治、扶贫和工作经费等</w:t>
            </w:r>
            <w:r>
              <w:rPr>
                <w:rFonts w:hint="default" w:ascii="宋体" w:hAnsi="宋体"/>
                <w:sz w:val="32"/>
                <w:szCs w:val="24"/>
              </w:rPr>
              <w:t>方面。</w:t>
            </w:r>
          </w:p>
        </w:tc>
      </w:tr>
      <w:tr w14:paraId="394C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7FA816A">
            <w:pPr>
              <w:spacing w:line="375" w:lineRule="exact"/>
              <w:ind w:left="20"/>
              <w:rPr>
                <w:rFonts w:hint="default" w:ascii="宋体" w:hAnsi="Dialog"/>
                <w:sz w:val="32"/>
                <w:szCs w:val="24"/>
              </w:rPr>
            </w:pPr>
            <w:r>
              <w:rPr>
                <w:rFonts w:hint="default" w:ascii="宋体" w:hAnsi="Dialog"/>
                <w:sz w:val="32"/>
                <w:szCs w:val="24"/>
              </w:rPr>
              <w:t xml:space="preserve">  五、政府性基金预算支出</w:t>
            </w:r>
          </w:p>
        </w:tc>
      </w:tr>
      <w:tr w14:paraId="3FCB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AE54F03">
            <w:pPr>
              <w:spacing w:line="375" w:lineRule="exact"/>
              <w:ind w:left="20"/>
              <w:rPr>
                <w:rFonts w:hint="default" w:ascii="宋体" w:hAnsi="宋体"/>
                <w:sz w:val="32"/>
                <w:szCs w:val="24"/>
              </w:rPr>
            </w:pPr>
            <w:r>
              <w:rPr>
                <w:rFonts w:hint="default" w:ascii="宋体" w:hAnsi="宋体"/>
                <w:sz w:val="32"/>
                <w:szCs w:val="24"/>
              </w:rPr>
              <w:t xml:space="preserve">  2024年度本部门无政府性基金安排的支出，所以公开的附件15-17（政府性基金预算）为空。</w:t>
            </w:r>
          </w:p>
        </w:tc>
      </w:tr>
      <w:tr w14:paraId="2138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CDF2DDB">
            <w:pPr>
              <w:spacing w:line="375" w:lineRule="exact"/>
              <w:ind w:left="20"/>
              <w:rPr>
                <w:rFonts w:hint="default" w:ascii="宋体" w:hAnsi="Dialog"/>
                <w:sz w:val="32"/>
                <w:szCs w:val="24"/>
              </w:rPr>
            </w:pPr>
            <w:r>
              <w:rPr>
                <w:rFonts w:hint="default" w:ascii="宋体" w:hAnsi="Dialog"/>
                <w:sz w:val="32"/>
                <w:szCs w:val="24"/>
              </w:rPr>
              <w:t xml:space="preserve">  六、其他重要事项的情况说明</w:t>
            </w:r>
          </w:p>
        </w:tc>
      </w:tr>
      <w:tr w14:paraId="4DE9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4EA6702">
            <w:pPr>
              <w:spacing w:line="375" w:lineRule="exact"/>
              <w:ind w:left="20"/>
              <w:rPr>
                <w:rFonts w:hint="default" w:ascii="宋体" w:hAnsi="Dialog"/>
                <w:sz w:val="32"/>
                <w:szCs w:val="24"/>
              </w:rPr>
            </w:pPr>
            <w:r>
              <w:rPr>
                <w:rFonts w:hint="default" w:ascii="宋体" w:hAnsi="Dialog"/>
                <w:sz w:val="32"/>
                <w:szCs w:val="24"/>
              </w:rPr>
              <w:t xml:space="preserve">  （一）机关运行经费</w:t>
            </w:r>
          </w:p>
        </w:tc>
      </w:tr>
      <w:tr w14:paraId="32EE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8D6353F">
            <w:pPr>
              <w:spacing w:line="375" w:lineRule="exact"/>
              <w:ind w:left="20"/>
              <w:rPr>
                <w:rFonts w:hint="default" w:ascii="宋体" w:hAnsi="宋体"/>
                <w:sz w:val="32"/>
                <w:szCs w:val="24"/>
              </w:rPr>
            </w:pPr>
            <w:r>
              <w:rPr>
                <w:rFonts w:hint="default" w:ascii="宋体" w:hAnsi="宋体"/>
                <w:sz w:val="32"/>
                <w:szCs w:val="24"/>
              </w:rPr>
              <w:t xml:space="preserve">  本部门2024年机关运行经费当年一般公共预算拨款762.21万元（数据来源见表12），比上一年减少</w:t>
            </w:r>
            <w:r>
              <w:rPr>
                <w:rFonts w:hint="default" w:ascii="宋体" w:hAnsi="宋体"/>
                <w:sz w:val="32"/>
                <w:szCs w:val="24"/>
                <w:lang w:val="en-US" w:eastAsia="zh-CN"/>
              </w:rPr>
              <w:t>42.25</w:t>
            </w:r>
            <w:r>
              <w:rPr>
                <w:rFonts w:hint="default" w:ascii="宋体" w:hAnsi="宋体"/>
                <w:sz w:val="32"/>
                <w:szCs w:val="24"/>
              </w:rPr>
              <w:t>万元，降低</w:t>
            </w:r>
            <w:r>
              <w:rPr>
                <w:rFonts w:hint="default" w:ascii="宋体" w:hAnsi="宋体"/>
                <w:sz w:val="32"/>
                <w:szCs w:val="24"/>
                <w:lang w:val="en-US" w:eastAsia="zh-CN"/>
              </w:rPr>
              <w:t>5.26</w:t>
            </w:r>
            <w:r>
              <w:rPr>
                <w:rFonts w:hint="default" w:ascii="宋体" w:hAnsi="宋体"/>
                <w:sz w:val="32"/>
                <w:szCs w:val="24"/>
              </w:rPr>
              <w:t>%。主要原因是</w:t>
            </w:r>
            <w:r>
              <w:rPr>
                <w:rFonts w:hint="default" w:ascii="宋体" w:hAnsi="宋体"/>
                <w:sz w:val="32"/>
                <w:szCs w:val="24"/>
                <w:lang w:eastAsia="zh-CN"/>
              </w:rPr>
              <w:t>深入贯彻落实中央八项规定，严格执行“过紧日子”政策，</w:t>
            </w:r>
            <w:r>
              <w:rPr>
                <w:rFonts w:hint="default" w:ascii="宋体" w:hAnsi="宋体"/>
                <w:sz w:val="32"/>
                <w:szCs w:val="24"/>
                <w:lang w:val="en-US" w:eastAsia="zh-CN"/>
              </w:rPr>
              <w:t>2024年机关运行经费</w:t>
            </w:r>
            <w:r>
              <w:rPr>
                <w:rFonts w:hint="default" w:ascii="宋体" w:hAnsi="宋体"/>
                <w:sz w:val="32"/>
                <w:szCs w:val="24"/>
                <w:lang w:eastAsia="zh-CN"/>
              </w:rPr>
              <w:t>预算有所压减。</w:t>
            </w:r>
          </w:p>
        </w:tc>
      </w:tr>
      <w:tr w14:paraId="37CD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49CDCE5">
            <w:pPr>
              <w:spacing w:line="375" w:lineRule="exact"/>
              <w:ind w:left="20"/>
              <w:rPr>
                <w:rFonts w:hint="default" w:ascii="宋体" w:hAnsi="Dialog"/>
                <w:sz w:val="32"/>
                <w:szCs w:val="24"/>
              </w:rPr>
            </w:pPr>
            <w:r>
              <w:rPr>
                <w:rFonts w:hint="default" w:ascii="宋体" w:hAnsi="Dialog"/>
                <w:sz w:val="32"/>
                <w:szCs w:val="24"/>
              </w:rPr>
              <w:t xml:space="preserve">  （二）“三公”经费预算</w:t>
            </w:r>
          </w:p>
        </w:tc>
      </w:tr>
      <w:tr w14:paraId="00EE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B1F0EB3">
            <w:pPr>
              <w:spacing w:line="375" w:lineRule="exact"/>
              <w:ind w:left="20"/>
              <w:rPr>
                <w:rFonts w:hint="default" w:ascii="宋体" w:hAnsi="宋体"/>
                <w:sz w:val="32"/>
                <w:szCs w:val="24"/>
              </w:rPr>
            </w:pPr>
            <w:r>
              <w:rPr>
                <w:rFonts w:hint="default" w:ascii="宋体" w:hAnsi="宋体"/>
                <w:sz w:val="32"/>
                <w:szCs w:val="24"/>
              </w:rPr>
              <w:t xml:space="preserve">  本部门2024年“三公”经费预算数21.00万元（数据来源见表14），其中，公务接待费3.00万元，因公出国（境）费0.00万元，公务用车购置及运行费18.00万元（其中，公务用车购置费0.00万元，公务用车运行费18.00万元）。2024年三公经费预算较上年增加</w:t>
            </w:r>
            <w:r>
              <w:rPr>
                <w:rFonts w:hint="default" w:ascii="宋体" w:hAnsi="宋体"/>
                <w:sz w:val="32"/>
                <w:szCs w:val="24"/>
                <w:lang w:val="en-US" w:eastAsia="zh-CN"/>
              </w:rPr>
              <w:t>0</w:t>
            </w:r>
            <w:r>
              <w:rPr>
                <w:rFonts w:hint="default" w:ascii="宋体" w:hAnsi="宋体"/>
                <w:sz w:val="32"/>
                <w:szCs w:val="24"/>
              </w:rPr>
              <w:t>万元，主要原因是</w:t>
            </w:r>
            <w:r>
              <w:rPr>
                <w:rFonts w:hint="default" w:ascii="宋体" w:hAnsi="宋体"/>
                <w:sz w:val="32"/>
                <w:szCs w:val="24"/>
                <w:lang w:eastAsia="zh-CN"/>
              </w:rPr>
              <w:t>深入贯彻落实中央八项规定，严格执行“过紧日子”政策。</w:t>
            </w:r>
          </w:p>
        </w:tc>
      </w:tr>
      <w:tr w14:paraId="5736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9ECD77">
            <w:pPr>
              <w:spacing w:line="375" w:lineRule="exact"/>
              <w:ind w:left="20"/>
              <w:rPr>
                <w:rFonts w:hint="default" w:ascii="宋体" w:hAnsi="Dialog"/>
                <w:sz w:val="32"/>
                <w:szCs w:val="24"/>
              </w:rPr>
            </w:pPr>
            <w:r>
              <w:rPr>
                <w:rFonts w:hint="default" w:ascii="宋体" w:hAnsi="Dialog"/>
                <w:sz w:val="32"/>
                <w:szCs w:val="24"/>
              </w:rPr>
              <w:t xml:space="preserve">  （三）一般性支出情况</w:t>
            </w:r>
          </w:p>
        </w:tc>
      </w:tr>
      <w:tr w14:paraId="06AA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7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E4CAA9A">
            <w:pPr>
              <w:spacing w:line="375" w:lineRule="exact"/>
              <w:ind w:left="20"/>
              <w:rPr>
                <w:rFonts w:hint="default" w:ascii="宋体" w:hAnsi="宋体"/>
                <w:sz w:val="32"/>
                <w:szCs w:val="24"/>
              </w:rPr>
            </w:pPr>
            <w:r>
              <w:rPr>
                <w:rFonts w:hint="default" w:ascii="宋体" w:hAnsi="宋体"/>
                <w:sz w:val="32"/>
                <w:szCs w:val="24"/>
              </w:rPr>
              <w:t xml:space="preserve">  本部门2024年会议费预算2.50万元（数据来源见表13会议费、培训费），拟召开</w:t>
            </w:r>
            <w:r>
              <w:rPr>
                <w:rFonts w:hint="default" w:ascii="宋体" w:hAnsi="宋体"/>
                <w:sz w:val="32"/>
                <w:szCs w:val="24"/>
                <w:lang w:val="en-US" w:eastAsia="zh-CN"/>
              </w:rPr>
              <w:t>3</w:t>
            </w:r>
            <w:r>
              <w:rPr>
                <w:rFonts w:hint="default" w:ascii="宋体" w:hAnsi="宋体"/>
                <w:sz w:val="32"/>
                <w:szCs w:val="24"/>
              </w:rPr>
              <w:t>次会议，人数</w:t>
            </w:r>
            <w:r>
              <w:rPr>
                <w:rFonts w:hint="default" w:ascii="宋体" w:hAnsi="宋体"/>
                <w:sz w:val="32"/>
                <w:szCs w:val="24"/>
                <w:lang w:val="en-US" w:eastAsia="zh-CN"/>
              </w:rPr>
              <w:t>410</w:t>
            </w:r>
            <w:r>
              <w:rPr>
                <w:rFonts w:hint="default" w:ascii="宋体" w:hAnsi="宋体"/>
                <w:sz w:val="32"/>
                <w:szCs w:val="24"/>
              </w:rPr>
              <w:t>人，内容为</w:t>
            </w:r>
            <w:r>
              <w:rPr>
                <w:rFonts w:hint="default" w:ascii="宋体" w:hAnsi="宋体"/>
                <w:sz w:val="32"/>
                <w:szCs w:val="24"/>
                <w:lang w:eastAsia="zh-CN"/>
              </w:rPr>
              <w:t>全市住房城乡建设工作会议、</w:t>
            </w:r>
            <w:r>
              <w:rPr>
                <w:rFonts w:hint="default" w:ascii="宋体" w:hAnsi="Times New Roman" w:cs="宋体"/>
                <w:sz w:val="32"/>
                <w:szCs w:val="32"/>
                <w:lang w:val="en-US" w:eastAsia="zh-CN"/>
              </w:rPr>
              <w:t>建筑行业相关政策宣贯</w:t>
            </w:r>
            <w:r>
              <w:rPr>
                <w:rFonts w:hint="default" w:ascii="宋体" w:hAnsi="宋体"/>
                <w:sz w:val="32"/>
                <w:szCs w:val="24"/>
              </w:rPr>
              <w:t>；培训费预算8.00万元，拟开展</w:t>
            </w:r>
            <w:r>
              <w:rPr>
                <w:rFonts w:hint="default" w:ascii="宋体" w:hAnsi="宋体"/>
                <w:sz w:val="32"/>
                <w:szCs w:val="24"/>
                <w:lang w:val="en-US" w:eastAsia="zh-CN"/>
              </w:rPr>
              <w:t>7</w:t>
            </w:r>
            <w:r>
              <w:rPr>
                <w:rFonts w:hint="default" w:ascii="宋体" w:hAnsi="宋体"/>
                <w:sz w:val="32"/>
                <w:szCs w:val="24"/>
              </w:rPr>
              <w:t>次培训，人数</w:t>
            </w:r>
            <w:r>
              <w:rPr>
                <w:rFonts w:hint="default" w:ascii="宋体" w:hAnsi="宋体"/>
                <w:sz w:val="32"/>
                <w:szCs w:val="24"/>
                <w:lang w:val="en-US" w:eastAsia="zh-CN"/>
              </w:rPr>
              <w:t>254</w:t>
            </w:r>
            <w:r>
              <w:rPr>
                <w:rFonts w:hint="default" w:ascii="宋体" w:hAnsi="宋体"/>
                <w:sz w:val="32"/>
                <w:szCs w:val="24"/>
              </w:rPr>
              <w:t>人，内容为</w:t>
            </w:r>
            <w:r>
              <w:rPr>
                <w:rFonts w:hint="default" w:ascii="宋体" w:hAnsi="宋体"/>
                <w:sz w:val="32"/>
                <w:szCs w:val="24"/>
                <w:lang w:eastAsia="zh-CN"/>
              </w:rPr>
              <w:t>干部党校调训</w:t>
            </w:r>
            <w:r>
              <w:rPr>
                <w:rFonts w:hint="default" w:ascii="宋体" w:hAnsi="宋体"/>
                <w:sz w:val="32"/>
                <w:szCs w:val="24"/>
                <w:lang w:val="en-US" w:eastAsia="zh-CN"/>
              </w:rPr>
              <w:t>4人，事业单位工作人员培训250人</w:t>
            </w:r>
            <w:r>
              <w:rPr>
                <w:rFonts w:hint="default" w:ascii="宋体" w:hAnsi="宋体"/>
                <w:sz w:val="32"/>
                <w:szCs w:val="24"/>
              </w:rPr>
              <w:t>；计划举办节庆、晚会、论坛、赛事活动</w:t>
            </w:r>
            <w:r>
              <w:rPr>
                <w:rFonts w:hint="default" w:ascii="宋体" w:hAnsi="宋体"/>
                <w:sz w:val="32"/>
                <w:szCs w:val="24"/>
                <w:lang w:val="en-US" w:eastAsia="zh-CN"/>
              </w:rPr>
              <w:t>0</w:t>
            </w:r>
            <w:r>
              <w:rPr>
                <w:rFonts w:hint="default" w:ascii="宋体" w:hAnsi="宋体"/>
                <w:sz w:val="32"/>
                <w:szCs w:val="24"/>
              </w:rPr>
              <w:t>万元，内容为</w:t>
            </w:r>
            <w:r>
              <w:rPr>
                <w:rFonts w:hint="default" w:ascii="宋体" w:hAnsi="宋体"/>
                <w:sz w:val="32"/>
                <w:szCs w:val="24"/>
                <w:lang w:eastAsia="zh-CN"/>
              </w:rPr>
              <w:t>无</w:t>
            </w:r>
            <w:r>
              <w:rPr>
                <w:rFonts w:hint="default" w:ascii="宋体" w:hAnsi="宋体"/>
                <w:sz w:val="32"/>
                <w:szCs w:val="24"/>
              </w:rPr>
              <w:t>。2024年度本部门未计划举办节庆、晚会、论坛、赛事活动。</w:t>
            </w:r>
          </w:p>
        </w:tc>
      </w:tr>
      <w:tr w14:paraId="6362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AE6FA97">
            <w:pPr>
              <w:spacing w:line="375" w:lineRule="exact"/>
              <w:ind w:left="20"/>
              <w:rPr>
                <w:rFonts w:hint="default" w:ascii="宋体" w:hAnsi="Dialog"/>
                <w:sz w:val="32"/>
                <w:szCs w:val="24"/>
              </w:rPr>
            </w:pPr>
            <w:r>
              <w:rPr>
                <w:rFonts w:hint="default" w:ascii="宋体" w:hAnsi="Dialog"/>
                <w:sz w:val="32"/>
                <w:szCs w:val="24"/>
              </w:rPr>
              <w:t xml:space="preserve">  （四）政府采购情况</w:t>
            </w:r>
          </w:p>
        </w:tc>
      </w:tr>
      <w:tr w14:paraId="7570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4AF8C0">
            <w:pPr>
              <w:spacing w:line="375" w:lineRule="exact"/>
              <w:ind w:left="20"/>
              <w:rPr>
                <w:rFonts w:hint="default" w:ascii="宋体" w:hAnsi="宋体"/>
                <w:sz w:val="32"/>
                <w:szCs w:val="24"/>
              </w:rPr>
            </w:pPr>
            <w:r>
              <w:rPr>
                <w:rFonts w:hint="default" w:ascii="宋体" w:hAnsi="宋体"/>
                <w:sz w:val="32"/>
                <w:szCs w:val="24"/>
              </w:rPr>
              <w:t xml:space="preserve">  本部门2024年政府采购预算总额</w:t>
            </w:r>
            <w:r>
              <w:rPr>
                <w:rFonts w:hint="default" w:ascii="宋体" w:hAnsi="宋体"/>
                <w:sz w:val="32"/>
                <w:szCs w:val="24"/>
                <w:lang w:val="en-US" w:eastAsia="zh-CN"/>
              </w:rPr>
              <w:t>25517.69</w:t>
            </w:r>
            <w:r>
              <w:rPr>
                <w:rFonts w:hint="default" w:ascii="宋体" w:hAnsi="宋体"/>
                <w:sz w:val="32"/>
                <w:szCs w:val="24"/>
              </w:rPr>
              <w:t>万元，其中工程类</w:t>
            </w:r>
            <w:r>
              <w:rPr>
                <w:rFonts w:hint="default" w:ascii="宋体" w:hAnsi="宋体"/>
                <w:sz w:val="32"/>
                <w:szCs w:val="24"/>
                <w:lang w:val="en-US" w:eastAsia="zh-CN"/>
              </w:rPr>
              <w:t>20034.6</w:t>
            </w:r>
            <w:r>
              <w:rPr>
                <w:rFonts w:hint="default" w:ascii="宋体" w:hAnsi="宋体"/>
                <w:sz w:val="32"/>
                <w:szCs w:val="24"/>
              </w:rPr>
              <w:t>万元，货物类</w:t>
            </w:r>
            <w:r>
              <w:rPr>
                <w:rFonts w:hint="default" w:ascii="宋体" w:hAnsi="宋体"/>
                <w:sz w:val="32"/>
                <w:szCs w:val="24"/>
                <w:lang w:val="en-US" w:eastAsia="zh-CN"/>
              </w:rPr>
              <w:t>457.01</w:t>
            </w:r>
            <w:r>
              <w:rPr>
                <w:rFonts w:hint="default" w:ascii="宋体" w:hAnsi="宋体"/>
                <w:sz w:val="32"/>
                <w:szCs w:val="24"/>
              </w:rPr>
              <w:t>万元，服务类</w:t>
            </w:r>
            <w:r>
              <w:rPr>
                <w:rFonts w:hint="default" w:ascii="宋体" w:hAnsi="宋体"/>
                <w:sz w:val="32"/>
                <w:szCs w:val="24"/>
                <w:lang w:val="en-US" w:eastAsia="zh-CN"/>
              </w:rPr>
              <w:t>5026.08</w:t>
            </w:r>
            <w:r>
              <w:rPr>
                <w:rFonts w:hint="default" w:ascii="宋体" w:hAnsi="宋体"/>
                <w:sz w:val="32"/>
                <w:szCs w:val="24"/>
              </w:rPr>
              <w:t>万元。</w:t>
            </w:r>
          </w:p>
        </w:tc>
      </w:tr>
      <w:tr w14:paraId="0672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AD3F79D">
            <w:pPr>
              <w:spacing w:line="375" w:lineRule="exact"/>
              <w:ind w:left="20"/>
              <w:rPr>
                <w:rFonts w:hint="default" w:ascii="宋体" w:hAnsi="Dialog"/>
                <w:sz w:val="32"/>
                <w:szCs w:val="24"/>
              </w:rPr>
            </w:pPr>
            <w:r>
              <w:rPr>
                <w:rFonts w:hint="default" w:ascii="宋体" w:hAnsi="Dialog"/>
                <w:sz w:val="32"/>
                <w:szCs w:val="24"/>
              </w:rPr>
              <w:t xml:space="preserve">  （五）国有资产占有使用及新增资产配置情况</w:t>
            </w:r>
          </w:p>
        </w:tc>
      </w:tr>
      <w:tr w14:paraId="41BA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18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1FE9963">
            <w:pPr>
              <w:spacing w:line="375" w:lineRule="exact"/>
              <w:ind w:left="20"/>
              <w:rPr>
                <w:rFonts w:hint="default" w:ascii="宋体" w:hAnsi="宋体"/>
                <w:sz w:val="32"/>
                <w:szCs w:val="24"/>
              </w:rPr>
            </w:pPr>
            <w:r>
              <w:rPr>
                <w:rFonts w:hint="default" w:ascii="宋体" w:hAnsi="宋体"/>
                <w:sz w:val="32"/>
                <w:szCs w:val="24"/>
              </w:rPr>
              <w:t xml:space="preserve">  截至上年底，本部门共有车辆</w:t>
            </w:r>
            <w:r>
              <w:rPr>
                <w:rFonts w:hint="default" w:ascii="宋体" w:hAnsi="宋体"/>
                <w:sz w:val="32"/>
                <w:szCs w:val="24"/>
                <w:lang w:val="en-US" w:eastAsia="zh-CN"/>
              </w:rPr>
              <w:t>6</w:t>
            </w:r>
            <w:r>
              <w:rPr>
                <w:rFonts w:hint="default" w:ascii="宋体" w:hAnsi="宋体"/>
                <w:sz w:val="32"/>
                <w:szCs w:val="24"/>
              </w:rPr>
              <w:t>辆，其中领导干部用车</w:t>
            </w:r>
            <w:r>
              <w:rPr>
                <w:rFonts w:hint="default" w:ascii="宋体" w:hAnsi="宋体"/>
                <w:sz w:val="32"/>
                <w:szCs w:val="24"/>
                <w:lang w:val="en-US" w:eastAsia="zh-CN"/>
              </w:rPr>
              <w:t>0</w:t>
            </w:r>
            <w:r>
              <w:rPr>
                <w:rFonts w:hint="default" w:ascii="宋体" w:hAnsi="宋体"/>
                <w:sz w:val="32"/>
                <w:szCs w:val="24"/>
              </w:rPr>
              <w:t>辆，一般公务用车</w:t>
            </w:r>
            <w:r>
              <w:rPr>
                <w:rFonts w:hint="default" w:ascii="宋体" w:hAnsi="宋体"/>
                <w:sz w:val="32"/>
                <w:szCs w:val="24"/>
                <w:lang w:val="en-US" w:eastAsia="zh-CN"/>
              </w:rPr>
              <w:t>4</w:t>
            </w:r>
            <w:r>
              <w:rPr>
                <w:rFonts w:hint="default" w:ascii="宋体" w:hAnsi="宋体"/>
                <w:sz w:val="32"/>
                <w:szCs w:val="24"/>
              </w:rPr>
              <w:t>辆，其他用车</w:t>
            </w:r>
            <w:r>
              <w:rPr>
                <w:rFonts w:hint="default" w:ascii="宋体" w:hAnsi="宋体"/>
                <w:sz w:val="32"/>
                <w:szCs w:val="24"/>
                <w:lang w:val="en-US" w:eastAsia="zh-CN"/>
              </w:rPr>
              <w:t>2</w:t>
            </w:r>
            <w:r>
              <w:rPr>
                <w:rFonts w:hint="default" w:ascii="宋体" w:hAnsi="宋体"/>
                <w:sz w:val="32"/>
                <w:szCs w:val="24"/>
              </w:rPr>
              <w:t>辆。单位价值50万元以上通用设备</w:t>
            </w:r>
            <w:r>
              <w:rPr>
                <w:rFonts w:hint="default" w:ascii="宋体" w:hAnsi="宋体"/>
                <w:sz w:val="32"/>
                <w:szCs w:val="24"/>
                <w:lang w:val="en-US" w:eastAsia="zh-CN"/>
              </w:rPr>
              <w:t>0</w:t>
            </w:r>
            <w:r>
              <w:rPr>
                <w:rFonts w:hint="default" w:ascii="宋体" w:hAnsi="宋体"/>
                <w:sz w:val="32"/>
                <w:szCs w:val="24"/>
              </w:rPr>
              <w:t>台，单位价值100万元以上专用设备</w:t>
            </w:r>
            <w:r>
              <w:rPr>
                <w:rFonts w:hint="default" w:ascii="宋体" w:hAnsi="宋体"/>
                <w:sz w:val="32"/>
                <w:szCs w:val="24"/>
                <w:lang w:val="en-US" w:eastAsia="zh-CN"/>
              </w:rPr>
              <w:t>1</w:t>
            </w:r>
            <w:r>
              <w:rPr>
                <w:rFonts w:hint="default" w:ascii="宋体" w:hAnsi="宋体"/>
                <w:sz w:val="32"/>
                <w:szCs w:val="24"/>
              </w:rPr>
              <w:t xml:space="preserve">台。 </w:t>
            </w:r>
          </w:p>
          <w:p w14:paraId="66EF6C62">
            <w:pPr>
              <w:spacing w:line="375" w:lineRule="exact"/>
              <w:ind w:left="20"/>
              <w:rPr>
                <w:rFonts w:hint="default" w:ascii="宋体" w:hAnsi="宋体"/>
                <w:sz w:val="32"/>
                <w:szCs w:val="24"/>
              </w:rPr>
            </w:pPr>
            <w:r>
              <w:rPr>
                <w:rFonts w:hint="default" w:ascii="宋体" w:hAnsi="宋体"/>
                <w:sz w:val="32"/>
                <w:szCs w:val="24"/>
              </w:rPr>
              <w:t xml:space="preserve">  2024年拟报废处置车辆</w:t>
            </w:r>
            <w:r>
              <w:rPr>
                <w:rFonts w:hint="default" w:ascii="宋体" w:hAnsi="宋体"/>
                <w:sz w:val="32"/>
                <w:szCs w:val="24"/>
                <w:lang w:val="en-US" w:eastAsia="zh-CN"/>
              </w:rPr>
              <w:t>1</w:t>
            </w:r>
            <w:r>
              <w:rPr>
                <w:rFonts w:hint="default" w:ascii="宋体" w:hAnsi="宋体"/>
                <w:sz w:val="32"/>
                <w:szCs w:val="24"/>
              </w:rPr>
              <w:t>辆，其中：报废处置领导干部用车</w:t>
            </w:r>
            <w:r>
              <w:rPr>
                <w:rFonts w:hint="default" w:ascii="宋体" w:hAnsi="宋体"/>
                <w:sz w:val="32"/>
                <w:szCs w:val="24"/>
                <w:lang w:val="en-US" w:eastAsia="zh-CN"/>
              </w:rPr>
              <w:t>0</w:t>
            </w:r>
            <w:r>
              <w:rPr>
                <w:rFonts w:hint="default" w:ascii="宋体" w:hAnsi="宋体"/>
                <w:sz w:val="32"/>
                <w:szCs w:val="24"/>
              </w:rPr>
              <w:t>辆，报废处置一般公务用车</w:t>
            </w:r>
            <w:r>
              <w:rPr>
                <w:rFonts w:hint="default" w:ascii="宋体" w:hAnsi="宋体"/>
                <w:sz w:val="32"/>
                <w:szCs w:val="24"/>
                <w:lang w:val="en-US" w:eastAsia="zh-CN"/>
              </w:rPr>
              <w:t>0</w:t>
            </w:r>
            <w:r>
              <w:rPr>
                <w:rFonts w:hint="default" w:ascii="宋体" w:hAnsi="宋体"/>
                <w:sz w:val="32"/>
                <w:szCs w:val="24"/>
              </w:rPr>
              <w:t>辆，报废处置其他用车</w:t>
            </w:r>
            <w:r>
              <w:rPr>
                <w:rFonts w:hint="default" w:ascii="宋体" w:hAnsi="宋体"/>
                <w:sz w:val="32"/>
                <w:szCs w:val="24"/>
                <w:lang w:val="en-US" w:eastAsia="zh-CN"/>
              </w:rPr>
              <w:t>1</w:t>
            </w:r>
            <w:r>
              <w:rPr>
                <w:rFonts w:hint="default" w:ascii="宋体" w:hAnsi="宋体"/>
                <w:sz w:val="32"/>
                <w:szCs w:val="24"/>
              </w:rPr>
              <w:t>辆，报废处置单位价值50万元以上通用设备</w:t>
            </w:r>
            <w:r>
              <w:rPr>
                <w:rFonts w:hint="default" w:ascii="宋体" w:hAnsi="宋体"/>
                <w:sz w:val="32"/>
                <w:szCs w:val="24"/>
                <w:lang w:val="en-US" w:eastAsia="zh-CN"/>
              </w:rPr>
              <w:t>0</w:t>
            </w:r>
            <w:r>
              <w:rPr>
                <w:rFonts w:hint="default" w:ascii="宋体" w:hAnsi="宋体"/>
                <w:sz w:val="32"/>
                <w:szCs w:val="24"/>
              </w:rPr>
              <w:t>台，报废处置单位价值100万元以上通用设备</w:t>
            </w:r>
            <w:r>
              <w:rPr>
                <w:rFonts w:hint="default" w:ascii="宋体" w:hAnsi="宋体"/>
                <w:sz w:val="32"/>
                <w:szCs w:val="24"/>
                <w:lang w:val="en-US" w:eastAsia="zh-CN"/>
              </w:rPr>
              <w:t>0</w:t>
            </w:r>
            <w:r>
              <w:rPr>
                <w:rFonts w:hint="default" w:ascii="宋体" w:hAnsi="宋体"/>
                <w:sz w:val="32"/>
                <w:szCs w:val="24"/>
              </w:rPr>
              <w:t>台。拟新增配置车辆</w:t>
            </w:r>
            <w:r>
              <w:rPr>
                <w:rFonts w:hint="default" w:ascii="宋体" w:hAnsi="宋体"/>
                <w:sz w:val="32"/>
                <w:szCs w:val="24"/>
                <w:lang w:val="en-US" w:eastAsia="zh-CN"/>
              </w:rPr>
              <w:t>0</w:t>
            </w:r>
            <w:r>
              <w:rPr>
                <w:rFonts w:hint="default" w:ascii="宋体" w:hAnsi="宋体"/>
                <w:sz w:val="32"/>
                <w:szCs w:val="24"/>
              </w:rPr>
              <w:t>辆，其中领导干部用车</w:t>
            </w:r>
            <w:r>
              <w:rPr>
                <w:rFonts w:hint="default" w:ascii="宋体" w:hAnsi="宋体"/>
                <w:sz w:val="32"/>
                <w:szCs w:val="24"/>
                <w:lang w:val="en-US" w:eastAsia="zh-CN"/>
              </w:rPr>
              <w:t>0</w:t>
            </w:r>
            <w:r>
              <w:rPr>
                <w:rFonts w:hint="default" w:ascii="宋体" w:hAnsi="宋体"/>
                <w:sz w:val="32"/>
                <w:szCs w:val="24"/>
              </w:rPr>
              <w:t>辆，一般公务用车</w:t>
            </w:r>
            <w:r>
              <w:rPr>
                <w:rFonts w:hint="default" w:ascii="宋体" w:hAnsi="宋体"/>
                <w:sz w:val="32"/>
                <w:szCs w:val="24"/>
                <w:lang w:val="en-US" w:eastAsia="zh-CN"/>
              </w:rPr>
              <w:t>0</w:t>
            </w:r>
            <w:r>
              <w:rPr>
                <w:rFonts w:hint="default" w:ascii="宋体" w:hAnsi="宋体"/>
                <w:sz w:val="32"/>
                <w:szCs w:val="24"/>
              </w:rPr>
              <w:t>辆，其他用车</w:t>
            </w:r>
            <w:r>
              <w:rPr>
                <w:rFonts w:hint="default" w:ascii="宋体" w:hAnsi="宋体"/>
                <w:sz w:val="32"/>
                <w:szCs w:val="24"/>
                <w:lang w:val="en-US" w:eastAsia="zh-CN"/>
              </w:rPr>
              <w:t>0</w:t>
            </w:r>
            <w:r>
              <w:rPr>
                <w:rFonts w:hint="default" w:ascii="宋体" w:hAnsi="宋体"/>
                <w:sz w:val="32"/>
                <w:szCs w:val="24"/>
              </w:rPr>
              <w:t>辆，主要用于</w:t>
            </w:r>
            <w:r>
              <w:rPr>
                <w:rFonts w:hint="default" w:ascii="宋体" w:hAnsi="宋体"/>
                <w:sz w:val="32"/>
                <w:szCs w:val="24"/>
                <w:lang w:eastAsia="zh-CN"/>
              </w:rPr>
              <w:t>无</w:t>
            </w:r>
            <w:r>
              <w:rPr>
                <w:rFonts w:hint="default" w:ascii="宋体" w:hAnsi="宋体"/>
                <w:sz w:val="32"/>
                <w:szCs w:val="24"/>
              </w:rPr>
              <w:t>，资金来源为</w:t>
            </w:r>
            <w:r>
              <w:rPr>
                <w:rFonts w:hint="default" w:ascii="宋体" w:hAnsi="宋体"/>
                <w:sz w:val="32"/>
                <w:szCs w:val="24"/>
                <w:lang w:eastAsia="zh-CN"/>
              </w:rPr>
              <w:t>无</w:t>
            </w:r>
            <w:r>
              <w:rPr>
                <w:rFonts w:hint="default" w:ascii="宋体" w:hAnsi="宋体"/>
                <w:sz w:val="32"/>
                <w:szCs w:val="24"/>
              </w:rPr>
              <w:t>。</w:t>
            </w:r>
          </w:p>
          <w:p w14:paraId="78243290">
            <w:pPr>
              <w:spacing w:line="375" w:lineRule="exact"/>
              <w:ind w:left="20"/>
              <w:rPr>
                <w:rFonts w:hint="default" w:ascii="宋体" w:hAnsi="宋体"/>
                <w:sz w:val="32"/>
                <w:szCs w:val="24"/>
              </w:rPr>
            </w:pPr>
            <w:r>
              <w:rPr>
                <w:rFonts w:hint="default" w:ascii="宋体" w:hAnsi="宋体"/>
                <w:sz w:val="32"/>
                <w:szCs w:val="24"/>
              </w:rPr>
              <w:t xml:space="preserve">  2024年拟新增配备领导干部用车</w:t>
            </w:r>
            <w:r>
              <w:rPr>
                <w:rFonts w:hint="default" w:ascii="宋体" w:hAnsi="宋体"/>
                <w:sz w:val="32"/>
                <w:szCs w:val="24"/>
                <w:lang w:val="en-US" w:eastAsia="zh-CN"/>
              </w:rPr>
              <w:t>0</w:t>
            </w:r>
            <w:r>
              <w:rPr>
                <w:rFonts w:hint="default" w:ascii="宋体" w:hAnsi="宋体"/>
                <w:sz w:val="32"/>
                <w:szCs w:val="24"/>
              </w:rPr>
              <w:t>辆，一般公务用车</w:t>
            </w:r>
            <w:r>
              <w:rPr>
                <w:rFonts w:hint="default" w:ascii="宋体" w:hAnsi="宋体"/>
                <w:sz w:val="32"/>
                <w:szCs w:val="24"/>
                <w:lang w:val="en-US" w:eastAsia="zh-CN"/>
              </w:rPr>
              <w:t>0</w:t>
            </w:r>
            <w:r>
              <w:rPr>
                <w:rFonts w:hint="default" w:ascii="宋体" w:hAnsi="宋体"/>
                <w:sz w:val="32"/>
                <w:szCs w:val="24"/>
              </w:rPr>
              <w:t>辆，其他用车</w:t>
            </w:r>
            <w:r>
              <w:rPr>
                <w:rFonts w:hint="default" w:ascii="宋体" w:hAnsi="宋体"/>
                <w:sz w:val="32"/>
                <w:szCs w:val="24"/>
                <w:lang w:val="en-US" w:eastAsia="zh-CN"/>
              </w:rPr>
              <w:t>0</w:t>
            </w:r>
            <w:r>
              <w:rPr>
                <w:rFonts w:hint="default" w:ascii="宋体" w:hAnsi="宋体"/>
                <w:sz w:val="32"/>
                <w:szCs w:val="24"/>
              </w:rPr>
              <w:t>辆，新增配备单位价值50万元以上通用设备</w:t>
            </w:r>
            <w:r>
              <w:rPr>
                <w:rFonts w:hint="default" w:ascii="宋体" w:hAnsi="宋体"/>
                <w:sz w:val="32"/>
                <w:szCs w:val="24"/>
                <w:lang w:val="en-US" w:eastAsia="zh-CN"/>
              </w:rPr>
              <w:t>0</w:t>
            </w:r>
            <w:r>
              <w:rPr>
                <w:rFonts w:hint="default" w:ascii="宋体" w:hAnsi="宋体"/>
                <w:sz w:val="32"/>
                <w:szCs w:val="24"/>
              </w:rPr>
              <w:t>台，单位价值100万元以上专用设备</w:t>
            </w:r>
            <w:r>
              <w:rPr>
                <w:rFonts w:hint="default" w:ascii="宋体" w:hAnsi="宋体"/>
                <w:sz w:val="32"/>
                <w:szCs w:val="24"/>
                <w:lang w:val="en-US" w:eastAsia="zh-CN"/>
              </w:rPr>
              <w:t>0</w:t>
            </w:r>
            <w:r>
              <w:rPr>
                <w:rFonts w:hint="default" w:ascii="宋体" w:hAnsi="宋体"/>
                <w:sz w:val="32"/>
                <w:szCs w:val="24"/>
              </w:rPr>
              <w:t>台。2024年度本部门未计划新增车辆、设备等。</w:t>
            </w:r>
          </w:p>
        </w:tc>
      </w:tr>
      <w:tr w14:paraId="5B09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7A7BBF5">
            <w:pPr>
              <w:spacing w:line="375" w:lineRule="exact"/>
              <w:ind w:left="20"/>
              <w:rPr>
                <w:rFonts w:hint="default" w:ascii="宋体" w:hAnsi="Dialog"/>
                <w:sz w:val="32"/>
                <w:szCs w:val="24"/>
              </w:rPr>
            </w:pPr>
            <w:r>
              <w:rPr>
                <w:rFonts w:hint="default" w:ascii="宋体" w:hAnsi="Dialog"/>
                <w:sz w:val="32"/>
                <w:szCs w:val="24"/>
              </w:rPr>
              <w:t xml:space="preserve">  （六）预算绩效目标说明</w:t>
            </w:r>
          </w:p>
        </w:tc>
      </w:tr>
      <w:tr w14:paraId="1003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A14E0E5">
            <w:pPr>
              <w:spacing w:line="375" w:lineRule="exact"/>
              <w:ind w:left="20"/>
              <w:rPr>
                <w:rFonts w:hint="default" w:ascii="宋体" w:hAnsi="宋体"/>
                <w:sz w:val="32"/>
                <w:szCs w:val="24"/>
              </w:rPr>
            </w:pPr>
            <w:r>
              <w:rPr>
                <w:rFonts w:hint="default" w:ascii="宋体" w:hAnsi="宋体"/>
                <w:sz w:val="32"/>
                <w:szCs w:val="24"/>
              </w:rPr>
              <w:t xml:space="preserve">    本部门所有支出实行绩效目标管理。纳入2024年部门整体支出绩效目标的金额为8570.90万元，其中，基本支出7253.90万元，项目支出1317.00万元，详见文尾附表中部门预算公开表格的表21-22。</w:t>
            </w:r>
          </w:p>
        </w:tc>
      </w:tr>
      <w:tr w14:paraId="3C9E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61495C4">
            <w:pPr>
              <w:spacing w:line="375" w:lineRule="exact"/>
              <w:ind w:left="20"/>
              <w:rPr>
                <w:rFonts w:hint="default" w:ascii="宋体" w:hAnsi="Dialog"/>
                <w:sz w:val="32"/>
                <w:szCs w:val="24"/>
              </w:rPr>
            </w:pPr>
            <w:r>
              <w:rPr>
                <w:rFonts w:hint="default" w:ascii="宋体" w:hAnsi="Dialog"/>
                <w:sz w:val="32"/>
                <w:szCs w:val="24"/>
              </w:rPr>
              <w:t xml:space="preserve">  七、名词解释</w:t>
            </w:r>
          </w:p>
        </w:tc>
      </w:tr>
      <w:tr w14:paraId="317F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15C031C">
            <w:pPr>
              <w:spacing w:line="375" w:lineRule="exact"/>
              <w:ind w:left="20"/>
              <w:rPr>
                <w:rFonts w:hint="default" w:ascii="宋体" w:hAnsi="宋体"/>
                <w:sz w:val="32"/>
                <w:szCs w:val="24"/>
              </w:rPr>
            </w:pPr>
            <w:r>
              <w:rPr>
                <w:rFonts w:hint="default" w:ascii="宋体" w:hAnsi="宋体"/>
                <w:sz w:val="32"/>
                <w:szCs w:val="24"/>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14:paraId="3CA4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CEE7777">
            <w:pPr>
              <w:spacing w:line="375" w:lineRule="exact"/>
              <w:ind w:left="20"/>
              <w:rPr>
                <w:rFonts w:hint="default" w:ascii="宋体" w:hAnsi="宋体"/>
                <w:sz w:val="32"/>
                <w:szCs w:val="24"/>
              </w:rPr>
            </w:pPr>
            <w:r>
              <w:rPr>
                <w:rFonts w:hint="default" w:ascii="宋体" w:hAnsi="宋体"/>
                <w:sz w:val="32"/>
                <w:szCs w:val="24"/>
              </w:rPr>
              <w:t xml:space="preserve">  2、“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14:paraId="2FA5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91A90E8">
            <w:pPr>
              <w:rPr>
                <w:rFonts w:hint="default"/>
                <w:sz w:val="24"/>
                <w:szCs w:val="24"/>
              </w:rPr>
            </w:pPr>
          </w:p>
        </w:tc>
      </w:tr>
      <w:tr w14:paraId="1798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E37CC01">
            <w:pPr>
              <w:rPr>
                <w:rFonts w:hint="default"/>
                <w:sz w:val="24"/>
                <w:szCs w:val="24"/>
              </w:rPr>
            </w:pPr>
          </w:p>
        </w:tc>
      </w:tr>
      <w:tr w14:paraId="5DFD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54087CA">
            <w:pPr>
              <w:rPr>
                <w:rFonts w:hint="default"/>
                <w:sz w:val="24"/>
                <w:szCs w:val="24"/>
              </w:rPr>
            </w:pPr>
          </w:p>
        </w:tc>
      </w:tr>
      <w:tr w14:paraId="5E4D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C12AE0A">
            <w:pPr>
              <w:spacing w:line="375" w:lineRule="exact"/>
              <w:ind w:left="20"/>
              <w:jc w:val="center"/>
              <w:rPr>
                <w:rFonts w:hint="default" w:ascii="宋体" w:hAnsi="Dialog"/>
                <w:sz w:val="32"/>
                <w:szCs w:val="24"/>
              </w:rPr>
            </w:pPr>
            <w:r>
              <w:rPr>
                <w:rFonts w:hint="default" w:ascii="宋体" w:hAnsi="Dialog"/>
                <w:sz w:val="32"/>
                <w:szCs w:val="24"/>
              </w:rPr>
              <w:t>第二部分  2024年部门预算公开表格</w:t>
            </w:r>
          </w:p>
        </w:tc>
      </w:tr>
      <w:tr w14:paraId="6FE1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1F54C8F">
            <w:pPr>
              <w:spacing w:line="375" w:lineRule="exact"/>
              <w:ind w:left="20"/>
              <w:rPr>
                <w:rFonts w:hint="default" w:ascii="宋体" w:hAnsi="宋体"/>
                <w:sz w:val="32"/>
                <w:szCs w:val="24"/>
              </w:rPr>
            </w:pPr>
            <w:r>
              <w:rPr>
                <w:rFonts w:hint="default" w:ascii="宋体" w:hAnsi="宋体"/>
                <w:sz w:val="32"/>
                <w:szCs w:val="24"/>
              </w:rPr>
              <w:t>1、收支总表</w:t>
            </w:r>
          </w:p>
        </w:tc>
      </w:tr>
      <w:tr w14:paraId="613EB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138D12">
            <w:pPr>
              <w:spacing w:line="375" w:lineRule="exact"/>
              <w:ind w:left="20"/>
              <w:rPr>
                <w:rFonts w:hint="default" w:ascii="宋体" w:hAnsi="宋体"/>
                <w:sz w:val="32"/>
                <w:szCs w:val="24"/>
              </w:rPr>
            </w:pPr>
            <w:r>
              <w:rPr>
                <w:rFonts w:hint="default" w:ascii="宋体" w:hAnsi="宋体"/>
                <w:sz w:val="32"/>
                <w:szCs w:val="24"/>
              </w:rPr>
              <w:t>2、收入总表</w:t>
            </w:r>
          </w:p>
        </w:tc>
      </w:tr>
      <w:tr w14:paraId="073AA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17D59EC">
            <w:pPr>
              <w:spacing w:line="375" w:lineRule="exact"/>
              <w:ind w:left="20"/>
              <w:rPr>
                <w:rFonts w:hint="default" w:ascii="宋体" w:hAnsi="宋体"/>
                <w:sz w:val="32"/>
                <w:szCs w:val="24"/>
              </w:rPr>
            </w:pPr>
            <w:r>
              <w:rPr>
                <w:rFonts w:hint="default" w:ascii="宋体" w:hAnsi="宋体"/>
                <w:sz w:val="32"/>
                <w:szCs w:val="24"/>
              </w:rPr>
              <w:t>3、支出总表</w:t>
            </w:r>
          </w:p>
        </w:tc>
      </w:tr>
      <w:tr w14:paraId="248B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B9A7E52">
            <w:pPr>
              <w:spacing w:line="375" w:lineRule="exact"/>
              <w:ind w:left="20"/>
              <w:rPr>
                <w:rFonts w:hint="default" w:ascii="宋体" w:hAnsi="宋体"/>
                <w:sz w:val="32"/>
                <w:szCs w:val="24"/>
              </w:rPr>
            </w:pPr>
            <w:r>
              <w:rPr>
                <w:rFonts w:hint="default" w:ascii="宋体" w:hAnsi="宋体"/>
                <w:sz w:val="32"/>
                <w:szCs w:val="24"/>
              </w:rPr>
              <w:t>4、支出预算分类汇总表（按政府预算经济分类）</w:t>
            </w:r>
          </w:p>
        </w:tc>
      </w:tr>
      <w:tr w14:paraId="1E24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816BF40">
            <w:pPr>
              <w:spacing w:line="375" w:lineRule="exact"/>
              <w:ind w:left="20"/>
              <w:rPr>
                <w:rFonts w:hint="default" w:ascii="宋体" w:hAnsi="宋体"/>
                <w:sz w:val="32"/>
                <w:szCs w:val="24"/>
              </w:rPr>
            </w:pPr>
            <w:r>
              <w:rPr>
                <w:rFonts w:hint="default" w:ascii="宋体" w:hAnsi="宋体"/>
                <w:sz w:val="32"/>
                <w:szCs w:val="24"/>
              </w:rPr>
              <w:t>5、支出预算分类汇总表（按部门预算经济分类）</w:t>
            </w:r>
          </w:p>
        </w:tc>
      </w:tr>
      <w:tr w14:paraId="1518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65B35A1">
            <w:pPr>
              <w:spacing w:line="375" w:lineRule="exact"/>
              <w:ind w:left="20"/>
              <w:rPr>
                <w:rFonts w:hint="default" w:ascii="宋体" w:hAnsi="宋体"/>
                <w:sz w:val="32"/>
                <w:szCs w:val="24"/>
              </w:rPr>
            </w:pPr>
            <w:r>
              <w:rPr>
                <w:rFonts w:hint="default" w:ascii="宋体" w:hAnsi="宋体"/>
                <w:sz w:val="32"/>
                <w:szCs w:val="24"/>
              </w:rPr>
              <w:t>6、财政拨款收支总表</w:t>
            </w:r>
          </w:p>
        </w:tc>
      </w:tr>
      <w:tr w14:paraId="714D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D45089">
            <w:pPr>
              <w:spacing w:line="375" w:lineRule="exact"/>
              <w:ind w:left="20"/>
              <w:rPr>
                <w:rFonts w:hint="default" w:ascii="宋体" w:hAnsi="宋体"/>
                <w:sz w:val="32"/>
                <w:szCs w:val="24"/>
              </w:rPr>
            </w:pPr>
            <w:r>
              <w:rPr>
                <w:rFonts w:hint="default" w:ascii="宋体" w:hAnsi="宋体"/>
                <w:sz w:val="32"/>
                <w:szCs w:val="24"/>
              </w:rPr>
              <w:t>7、一般公共预算支出表</w:t>
            </w:r>
          </w:p>
        </w:tc>
      </w:tr>
      <w:tr w14:paraId="5869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81DF37">
            <w:pPr>
              <w:spacing w:line="375" w:lineRule="exact"/>
              <w:ind w:left="20"/>
              <w:rPr>
                <w:rFonts w:hint="default" w:ascii="宋体" w:hAnsi="宋体"/>
                <w:sz w:val="32"/>
                <w:szCs w:val="24"/>
              </w:rPr>
            </w:pPr>
            <w:r>
              <w:rPr>
                <w:rFonts w:hint="default" w:ascii="宋体" w:hAnsi="宋体"/>
                <w:sz w:val="32"/>
                <w:szCs w:val="24"/>
              </w:rPr>
              <w:t>8、一般公共预算基本支出表-人员经费（工资福利支出）（按政府预算经济分类）</w:t>
            </w:r>
          </w:p>
        </w:tc>
      </w:tr>
      <w:tr w14:paraId="0B87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D2836B7">
            <w:pPr>
              <w:spacing w:line="375" w:lineRule="exact"/>
              <w:ind w:left="20"/>
              <w:rPr>
                <w:rFonts w:hint="default" w:ascii="宋体" w:hAnsi="宋体"/>
                <w:sz w:val="32"/>
                <w:szCs w:val="24"/>
              </w:rPr>
            </w:pPr>
            <w:r>
              <w:rPr>
                <w:rFonts w:hint="default" w:ascii="宋体" w:hAnsi="宋体"/>
                <w:sz w:val="32"/>
                <w:szCs w:val="24"/>
              </w:rPr>
              <w:t>9、一般公共预算基本支出表-人员经费（工资福利支出）（按部门预算经济分类）</w:t>
            </w:r>
          </w:p>
        </w:tc>
      </w:tr>
      <w:tr w14:paraId="6493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BCA296B">
            <w:pPr>
              <w:spacing w:line="375" w:lineRule="exact"/>
              <w:ind w:left="20"/>
              <w:rPr>
                <w:rFonts w:hint="default" w:ascii="宋体" w:hAnsi="宋体"/>
                <w:sz w:val="32"/>
                <w:szCs w:val="24"/>
              </w:rPr>
            </w:pPr>
            <w:r>
              <w:rPr>
                <w:rFonts w:hint="default" w:ascii="宋体" w:hAnsi="宋体"/>
                <w:sz w:val="32"/>
                <w:szCs w:val="24"/>
              </w:rPr>
              <w:t>10、一般公共预算基本支出表-人员经费（对个人和家庭的补助）（按政府预算经济分类）</w:t>
            </w:r>
          </w:p>
        </w:tc>
      </w:tr>
      <w:tr w14:paraId="2296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102D086">
            <w:pPr>
              <w:spacing w:line="375" w:lineRule="exact"/>
              <w:ind w:left="20"/>
              <w:rPr>
                <w:rFonts w:hint="default" w:ascii="宋体" w:hAnsi="宋体"/>
                <w:sz w:val="32"/>
                <w:szCs w:val="24"/>
              </w:rPr>
            </w:pPr>
            <w:r>
              <w:rPr>
                <w:rFonts w:hint="default" w:ascii="宋体" w:hAnsi="宋体"/>
                <w:sz w:val="32"/>
                <w:szCs w:val="24"/>
              </w:rPr>
              <w:t>11、一般公共预算基本支出表-人员经费（对个人和家庭的补助）（按部门预算经济分类）</w:t>
            </w:r>
          </w:p>
        </w:tc>
      </w:tr>
      <w:tr w14:paraId="437B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6A3F632">
            <w:pPr>
              <w:spacing w:line="375" w:lineRule="exact"/>
              <w:ind w:left="20"/>
              <w:rPr>
                <w:rFonts w:hint="default" w:ascii="宋体" w:hAnsi="宋体"/>
                <w:sz w:val="32"/>
                <w:szCs w:val="24"/>
              </w:rPr>
            </w:pPr>
            <w:r>
              <w:rPr>
                <w:rFonts w:hint="default" w:ascii="宋体" w:hAnsi="宋体"/>
                <w:sz w:val="32"/>
                <w:szCs w:val="24"/>
              </w:rPr>
              <w:t>12、一般公共预算基本支出表-公用经费（商品和服务支出）（按政府预算经济分类）</w:t>
            </w:r>
          </w:p>
        </w:tc>
      </w:tr>
      <w:tr w14:paraId="67E4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12FCA1B">
            <w:pPr>
              <w:spacing w:line="375" w:lineRule="exact"/>
              <w:ind w:left="20"/>
              <w:rPr>
                <w:rFonts w:hint="default" w:ascii="宋体" w:hAnsi="宋体"/>
                <w:sz w:val="32"/>
                <w:szCs w:val="24"/>
              </w:rPr>
            </w:pPr>
            <w:r>
              <w:rPr>
                <w:rFonts w:hint="default" w:ascii="宋体" w:hAnsi="宋体"/>
                <w:sz w:val="32"/>
                <w:szCs w:val="24"/>
              </w:rPr>
              <w:t>13、一般公共预算基本支出表-公用经费（商品和服务支出）（按部门预算经济分类）</w:t>
            </w:r>
          </w:p>
        </w:tc>
      </w:tr>
      <w:tr w14:paraId="65CC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8AB6CA">
            <w:pPr>
              <w:spacing w:line="375" w:lineRule="exact"/>
              <w:ind w:left="20"/>
              <w:rPr>
                <w:rFonts w:hint="default" w:ascii="宋体" w:hAnsi="宋体"/>
                <w:sz w:val="32"/>
                <w:szCs w:val="24"/>
              </w:rPr>
            </w:pPr>
            <w:r>
              <w:rPr>
                <w:rFonts w:hint="default" w:ascii="宋体" w:hAnsi="宋体"/>
                <w:sz w:val="32"/>
                <w:szCs w:val="24"/>
              </w:rPr>
              <w:t>14、一般公共预算“三公”经费支出表</w:t>
            </w:r>
          </w:p>
        </w:tc>
      </w:tr>
      <w:tr w14:paraId="6C0E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DEA12D0">
            <w:pPr>
              <w:spacing w:line="375" w:lineRule="exact"/>
              <w:ind w:left="20"/>
              <w:rPr>
                <w:rFonts w:hint="default" w:ascii="宋体" w:hAnsi="宋体"/>
                <w:sz w:val="32"/>
                <w:szCs w:val="24"/>
              </w:rPr>
            </w:pPr>
            <w:r>
              <w:rPr>
                <w:rFonts w:hint="default" w:ascii="宋体" w:hAnsi="宋体"/>
                <w:sz w:val="32"/>
                <w:szCs w:val="24"/>
              </w:rPr>
              <w:t>15、政府性基金预算支出表</w:t>
            </w:r>
          </w:p>
        </w:tc>
      </w:tr>
      <w:tr w14:paraId="620A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7A42395">
            <w:pPr>
              <w:spacing w:line="375" w:lineRule="exact"/>
              <w:ind w:left="20"/>
              <w:rPr>
                <w:rFonts w:hint="default" w:ascii="宋体" w:hAnsi="宋体"/>
                <w:sz w:val="32"/>
                <w:szCs w:val="24"/>
              </w:rPr>
            </w:pPr>
            <w:r>
              <w:rPr>
                <w:rFonts w:hint="default" w:ascii="宋体" w:hAnsi="宋体"/>
                <w:sz w:val="32"/>
                <w:szCs w:val="24"/>
              </w:rPr>
              <w:t>16、政府性基金预算支出分类汇总表（按政府预算经济分类）</w:t>
            </w:r>
          </w:p>
        </w:tc>
      </w:tr>
      <w:tr w14:paraId="3881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5BB9E18">
            <w:pPr>
              <w:spacing w:line="375" w:lineRule="exact"/>
              <w:ind w:left="20"/>
              <w:rPr>
                <w:rFonts w:hint="default" w:ascii="宋体" w:hAnsi="宋体"/>
                <w:sz w:val="32"/>
                <w:szCs w:val="24"/>
              </w:rPr>
            </w:pPr>
            <w:r>
              <w:rPr>
                <w:rFonts w:hint="default" w:ascii="宋体" w:hAnsi="宋体"/>
                <w:sz w:val="32"/>
                <w:szCs w:val="24"/>
              </w:rPr>
              <w:t>17、政府性基金预算支出分类汇总表（按部门预算经济分类）</w:t>
            </w:r>
          </w:p>
        </w:tc>
      </w:tr>
      <w:tr w14:paraId="6F72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CAE3378">
            <w:pPr>
              <w:spacing w:line="375" w:lineRule="exact"/>
              <w:ind w:left="20"/>
              <w:rPr>
                <w:rFonts w:hint="default" w:ascii="宋体" w:hAnsi="宋体"/>
                <w:sz w:val="32"/>
                <w:szCs w:val="24"/>
              </w:rPr>
            </w:pPr>
            <w:r>
              <w:rPr>
                <w:rFonts w:hint="default" w:ascii="宋体" w:hAnsi="宋体"/>
                <w:sz w:val="32"/>
                <w:szCs w:val="24"/>
              </w:rPr>
              <w:t>18、国有资本经营预算支出表</w:t>
            </w:r>
          </w:p>
        </w:tc>
      </w:tr>
      <w:tr w14:paraId="0C10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BC9D350">
            <w:pPr>
              <w:spacing w:line="375" w:lineRule="exact"/>
              <w:ind w:left="20"/>
              <w:rPr>
                <w:rFonts w:hint="default" w:ascii="宋体" w:hAnsi="宋体"/>
                <w:sz w:val="32"/>
                <w:szCs w:val="24"/>
              </w:rPr>
            </w:pPr>
            <w:r>
              <w:rPr>
                <w:rFonts w:hint="default" w:ascii="宋体" w:hAnsi="宋体"/>
                <w:sz w:val="32"/>
                <w:szCs w:val="24"/>
              </w:rPr>
              <w:t>19、财政专户管理资金预算支出表</w:t>
            </w:r>
          </w:p>
        </w:tc>
      </w:tr>
      <w:tr w14:paraId="0BF2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39F97CA">
            <w:pPr>
              <w:spacing w:line="375" w:lineRule="exact"/>
              <w:ind w:left="20"/>
              <w:rPr>
                <w:rFonts w:hint="default" w:ascii="宋体" w:hAnsi="宋体"/>
                <w:sz w:val="32"/>
                <w:szCs w:val="24"/>
              </w:rPr>
            </w:pPr>
            <w:r>
              <w:rPr>
                <w:rFonts w:hint="default" w:ascii="宋体" w:hAnsi="宋体"/>
                <w:sz w:val="32"/>
                <w:szCs w:val="24"/>
              </w:rPr>
              <w:t>20、专项资金预算汇总表</w:t>
            </w:r>
          </w:p>
        </w:tc>
      </w:tr>
      <w:tr w14:paraId="352E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7C12E37">
            <w:pPr>
              <w:spacing w:line="375" w:lineRule="exact"/>
              <w:ind w:left="20"/>
              <w:rPr>
                <w:rFonts w:hint="default" w:ascii="宋体" w:hAnsi="宋体"/>
                <w:sz w:val="32"/>
                <w:szCs w:val="24"/>
              </w:rPr>
            </w:pPr>
            <w:r>
              <w:rPr>
                <w:rFonts w:hint="default" w:ascii="宋体" w:hAnsi="宋体"/>
                <w:sz w:val="32"/>
                <w:szCs w:val="24"/>
              </w:rPr>
              <w:t>21、项目支出绩效目标表</w:t>
            </w:r>
          </w:p>
        </w:tc>
      </w:tr>
      <w:tr w14:paraId="3D16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0C4A53">
            <w:pPr>
              <w:spacing w:line="375" w:lineRule="exact"/>
              <w:ind w:left="20"/>
              <w:rPr>
                <w:rFonts w:hint="default" w:ascii="宋体" w:hAnsi="宋体"/>
                <w:sz w:val="32"/>
                <w:szCs w:val="24"/>
              </w:rPr>
            </w:pPr>
            <w:r>
              <w:rPr>
                <w:rFonts w:hint="default" w:ascii="宋体" w:hAnsi="宋体"/>
                <w:sz w:val="32"/>
                <w:szCs w:val="24"/>
              </w:rPr>
              <w:t>22、部门整体支出绩效目标表</w:t>
            </w:r>
          </w:p>
        </w:tc>
      </w:tr>
      <w:tr w14:paraId="1ACAC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41158AC">
            <w:pPr>
              <w:spacing w:line="375" w:lineRule="exact"/>
              <w:ind w:left="20"/>
              <w:rPr>
                <w:rFonts w:hint="default" w:ascii="宋体" w:hAnsi="宋体"/>
                <w:sz w:val="32"/>
                <w:szCs w:val="24"/>
              </w:rPr>
            </w:pPr>
            <w:r>
              <w:rPr>
                <w:rFonts w:hint="default" w:ascii="宋体" w:hAnsi="宋体"/>
                <w:sz w:val="32"/>
                <w:szCs w:val="24"/>
              </w:rPr>
              <w:t>23、一般公共预算基本支出表</w:t>
            </w:r>
          </w:p>
        </w:tc>
      </w:tr>
      <w:tr w14:paraId="2344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86383B">
            <w:pPr>
              <w:spacing w:line="375" w:lineRule="exact"/>
              <w:ind w:left="20"/>
              <w:rPr>
                <w:rFonts w:hint="default" w:ascii="宋体" w:hAnsi="宋体"/>
                <w:color w:val="FF0000"/>
                <w:sz w:val="32"/>
                <w:szCs w:val="24"/>
              </w:rPr>
            </w:pPr>
            <w:r>
              <w:rPr>
                <w:rFonts w:hint="default" w:ascii="宋体" w:hAnsi="宋体"/>
                <w:b/>
                <w:color w:val="FF0000"/>
                <w:sz w:val="32"/>
                <w:szCs w:val="24"/>
              </w:rPr>
              <w:t>注：以上部门预算公开报表中，空表表示本部门无相关收支情况。</w:t>
            </w:r>
          </w:p>
        </w:tc>
      </w:tr>
    </w:tbl>
    <w:p w14:paraId="5D1BBF32">
      <w:pPr>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E1F59"/>
    <w:multiLevelType w:val="multilevel"/>
    <w:tmpl w:val="CBCE1F59"/>
    <w:lvl w:ilvl="0" w:tentative="0">
      <w:start w:val="1"/>
      <w:numFmt w:val="decimal"/>
      <w:suff w:val="nothing"/>
      <w:lvlText w:val="%1、"/>
      <w:lvlJc w:val="left"/>
      <w:pPr>
        <w:ind w:left="340" w:firstLine="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BBB0B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pPr>
    <w:rPr>
      <w:rFonts w:hint="default" w:ascii="Arial" w:hAnsi="Arial" w:eastAsia="宋体"/>
      <w:color w:val="000000"/>
      <w:sz w:val="24"/>
      <w:szCs w:val="24"/>
    </w:rPr>
  </w:style>
  <w:style w:type="paragraph" w:styleId="3">
    <w:name w:val="heading 1"/>
    <w:unhideWhenUsed/>
    <w:uiPriority w:val="99"/>
    <w:pPr>
      <w:widowControl w:val="0"/>
      <w:autoSpaceDE w:val="0"/>
      <w:autoSpaceDN w:val="0"/>
      <w:adjustRightInd w:val="0"/>
    </w:pPr>
    <w:rPr>
      <w:rFonts w:hint="default" w:ascii="Arial" w:hAnsi="Arial" w:eastAsia="宋体"/>
      <w:b/>
      <w:color w:val="000000"/>
      <w:sz w:val="32"/>
      <w:szCs w:val="24"/>
    </w:rPr>
  </w:style>
  <w:style w:type="paragraph" w:styleId="4">
    <w:name w:val="heading 2"/>
    <w:unhideWhenUsed/>
    <w:uiPriority w:val="99"/>
    <w:pPr>
      <w:widowControl w:val="0"/>
      <w:autoSpaceDE w:val="0"/>
      <w:autoSpaceDN w:val="0"/>
      <w:adjustRightInd w:val="0"/>
    </w:pPr>
    <w:rPr>
      <w:rFonts w:hint="default" w:ascii="Arial" w:hAnsi="Arial" w:eastAsia="宋体"/>
      <w:b/>
      <w:i/>
      <w:color w:val="000000"/>
      <w:sz w:val="28"/>
      <w:szCs w:val="24"/>
    </w:rPr>
  </w:style>
  <w:style w:type="paragraph" w:styleId="5">
    <w:name w:val="heading 3"/>
    <w:unhideWhenUsed/>
    <w:uiPriority w:val="99"/>
    <w:pPr>
      <w:widowControl w:val="0"/>
      <w:autoSpaceDE w:val="0"/>
      <w:autoSpaceDN w:val="0"/>
      <w:adjustRightInd w:val="0"/>
    </w:pPr>
    <w:rPr>
      <w:rFonts w:hint="default" w:ascii="Arial" w:hAnsi="Arial" w:eastAsia="宋体"/>
      <w:b/>
      <w:color w:val="000000"/>
      <w:sz w:val="26"/>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rPr>
      <w:rFonts w:hint="default" w:ascii="Arial" w:hAnsi="Arial"/>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6058</Words>
  <Characters>6503</Characters>
  <TotalTime>0</TotalTime>
  <ScaleCrop>false</ScaleCrop>
  <LinksUpToDate>false</LinksUpToDate>
  <CharactersWithSpaces>6597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2025-09-03T08:17:19Z</dcterms:created>
  <dc:creator>Administrator</dc:creator>
  <cp:lastModifiedBy>Sufany</cp:lastModifiedBy>
  <dcterms:modified xsi:type="dcterms:W3CDTF">2025-09-03T08:17:30Z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5B8B3D25179745C39E8828DD2ADC4AA6_13</vt:lpwstr>
  </property>
</Properties>
</file>