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岳阳市房地产市场服务中心</w:t>
      </w:r>
      <w:r>
        <w:rPr>
          <w:rFonts w:hint="eastAsia" w:ascii="方正小标宋_GBK" w:hAnsi="方正小标宋_GBK" w:eastAsia="方正小标宋_GBK" w:cs="方正小标宋_GBK"/>
          <w:sz w:val="84"/>
          <w:szCs w:val="84"/>
        </w:rPr>
        <w:t>单位部门决算</w:t>
      </w:r>
    </w:p>
    <w:p>
      <w:pPr>
        <w:pStyle w:val="15"/>
        <w:jc w:val="center"/>
        <w:rPr>
          <w:rFonts w:hint="eastAsia" w:ascii="方正小标宋_GBK" w:hAnsi="方正小标宋_GBK" w:eastAsia="方正小标宋_GBK" w:cs="方正小标宋_GBK"/>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spacing w:line="540" w:lineRule="exact"/>
        <w:jc w:val="both"/>
        <w:rPr>
          <w:sz w:val="56"/>
          <w:szCs w:val="56"/>
        </w:rPr>
      </w:pPr>
    </w:p>
    <w:p>
      <w:pPr>
        <w:pStyle w:val="15"/>
        <w:spacing w:line="500" w:lineRule="exact"/>
        <w:jc w:val="both"/>
        <w:rPr>
          <w:b/>
          <w:sz w:val="36"/>
          <w:szCs w:val="28"/>
        </w:rPr>
      </w:pPr>
    </w:p>
    <w:p>
      <w:pPr>
        <w:pStyle w:val="15"/>
        <w:spacing w:line="500" w:lineRule="exact"/>
        <w:jc w:val="center"/>
        <w:rPr>
          <w:b/>
          <w:sz w:val="36"/>
          <w:szCs w:val="28"/>
        </w:rPr>
      </w:pPr>
      <w:r>
        <w:rPr>
          <w:rFonts w:hint="eastAsia"/>
          <w:b/>
          <w:sz w:val="36"/>
          <w:szCs w:val="28"/>
        </w:rPr>
        <w:t>目录</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岳阳市房地产市场服务中心</w:t>
      </w:r>
      <w:r>
        <w:rPr>
          <w:rFonts w:hint="eastAsia" w:ascii="黑体" w:hAnsi="黑体" w:eastAsia="黑体" w:cs="黑体"/>
          <w:b w:val="0"/>
          <w:bCs/>
          <w:sz w:val="28"/>
          <w:szCs w:val="28"/>
        </w:rPr>
        <w:t>单位概况</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5"/>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5"/>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岳阳市房地产市场服务中心</w:t>
      </w:r>
      <w:r>
        <w:rPr>
          <w:rFonts w:hint="eastAsia" w:ascii="方正小标宋_GBK" w:hAnsi="方正小标宋_GBK" w:eastAsia="方正小标宋_GBK" w:cs="方正小标宋_GBK"/>
          <w:sz w:val="84"/>
          <w:szCs w:val="84"/>
        </w:rPr>
        <w:t>单位概况</w:t>
      </w:r>
    </w:p>
    <w:p>
      <w:pPr>
        <w:pStyle w:val="9"/>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9"/>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ind w:firstLine="800" w:firstLineChars="250"/>
        <w:jc w:val="left"/>
        <w:rPr>
          <w:rFonts w:hint="eastAsia" w:ascii="仿宋_GB2312" w:eastAsia="仿宋_GB2312"/>
          <w:sz w:val="32"/>
          <w:szCs w:val="32"/>
        </w:rPr>
      </w:pPr>
      <w:r>
        <w:rPr>
          <w:rFonts w:hint="eastAsia" w:ascii="仿宋_GB2312" w:eastAsia="仿宋_GB2312"/>
          <w:sz w:val="32"/>
          <w:szCs w:val="32"/>
        </w:rPr>
        <w:t>负责有关房地产开发经营、法律、法规、政策宣传及相关业务事项咨询等工作；配合草拟我市房地产开发经营相关办法并参与实施；负责全市房地产开发企业资质申请的初审报批；负责市城区房地产开发企业信用信息日常管理，商品房预售许可申请的初审报批，房地产开发项目资本金储存解控等工作；负责市中心城区商品房预售款缴存使用，房地产开发经营市场纠纷调处和信访接待回复；协助做好房地产开发经营行业文明创建、行业统计、从业人员培训教育。</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岳阳市房地产市场服务中心</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val="en-US" w:eastAsia="zh-CN"/>
        </w:rPr>
        <w:t>本单位为</w:t>
      </w:r>
      <w:r>
        <w:rPr>
          <w:rFonts w:hint="eastAsia" w:ascii="Times New Roman" w:hAnsi="Times New Roman" w:eastAsia="仿宋_GB2312" w:cs="仿宋_GB2312"/>
          <w:bCs/>
          <w:kern w:val="0"/>
          <w:sz w:val="32"/>
          <w:szCs w:val="32"/>
        </w:rPr>
        <w:t>全额拨款事业单位，核定事业编制</w:t>
      </w:r>
      <w:r>
        <w:rPr>
          <w:rFonts w:hint="eastAsia" w:ascii="Times New Roman" w:hAnsi="Times New Roman" w:eastAsia="仿宋_GB2312" w:cs="仿宋_GB2312"/>
          <w:bCs/>
          <w:kern w:val="0"/>
          <w:sz w:val="32"/>
          <w:szCs w:val="32"/>
          <w:lang w:val="en-US" w:eastAsia="zh-CN"/>
        </w:rPr>
        <w:t>21</w:t>
      </w:r>
      <w:r>
        <w:rPr>
          <w:rFonts w:hint="eastAsia" w:ascii="Times New Roman" w:hAnsi="Times New Roman" w:eastAsia="仿宋_GB2312" w:cs="仿宋_GB2312"/>
          <w:bCs/>
          <w:kern w:val="0"/>
          <w:sz w:val="32"/>
          <w:szCs w:val="32"/>
        </w:rPr>
        <w:t>名，在编在岗人员</w:t>
      </w:r>
      <w:r>
        <w:rPr>
          <w:rFonts w:hint="eastAsia" w:ascii="Times New Roman" w:hAnsi="Times New Roman" w:eastAsia="仿宋_GB2312" w:cs="仿宋_GB2312"/>
          <w:bCs/>
          <w:kern w:val="0"/>
          <w:sz w:val="32"/>
          <w:szCs w:val="32"/>
          <w:lang w:val="en-US" w:eastAsia="zh-CN"/>
        </w:rPr>
        <w:t>21</w:t>
      </w:r>
      <w:r>
        <w:rPr>
          <w:rFonts w:hint="eastAsia" w:ascii="Times New Roman" w:hAnsi="Times New Roman" w:eastAsia="仿宋_GB2312" w:cs="仿宋_GB2312"/>
          <w:bCs/>
          <w:kern w:val="0"/>
          <w:sz w:val="32"/>
          <w:szCs w:val="32"/>
        </w:rPr>
        <w:t>人</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包括综合股室、</w:t>
      </w:r>
      <w:r>
        <w:rPr>
          <w:rFonts w:hint="eastAsia" w:ascii="Times New Roman" w:hAnsi="Times New Roman" w:eastAsia="仿宋_GB2312" w:cs="仿宋_GB2312"/>
          <w:bCs/>
          <w:kern w:val="0"/>
          <w:sz w:val="32"/>
          <w:szCs w:val="32"/>
        </w:rPr>
        <w:t>项目</w:t>
      </w:r>
      <w:r>
        <w:rPr>
          <w:rFonts w:hint="eastAsia" w:ascii="Times New Roman" w:hAnsi="Times New Roman" w:eastAsia="仿宋_GB2312" w:cs="仿宋_GB2312"/>
          <w:bCs/>
          <w:kern w:val="0"/>
          <w:sz w:val="32"/>
          <w:szCs w:val="32"/>
          <w:lang w:val="en-US" w:eastAsia="zh-CN"/>
        </w:rPr>
        <w:t>股室</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监测股室、备案股室。</w:t>
      </w:r>
    </w:p>
    <w:p>
      <w:pPr>
        <w:jc w:val="left"/>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（二）决算单位构成。本单位无独立核算的下属单位，2024年度部门决算汇总公开单位仅包括岳阳市房地产市场服务中心单位本级。</w:t>
      </w:r>
    </w:p>
    <w:p/>
    <w:p>
      <w:pPr>
        <w:pStyle w:val="9"/>
      </w:pPr>
    </w:p>
    <w:p>
      <w:pPr>
        <w:pStyle w:val="2"/>
      </w:pPr>
    </w:p>
    <w:p/>
    <w:p>
      <w:pPr>
        <w:pStyle w:val="9"/>
      </w:pPr>
    </w:p>
    <w:p>
      <w:pPr>
        <w:pStyle w:val="2"/>
        <w:ind w:left="0" w:leftChars="0" w:firstLine="0" w:firstLineChars="0"/>
      </w:pPr>
    </w:p>
    <w:p/>
    <w:p>
      <w:pPr>
        <w:pStyle w:val="2"/>
      </w:pPr>
    </w:p>
    <w:p/>
    <w:p>
      <w:pPr>
        <w:pStyle w:val="9"/>
      </w:pPr>
    </w:p>
    <w:p>
      <w:pPr>
        <w:pStyle w:val="2"/>
      </w:pPr>
    </w:p>
    <w:p>
      <w:pPr>
        <w:pStyle w:val="2"/>
      </w:pPr>
    </w:p>
    <w:p/>
    <w:p>
      <w:pPr>
        <w:pStyle w:val="9"/>
      </w:pPr>
    </w:p>
    <w:p>
      <w:pPr>
        <w:pStyle w:val="2"/>
      </w:pPr>
    </w:p>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5"/>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仿宋_GB2312" w:hAnsi="仿宋_GB2312" w:eastAsia="仿宋_GB2312" w:cs="仿宋_GB2312"/>
          <w:i/>
          <w:iCs/>
          <w:color w:val="000000"/>
          <w:kern w:val="0"/>
          <w:sz w:val="32"/>
          <w:szCs w:val="32"/>
          <w:highlight w:val="none"/>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65.27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17.80</w:t>
      </w:r>
      <w:r>
        <w:rPr>
          <w:rFonts w:hint="eastAsia" w:ascii="仿宋_GB2312" w:hAnsi="仿宋_GB2312" w:eastAsia="仿宋_GB2312" w:cs="仿宋_GB2312"/>
          <w:sz w:val="32"/>
          <w:szCs w:val="32"/>
        </w:rPr>
        <w:t>%，主要是因为人员增加，基本支出相比上年度有所增长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新增防范化解房地产项目风险工作经费，项目</w:t>
      </w:r>
      <w:r>
        <w:rPr>
          <w:rFonts w:hint="eastAsia" w:ascii="仿宋_GB2312" w:hAnsi="仿宋_GB2312" w:eastAsia="仿宋_GB2312" w:cs="仿宋_GB2312"/>
          <w:sz w:val="32"/>
          <w:szCs w:val="32"/>
          <w:highlight w:val="none"/>
        </w:rPr>
        <w:t>支出相比上年度有所增长。</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万元，其中：基本支出319.64万元，占</w:t>
      </w:r>
      <w:r>
        <w:rPr>
          <w:rFonts w:hint="eastAsia" w:ascii="仿宋_GB2312" w:hAnsi="仿宋_GB2312" w:eastAsia="仿宋_GB2312" w:cs="仿宋_GB2312"/>
          <w:sz w:val="32"/>
          <w:szCs w:val="32"/>
          <w:lang w:val="en-US" w:eastAsia="zh-CN"/>
        </w:rPr>
        <w:t>73.99</w:t>
      </w:r>
      <w:r>
        <w:rPr>
          <w:rFonts w:hint="eastAsia" w:ascii="仿宋_GB2312" w:hAnsi="仿宋_GB2312" w:eastAsia="仿宋_GB2312" w:cs="仿宋_GB2312"/>
          <w:sz w:val="32"/>
          <w:szCs w:val="32"/>
        </w:rPr>
        <w:t>%；项目支出112.35万元，占</w:t>
      </w:r>
      <w:r>
        <w:rPr>
          <w:rFonts w:hint="eastAsia" w:ascii="仿宋_GB2312" w:hAnsi="仿宋_GB2312" w:eastAsia="仿宋_GB2312" w:cs="仿宋_GB2312"/>
          <w:sz w:val="32"/>
          <w:szCs w:val="32"/>
          <w:lang w:val="en-US" w:eastAsia="zh-CN"/>
        </w:rPr>
        <w:t>26.01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5"/>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65.27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highlight w:val="none"/>
          <w:lang w:val="en-US" w:eastAsia="zh-CN"/>
        </w:rPr>
        <w:t>.80</w:t>
      </w:r>
      <w:r>
        <w:rPr>
          <w:rFonts w:hint="eastAsia" w:ascii="仿宋_GB2312" w:hAnsi="仿宋_GB2312" w:eastAsia="仿宋_GB2312" w:cs="仿宋_GB2312"/>
          <w:sz w:val="32"/>
          <w:szCs w:val="32"/>
          <w:highlight w:val="none"/>
        </w:rPr>
        <w:t>%，主要是因为人员增加，基本支出相比上年度有所增长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新增防范化解房地产项目风险工作经费，项目</w:t>
      </w:r>
      <w:r>
        <w:rPr>
          <w:rFonts w:hint="eastAsia" w:ascii="仿宋_GB2312" w:hAnsi="仿宋_GB2312" w:eastAsia="仿宋_GB2312" w:cs="仿宋_GB2312"/>
          <w:sz w:val="32"/>
          <w:szCs w:val="32"/>
          <w:highlight w:val="none"/>
        </w:rPr>
        <w:t>支出相比</w:t>
      </w:r>
      <w:r>
        <w:rPr>
          <w:rFonts w:hint="eastAsia" w:ascii="仿宋_GB2312" w:hAnsi="仿宋_GB2312" w:eastAsia="仿宋_GB2312" w:cs="仿宋_GB2312"/>
          <w:sz w:val="32"/>
          <w:szCs w:val="32"/>
        </w:rPr>
        <w:t>上年度有所增长。</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highlight w:val="none"/>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w:t>
      </w:r>
      <w:r>
        <w:rPr>
          <w:rFonts w:hint="eastAsia" w:ascii="仿宋_GB2312" w:hAnsi="仿宋_GB2312" w:eastAsia="仿宋_GB2312" w:cs="仿宋_GB2312"/>
          <w:sz w:val="32"/>
          <w:szCs w:val="32"/>
          <w:highlight w:val="none"/>
        </w:rPr>
        <w:t>拨款支出</w:t>
      </w:r>
      <w:r>
        <w:rPr>
          <w:rFonts w:hint="eastAsia" w:ascii="仿宋_GB2312" w:hAnsi="仿宋_GB2312" w:eastAsia="仿宋_GB2312" w:cs="仿宋_GB2312"/>
          <w:sz w:val="32"/>
          <w:szCs w:val="32"/>
          <w:highlight w:val="none"/>
          <w:lang w:val="en-US" w:eastAsia="zh-CN"/>
        </w:rPr>
        <w:t>431.99</w:t>
      </w:r>
      <w:r>
        <w:rPr>
          <w:rFonts w:hint="eastAsia" w:ascii="仿宋_GB2312" w:hAnsi="仿宋_GB2312" w:eastAsia="仿宋_GB2312" w:cs="仿宋_GB2312"/>
          <w:sz w:val="32"/>
          <w:szCs w:val="32"/>
          <w:highlight w:val="none"/>
        </w:rPr>
        <w:t>万元，占本年支出合计的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%，与上年相比，财政拨款支出增加</w:t>
      </w:r>
      <w:r>
        <w:rPr>
          <w:rFonts w:hint="eastAsia" w:ascii="仿宋_GB2312" w:hAnsi="仿宋_GB2312" w:eastAsia="仿宋_GB2312" w:cs="仿宋_GB2312"/>
          <w:sz w:val="32"/>
          <w:szCs w:val="32"/>
          <w:highlight w:val="none"/>
          <w:lang w:val="en-US" w:eastAsia="zh-CN"/>
        </w:rPr>
        <w:t>65.27</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17.80</w:t>
      </w:r>
      <w:r>
        <w:rPr>
          <w:rFonts w:hint="eastAsia" w:ascii="仿宋_GB2312" w:hAnsi="仿宋_GB2312" w:eastAsia="仿宋_GB2312" w:cs="仿宋_GB2312"/>
          <w:sz w:val="32"/>
          <w:szCs w:val="32"/>
          <w:highlight w:val="none"/>
        </w:rPr>
        <w:t>%，主要是因为人员增加，基本支出相比上年度有所增长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新增防范化解房地产项目风险工作经费，项目</w:t>
      </w:r>
      <w:r>
        <w:rPr>
          <w:rFonts w:hint="eastAsia" w:ascii="仿宋_GB2312" w:hAnsi="仿宋_GB2312" w:eastAsia="仿宋_GB2312" w:cs="仿宋_GB2312"/>
          <w:sz w:val="32"/>
          <w:szCs w:val="32"/>
          <w:highlight w:val="none"/>
        </w:rPr>
        <w:t>支出相比上年度有所增长。</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（二）一般公共预算财政拨款支出决算结构情况</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万元，主要用于以下方面：社会保障和就业（类）支出28.08万元，占</w:t>
      </w:r>
      <w:r>
        <w:rPr>
          <w:rFonts w:hint="eastAsia" w:ascii="仿宋_GB2312" w:hAnsi="仿宋_GB2312" w:eastAsia="仿宋_GB2312" w:cs="仿宋_GB2312"/>
          <w:sz w:val="32"/>
          <w:szCs w:val="32"/>
          <w:lang w:val="en-US" w:eastAsia="zh-CN"/>
        </w:rPr>
        <w:t>6.50</w:t>
      </w:r>
      <w:r>
        <w:rPr>
          <w:rFonts w:hint="eastAsia" w:ascii="仿宋_GB2312" w:hAnsi="仿宋_GB2312" w:eastAsia="仿宋_GB2312" w:cs="仿宋_GB2312"/>
          <w:sz w:val="32"/>
          <w:szCs w:val="32"/>
        </w:rPr>
        <w:t>%；城乡社区（类）支出165.43万元，占3</w:t>
      </w:r>
      <w:r>
        <w:rPr>
          <w:rFonts w:hint="eastAsia" w:ascii="仿宋_GB2312" w:hAnsi="仿宋_GB2312" w:eastAsia="仿宋_GB2312" w:cs="仿宋_GB2312"/>
          <w:sz w:val="32"/>
          <w:szCs w:val="32"/>
          <w:lang w:val="en-US" w:eastAsia="zh-CN"/>
        </w:rPr>
        <w:t>8.30</w:t>
      </w:r>
      <w:r>
        <w:rPr>
          <w:rFonts w:hint="eastAsia" w:ascii="仿宋_GB2312" w:hAnsi="仿宋_GB2312" w:eastAsia="仿宋_GB2312" w:cs="仿宋_GB2312"/>
          <w:sz w:val="32"/>
          <w:szCs w:val="32"/>
        </w:rPr>
        <w:t>%;资源勘探工业信息等（类）支出219.99万元，占5</w:t>
      </w:r>
      <w:r>
        <w:rPr>
          <w:rFonts w:hint="eastAsia" w:ascii="仿宋_GB2312" w:hAnsi="仿宋_GB2312" w:eastAsia="仿宋_GB2312" w:cs="仿宋_GB2312"/>
          <w:sz w:val="32"/>
          <w:szCs w:val="32"/>
          <w:lang w:val="en-US" w:eastAsia="zh-CN"/>
        </w:rPr>
        <w:t>0.92</w:t>
      </w:r>
      <w:r>
        <w:rPr>
          <w:rFonts w:hint="eastAsia" w:ascii="仿宋_GB2312" w:hAnsi="仿宋_GB2312" w:eastAsia="仿宋_GB2312" w:cs="仿宋_GB2312"/>
          <w:sz w:val="32"/>
          <w:szCs w:val="32"/>
        </w:rPr>
        <w:t>%；住房保障（类）支出18.49万元，占4.</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323.30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431.99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133.62</w:t>
      </w:r>
      <w:r>
        <w:rPr>
          <w:rFonts w:hint="eastAsia" w:ascii="仿宋_GB2312" w:hAnsi="仿宋_GB2312" w:eastAsia="仿宋_GB2312" w:cs="仿宋_GB2312"/>
          <w:sz w:val="32"/>
          <w:szCs w:val="32"/>
        </w:rPr>
        <w:t>%，其中：</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kern w:val="0"/>
          <w:sz w:val="32"/>
          <w:szCs w:val="32"/>
          <w:lang w:val="en-US" w:eastAsia="zh-CN" w:bidi="ar-SA"/>
        </w:rPr>
        <w:t>社会保障和就业支出（类）行政事业单位养老支出（款）机关事业单位基本养老保险缴费支出（项）。</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年初预算为25.57万元，支出决算为25.57万元，完成年初预算的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val="en-US" w:eastAsia="zh-CN" w:bidi="ar-SA"/>
        </w:rPr>
        <w:t>决算数等于年初预算数的主要原因是严格执行预算。</w:t>
      </w:r>
    </w:p>
    <w:p>
      <w:pPr>
        <w:pStyle w:val="15"/>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社会保障和就业支出（类）残疾人事业（款）其他残疾人事业支出（项）。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年初预算为2</w:t>
      </w:r>
      <w:r>
        <w:rPr>
          <w:rFonts w:hint="eastAsia" w:ascii="仿宋_GB2312" w:hAnsi="仿宋_GB2312" w:eastAsia="仿宋_GB2312" w:cs="仿宋_GB2312"/>
          <w:sz w:val="32"/>
          <w:szCs w:val="32"/>
          <w:lang w:val="en-US" w:eastAsia="zh-CN"/>
        </w:rPr>
        <w:t>.06</w:t>
      </w:r>
      <w:r>
        <w:rPr>
          <w:rFonts w:hint="eastAsia" w:ascii="仿宋_GB2312" w:hAnsi="仿宋_GB2312" w:eastAsia="仿宋_GB2312" w:cs="仿宋_GB2312"/>
          <w:sz w:val="32"/>
          <w:szCs w:val="32"/>
        </w:rPr>
        <w:t>万元，支出决算为2.06万元，完成年初预算的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val="en-US" w:eastAsia="zh-CN" w:bidi="ar-SA"/>
        </w:rPr>
        <w:t>决算数等于年初预算数的主要原因是严格执行预算。</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val="en-US" w:eastAsia="zh-CN" w:bidi="ar-SA"/>
        </w:rPr>
        <w:t>社会保障和就业支出（类）其他社会保障和就业支出（款）其他社会保障和就业支出（项）。</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0.45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0.45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val="en-US" w:eastAsia="zh-CN" w:bidi="ar-SA"/>
        </w:rPr>
        <w:t>决算数等于年初预算数的主要原因是严格执行预算。</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lang w:val="en-US" w:eastAsia="zh-CN" w:bidi="ar-SA"/>
        </w:rPr>
        <w:t>4、城乡社区支出（类）城乡社区管理事务（款）其他城乡社区管理事务支出（</w:t>
      </w:r>
      <w:r>
        <w:rPr>
          <w:rFonts w:hint="eastAsia" w:ascii="仿宋_GB2312" w:hAnsi="仿宋_GB2312" w:eastAsia="仿宋_GB2312" w:cs="仿宋_GB2312"/>
          <w:color w:val="000000"/>
          <w:kern w:val="0"/>
          <w:sz w:val="32"/>
          <w:szCs w:val="32"/>
          <w:highlight w:val="none"/>
          <w:lang w:val="en-US" w:eastAsia="zh-CN" w:bidi="ar-SA"/>
        </w:rPr>
        <w:t>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年初预算为0万元，支出决算为98.93万元，决算数大于年初预算数的主要原因是通</w:t>
      </w:r>
      <w:r>
        <w:rPr>
          <w:rFonts w:hint="eastAsia" w:ascii="仿宋_GB2312" w:hAnsi="仿宋_GB2312" w:eastAsia="仿宋_GB2312" w:cs="仿宋_GB2312"/>
          <w:color w:val="000000"/>
          <w:kern w:val="0"/>
          <w:sz w:val="32"/>
          <w:szCs w:val="32"/>
          <w:lang w:val="en-US" w:eastAsia="zh-CN" w:bidi="ar-SA"/>
        </w:rPr>
        <w:t>过存量资金支付了企业的项目资本金从而追加了经费。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5、城乡社区支出（类）城乡社区规划与管理（款）城乡社区规划与管理（项）。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lang w:val="en-US" w:eastAsia="zh-CN" w:bidi="ar-SA"/>
        </w:rPr>
        <w:t>年初预算为56万元，支出决算为60.32万元，完成年初预算的107.71%，决算数大于年初预算</w:t>
      </w:r>
      <w:r>
        <w:rPr>
          <w:rFonts w:hint="eastAsia" w:ascii="仿宋_GB2312" w:hAnsi="仿宋_GB2312" w:eastAsia="仿宋_GB2312" w:cs="仿宋_GB2312"/>
          <w:color w:val="000000"/>
          <w:kern w:val="0"/>
          <w:sz w:val="32"/>
          <w:szCs w:val="32"/>
          <w:highlight w:val="none"/>
          <w:lang w:val="en-US" w:eastAsia="zh-CN" w:bidi="ar-SA"/>
        </w:rPr>
        <w:t>数的主要原因是上年结转从</w:t>
      </w:r>
      <w:r>
        <w:rPr>
          <w:rFonts w:hint="eastAsia" w:ascii="仿宋_GB2312" w:hAnsi="仿宋_GB2312" w:eastAsia="仿宋_GB2312" w:cs="仿宋_GB2312"/>
          <w:color w:val="000000"/>
          <w:kern w:val="0"/>
          <w:sz w:val="32"/>
          <w:szCs w:val="32"/>
          <w:lang w:val="en-US" w:eastAsia="zh-CN" w:bidi="ar-SA"/>
        </w:rPr>
        <w:t>而增加了经费。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6、城乡社区支出（类）其他城乡社区支出（款）其他城乡社区支出（项）。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年初预算为0万元，支出决算为6.18万元，决算数大于年初预算数的主要原因是增资绩效奖的发放从</w:t>
      </w:r>
      <w:r>
        <w:rPr>
          <w:rFonts w:hint="eastAsia" w:ascii="仿宋_GB2312" w:hAnsi="仿宋_GB2312" w:eastAsia="仿宋_GB2312" w:cs="仿宋_GB2312"/>
          <w:color w:val="000000"/>
          <w:kern w:val="0"/>
          <w:sz w:val="32"/>
          <w:szCs w:val="32"/>
          <w:lang w:val="en-US" w:eastAsia="zh-CN" w:bidi="ar-SA"/>
        </w:rPr>
        <w:t>而增加了经费。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7、资源勘探工业信息等支出（类）建筑业（款）行政运行（项）。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年初预算为220.73万元，支出决算为219.99万元，完成年初预算的99.66%，决算数小于年初预算数的主要原因是厉行节约压缩经费。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8、住房保障支出（类）住房改革支出（款）住房公积金（项）。</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年初预算为18.49万元，支出决算为18.49万元，完成年初预算的100%，决算数等于年初预算数的主要原因是严格执行预算。</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财政拨款基本支出319.65万元，其中：</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95.42</w:t>
      </w:r>
      <w:r>
        <w:rPr>
          <w:rFonts w:hint="eastAsia" w:ascii="仿宋_GB2312" w:hAnsi="仿宋_GB2312" w:eastAsia="仿宋_GB2312" w:cs="仿宋_GB2312"/>
          <w:sz w:val="32"/>
          <w:szCs w:val="32"/>
        </w:rPr>
        <w:t>%,主要包括</w:t>
      </w:r>
      <w:r>
        <w:rPr>
          <w:rFonts w:hint="eastAsia" w:ascii="Times New Roman" w:hAnsi="Times New Roman" w:eastAsia="仿宋_GB2312"/>
          <w:sz w:val="32"/>
          <w:szCs w:val="32"/>
          <w:highlight w:val="none"/>
        </w:rPr>
        <w:t>基本工资、津贴补贴、奖金、伙食补助费</w:t>
      </w:r>
      <w:r>
        <w:rPr>
          <w:rFonts w:hint="eastAsia" w:ascii="Times New Roman" w:hAnsi="Times New Roman" w:eastAsia="仿宋_GB2312"/>
          <w:sz w:val="32"/>
          <w:szCs w:val="32"/>
          <w:highlight w:val="none"/>
          <w:lang w:eastAsia="zh-CN"/>
        </w:rPr>
        <w:t>、绩效工资、机关事业单位基本养老保险缴费、职工基本医疗保险缴费、其他社会保障费、住房公积金、医疗费、退休费、医疗费补助、其他对个人和家庭的补助。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14.65万元，占基本支出的</w:t>
      </w:r>
      <w:r>
        <w:rPr>
          <w:rFonts w:hint="eastAsia" w:ascii="仿宋_GB2312" w:hAnsi="仿宋_GB2312" w:eastAsia="仿宋_GB2312" w:cs="仿宋_GB2312"/>
          <w:sz w:val="32"/>
          <w:szCs w:val="32"/>
          <w:lang w:val="en-US" w:eastAsia="zh-CN"/>
        </w:rPr>
        <w:t>4.58</w:t>
      </w:r>
      <w:r>
        <w:rPr>
          <w:rFonts w:hint="eastAsia" w:ascii="仿宋_GB2312" w:hAnsi="仿宋_GB2312" w:eastAsia="仿宋_GB2312" w:cs="仿宋_GB2312"/>
          <w:sz w:val="32"/>
          <w:szCs w:val="32"/>
        </w:rPr>
        <w:t>%，主要包括</w:t>
      </w:r>
      <w:r>
        <w:rPr>
          <w:rFonts w:hint="eastAsia" w:ascii="仿宋_GB2312" w:hAnsi="仿宋_GB2312" w:eastAsia="仿宋_GB2312" w:cs="仿宋_GB2312"/>
          <w:sz w:val="32"/>
          <w:szCs w:val="32"/>
          <w:highlight w:val="none"/>
        </w:rPr>
        <w:t>办公费、印刷费、</w:t>
      </w:r>
      <w:r>
        <w:rPr>
          <w:rFonts w:hint="eastAsia" w:ascii="仿宋_GB2312" w:hAnsi="仿宋_GB2312" w:eastAsia="仿宋_GB2312" w:cs="仿宋_GB2312"/>
          <w:sz w:val="32"/>
          <w:szCs w:val="32"/>
          <w:highlight w:val="none"/>
          <w:lang w:eastAsia="zh-CN"/>
        </w:rPr>
        <w:t>邮电费、差旅费</w:t>
      </w:r>
      <w:r>
        <w:rPr>
          <w:rFonts w:hint="eastAsia" w:ascii="仿宋_GB2312" w:hAnsi="仿宋_GB2312" w:eastAsia="仿宋_GB2312" w:cs="仿宋_GB2312"/>
          <w:sz w:val="32"/>
          <w:szCs w:val="32"/>
          <w:highlight w:val="none"/>
        </w:rPr>
        <w:t>、维修（护）费</w:t>
      </w:r>
      <w:r>
        <w:rPr>
          <w:rFonts w:hint="eastAsia" w:ascii="仿宋_GB2312" w:hAnsi="仿宋_GB2312" w:eastAsia="仿宋_GB2312" w:cs="仿宋_GB2312"/>
          <w:sz w:val="32"/>
          <w:szCs w:val="32"/>
          <w:highlight w:val="none"/>
          <w:lang w:eastAsia="zh-CN"/>
        </w:rPr>
        <w:t>、工会经费、福利费、其他商品和服务支出</w:t>
      </w:r>
      <w:r>
        <w:rPr>
          <w:rFonts w:hint="eastAsia" w:ascii="仿宋_GB2312" w:hAnsi="仿宋_GB2312" w:eastAsia="仿宋_GB2312" w:cs="仿宋_GB2312"/>
          <w:sz w:val="32"/>
          <w:szCs w:val="32"/>
          <w:highlight w:val="none"/>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color w:val="000000"/>
          <w:kern w:val="0"/>
          <w:sz w:val="32"/>
          <w:szCs w:val="32"/>
          <w:lang w:val="en-US" w:eastAsia="zh-CN" w:bidi="ar-SA"/>
        </w:rPr>
        <w:t>2024年度政府性基金预算财政拨款收入0万元；年初结转和结余0万元；支出0万元，其中基本支出0万元，项目支出0万元；年末结转和结余0万元。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2024年度国有资本经营预算财政拨款收入0万元；年初结转和结余0万；支出0万元，其中：基本支出0万元，项目支出0万元；年末结转和结余0万元。</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5"/>
        <w:overflowPunct w:val="0"/>
        <w:autoSpaceDE/>
        <w:autoSpaceDN/>
        <w:spacing w:line="600" w:lineRule="exact"/>
        <w:ind w:firstLine="640" w:firstLineChars="200"/>
        <w:jc w:val="both"/>
        <w:rPr>
          <w:rFonts w:ascii="Times New Roman" w:hAnsi="Times New Roman" w:eastAsia="仿宋_GB2312" w:cs="Times New Roman"/>
          <w:color w:val="0000FF"/>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0.50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%。决算数小于预算数的主要原因是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ascii="Times New Roman" w:hAnsi="Times New Roman" w:eastAsia="仿宋_GB2312" w:cs="Times New Roman"/>
          <w:sz w:val="32"/>
          <w:szCs w:val="32"/>
        </w:rPr>
        <w:t>决算数小于上年数</w:t>
      </w:r>
      <w:bookmarkStart w:id="0" w:name="_GoBack"/>
      <w:bookmarkEnd w:id="0"/>
      <w:r>
        <w:rPr>
          <w:rFonts w:ascii="Times New Roman" w:hAnsi="Times New Roman" w:eastAsia="仿宋_GB2312" w:cs="Times New Roman"/>
          <w:sz w:val="32"/>
          <w:szCs w:val="32"/>
        </w:rPr>
        <w:t>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ascii="Times New Roman" w:hAnsi="Times New Roman" w:eastAsia="仿宋_GB2312" w:cs="Times New Roman"/>
          <w:color w:val="auto"/>
          <w:sz w:val="32"/>
          <w:szCs w:val="32"/>
        </w:rPr>
        <w:t>。</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pStyle w:val="15"/>
        <w:overflowPunct w:val="0"/>
        <w:autoSpaceDE/>
        <w:autoSpaceDN/>
        <w:spacing w:line="600" w:lineRule="exact"/>
        <w:ind w:firstLine="640" w:firstLineChars="200"/>
        <w:jc w:val="both"/>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1.因公出国（境）费支出预算为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决算数等于预算数</w:t>
      </w:r>
      <w:r>
        <w:rPr>
          <w:rFonts w:hint="eastAsia" w:ascii="Times New Roman" w:hAnsi="Times New Roman" w:eastAsia="仿宋_GB2312" w:cs="Times New Roman"/>
          <w:sz w:val="32"/>
          <w:szCs w:val="32"/>
          <w:lang w:val="en-US" w:eastAsia="zh-CN"/>
        </w:rPr>
        <w:t>，主要原因是我单位严格按预算执行决算</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与上年一致，无增减变动，主要原因是未安排因公出国（境）活动。</w:t>
      </w:r>
      <w:r>
        <w:rPr>
          <w:rFonts w:ascii="Times New Roman" w:hAnsi="Times New Roman" w:eastAsia="仿宋_GB2312" w:cs="Times New Roman"/>
          <w:sz w:val="32"/>
          <w:szCs w:val="32"/>
        </w:rPr>
        <w:t>2024年度安排因公出国（境）团组</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个，累计</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人次</w:t>
      </w:r>
      <w:r>
        <w:rPr>
          <w:rFonts w:hint="eastAsia" w:ascii="Times New Roman" w:hAnsi="Times New Roman" w:eastAsia="仿宋_GB2312" w:cs="Times New Roman"/>
          <w:sz w:val="32"/>
          <w:szCs w:val="32"/>
          <w:lang w:eastAsia="zh-CN"/>
        </w:rPr>
        <w:t>。</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决算数等于预算数</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与上年一致，无增减变动</w:t>
      </w:r>
      <w:r>
        <w:rPr>
          <w:rFonts w:ascii="Times New Roman" w:hAnsi="Times New Roman" w:eastAsia="仿宋_GB2312" w:cs="Times New Roman"/>
          <w:sz w:val="32"/>
          <w:szCs w:val="32"/>
        </w:rPr>
        <w:t>。其中：</w:t>
      </w:r>
    </w:p>
    <w:p>
      <w:pPr>
        <w:pStyle w:val="15"/>
        <w:overflowPunct w:val="0"/>
        <w:autoSpaceDE/>
        <w:autoSpaceDN/>
        <w:spacing w:line="600" w:lineRule="exact"/>
        <w:ind w:firstLine="640" w:firstLineChars="200"/>
        <w:jc w:val="both"/>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val="en-US" w:eastAsia="zh-CN"/>
        </w:rPr>
        <w:t>决算数等于预算数，主要原因是我单位严格按预算执行决算</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与上年一致，无增减变动，主要原因是两年均未购置公务用车。本单位</w:t>
      </w:r>
      <w:r>
        <w:rPr>
          <w:rFonts w:ascii="Times New Roman" w:hAnsi="Times New Roman" w:eastAsia="仿宋_GB2312" w:cs="Times New Roman"/>
          <w:sz w:val="32"/>
          <w:szCs w:val="32"/>
        </w:rPr>
        <w:t>更新公务用车</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辆</w:t>
      </w:r>
      <w:r>
        <w:rPr>
          <w:rFonts w:hint="eastAsia" w:ascii="Times New Roman" w:hAnsi="Times New Roman" w:eastAsia="仿宋_GB2312" w:cs="Times New Roman"/>
          <w:sz w:val="32"/>
          <w:szCs w:val="32"/>
          <w:lang w:eastAsia="zh-CN"/>
        </w:rPr>
        <w:t>。</w:t>
      </w:r>
    </w:p>
    <w:p>
      <w:pPr>
        <w:pStyle w:val="15"/>
        <w:overflowPunct w:val="0"/>
        <w:autoSpaceDE/>
        <w:autoSpaceDN/>
        <w:spacing w:line="60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公</w:t>
      </w:r>
      <w:r>
        <w:rPr>
          <w:rFonts w:ascii="Times New Roman" w:hAnsi="Times New Roman" w:eastAsia="仿宋_GB2312" w:cs="Times New Roman"/>
          <w:sz w:val="32"/>
          <w:szCs w:val="32"/>
        </w:rPr>
        <w:t>务用车运行维护费支出预算为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val="en-US" w:eastAsia="zh-CN"/>
        </w:rPr>
        <w:t xml:space="preserve">决算数等于预算数，主要原因是我单位严格按预算执行决算；与上年一致，无增减变动，主要原因是两年均无公务用车需要运行维护。 </w:t>
      </w:r>
      <w:r>
        <w:rPr>
          <w:rFonts w:ascii="Times New Roman" w:hAnsi="Times New Roman" w:eastAsia="仿宋_GB2312" w:cs="Times New Roman"/>
          <w:sz w:val="32"/>
          <w:szCs w:val="32"/>
        </w:rPr>
        <w:t>截止</w:t>
      </w:r>
      <w:r>
        <w:rPr>
          <w:rFonts w:hint="eastAsia" w:ascii="Times New Roman" w:hAnsi="Times New Roman" w:eastAsia="仿宋_GB2312" w:cs="Times New Roman"/>
          <w:sz w:val="32"/>
          <w:szCs w:val="32"/>
          <w:lang w:eastAsia="zh-CN"/>
        </w:rPr>
        <w:t>到</w:t>
      </w:r>
      <w:r>
        <w:rPr>
          <w:rFonts w:ascii="Times New Roman" w:hAnsi="Times New Roman" w:eastAsia="仿宋_GB2312" w:cs="Times New Roman"/>
          <w:sz w:val="32"/>
          <w:szCs w:val="32"/>
        </w:rPr>
        <w:t>2024年12月31日，我单位开支财政拨款的公务用车保有量为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辆。</w:t>
      </w:r>
    </w:p>
    <w:p>
      <w:pPr>
        <w:numPr>
          <w:ilvl w:val="0"/>
          <w:numId w:val="3"/>
        </w:num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0.5</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%；与上年相比增加（减少）</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w:t>
      </w:r>
      <w:r>
        <w:rPr>
          <w:rFonts w:ascii="Times New Roman" w:hAnsi="Times New Roman" w:eastAsia="仿宋_GB2312" w:cs="Times New Roman"/>
          <w:sz w:val="32"/>
          <w:szCs w:val="32"/>
          <w:highlight w:val="none"/>
        </w:rPr>
        <w:t>长</w:t>
      </w:r>
      <w:r>
        <w:rPr>
          <w:rFonts w:hint="eastAsia" w:ascii="Times New Roman" w:hAnsi="Times New Roman" w:eastAsia="仿宋_GB2312" w:cs="Times New Roman"/>
          <w:sz w:val="32"/>
          <w:szCs w:val="32"/>
          <w:highlight w:val="none"/>
          <w:lang w:val="en-US" w:eastAsia="zh-CN"/>
        </w:rPr>
        <w:t>0</w:t>
      </w:r>
      <w:r>
        <w:rPr>
          <w:rFonts w:ascii="Times New Roman" w:hAnsi="Times New Roman" w:eastAsia="仿宋_GB2312" w:cs="Times New Roman"/>
          <w:sz w:val="32"/>
          <w:szCs w:val="32"/>
          <w:highlight w:val="none"/>
        </w:rPr>
        <w:t>%。决算数小于预算数的主要原因是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ascii="Times New Roman" w:hAnsi="Times New Roman" w:eastAsia="仿宋_GB2312" w:cs="Times New Roman"/>
          <w:sz w:val="32"/>
          <w:szCs w:val="32"/>
          <w:highlight w:val="none"/>
        </w:rPr>
        <w:t>。</w:t>
      </w:r>
      <w:r>
        <w:rPr>
          <w:rFonts w:hint="eastAsia" w:ascii="仿宋_GB2312" w:hAnsi="仿宋_GB2312" w:eastAsia="仿宋_GB2312" w:cs="仿宋_GB2312"/>
          <w:color w:val="000000"/>
          <w:kern w:val="0"/>
          <w:sz w:val="32"/>
          <w:szCs w:val="32"/>
          <w:highlight w:val="none"/>
          <w:lang w:val="en-US" w:eastAsia="zh-CN" w:bidi="ar-SA"/>
        </w:rPr>
        <w:t>决算数等于年初预算数的主要原因是严格执行预算</w:t>
      </w:r>
      <w:r>
        <w:rPr>
          <w:rFonts w:ascii="Times New Roman" w:hAnsi="Times New Roman" w:eastAsia="仿宋_GB2312" w:cs="Times New Roman"/>
          <w:sz w:val="32"/>
          <w:szCs w:val="32"/>
          <w:highlight w:val="none"/>
        </w:rPr>
        <w:t>。2024年度共接待来访团组</w:t>
      </w:r>
      <w:r>
        <w:rPr>
          <w:rFonts w:hint="eastAsia" w:ascii="Times New Roman" w:hAnsi="Times New Roman" w:eastAsia="仿宋_GB2312" w:cs="Times New Roman"/>
          <w:sz w:val="32"/>
          <w:szCs w:val="32"/>
          <w:highlight w:val="none"/>
          <w:lang w:val="en-US" w:eastAsia="zh-CN"/>
        </w:rPr>
        <w:t>0</w:t>
      </w:r>
      <w:r>
        <w:rPr>
          <w:rFonts w:ascii="Times New Roman" w:hAnsi="Times New Roman" w:eastAsia="仿宋_GB2312" w:cs="Times New Roman"/>
          <w:sz w:val="32"/>
          <w:szCs w:val="32"/>
          <w:highlight w:val="none"/>
        </w:rPr>
        <w:t>个、来</w:t>
      </w:r>
      <w:r>
        <w:rPr>
          <w:rFonts w:ascii="Times New Roman" w:hAnsi="Times New Roman" w:eastAsia="仿宋_GB2312" w:cs="Times New Roman"/>
          <w:sz w:val="32"/>
          <w:szCs w:val="32"/>
        </w:rPr>
        <w:t>宾</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人次。</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5"/>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比年初预算数无增减变化。主要原因是：</w:t>
      </w:r>
      <w:r>
        <w:rPr>
          <w:rFonts w:hint="eastAsia" w:ascii="Times New Roman" w:hAnsi="Times New Roman" w:eastAsia="仿宋_GB2312" w:cs="Times New Roman"/>
          <w:sz w:val="32"/>
          <w:szCs w:val="32"/>
          <w:lang w:val="en-US" w:eastAsia="zh-CN"/>
        </w:rPr>
        <w:t>本级和所属单位均为事业单位，按照机关运行经费的口径，本年度机关运行经费为0。</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autoSpaceDE w:val="0"/>
        <w:autoSpaceDN w:val="0"/>
        <w:adjustRightInd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培训费年初预算0万元，支出决算为0万元，本单位无培训费的预算和支出决算数。</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年度政府采购支出总额29.33万元，其中：政府采购货物支出24.03万元、政府采购工程支出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万元、政府采购服务支出5.30万元。授予中小企业合同金额</w:t>
      </w:r>
      <w:r>
        <w:rPr>
          <w:rFonts w:hint="eastAsia" w:ascii="仿宋_GB2312" w:hAnsi="仿宋_GB2312" w:eastAsia="仿宋_GB2312" w:cs="仿宋_GB2312"/>
          <w:sz w:val="32"/>
          <w:szCs w:val="32"/>
          <w:lang w:val="en-US" w:eastAsia="zh-CN"/>
        </w:rPr>
        <w:t>29.33</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29.33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81.93</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18.07</w:t>
      </w:r>
      <w:r>
        <w:rPr>
          <w:rFonts w:hint="eastAsia" w:ascii="仿宋_GB2312" w:hAnsi="仿宋_GB2312" w:eastAsia="仿宋_GB2312" w:cs="仿宋_GB2312"/>
          <w:color w:val="auto"/>
          <w:sz w:val="32"/>
          <w:szCs w:val="32"/>
        </w:rPr>
        <w:t>%。</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lang w:val="en-US" w:eastAsia="zh-CN"/>
        </w:rPr>
        <w:t>截至2024年12月31日，本单位共有车辆0辆，其中，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r>
        <w:rPr>
          <w:rFonts w:hint="eastAsia" w:ascii="仿宋_GB2312" w:hAnsi="仿宋_GB2312" w:eastAsia="仿宋_GB2312" w:cs="仿宋_GB2312"/>
          <w:color w:val="auto"/>
          <w:sz w:val="32"/>
          <w:szCs w:val="32"/>
          <w:lang w:eastAsia="zh-CN"/>
        </w:rPr>
        <w:t>。</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个，共涉及资金</w:t>
      </w:r>
      <w:r>
        <w:rPr>
          <w:rFonts w:hint="eastAsia" w:ascii="Times New Roman" w:hAnsi="Times New Roman" w:eastAsia="仿宋_GB2312" w:cs="Times New Roman"/>
          <w:kern w:val="0"/>
          <w:sz w:val="32"/>
          <w:szCs w:val="32"/>
          <w:lang w:val="en-US" w:eastAsia="zh-CN"/>
        </w:rPr>
        <w:t>431.99</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431.99</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2024年，我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w:t>
      </w:r>
      <w:r>
        <w:rPr>
          <w:rFonts w:hint="eastAsia" w:ascii="仿宋_GB2312" w:hAnsi="仿宋_GB2312" w:eastAsia="仿宋_GB2312" w:cs="仿宋_GB2312"/>
          <w:color w:val="auto"/>
          <w:sz w:val="32"/>
          <w:szCs w:val="32"/>
          <w:lang w:val="en-US" w:eastAsia="zh-CN"/>
        </w:rPr>
        <w:t>坚持“房住不炒”定位，聚焦“保交楼、稳市场、强监管、优服务”四大目标</w:t>
      </w:r>
      <w:r>
        <w:rPr>
          <w:rFonts w:hint="eastAsia" w:ascii="仿宋_GB2312" w:hAnsi="仿宋_GB2312" w:eastAsia="仿宋_GB2312" w:cs="仿宋_GB2312"/>
          <w:color w:val="auto"/>
          <w:kern w:val="2"/>
          <w:sz w:val="32"/>
          <w:szCs w:val="32"/>
          <w:lang w:val="en-US" w:eastAsia="zh-CN" w:bidi="ar-SA"/>
        </w:rPr>
        <w:t>。</w:t>
      </w:r>
    </w:p>
    <w:p>
      <w:pPr>
        <w:overflowPunct w:val="0"/>
        <w:spacing w:line="600" w:lineRule="exact"/>
        <w:ind w:firstLine="640" w:firstLineChars="200"/>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p>
    <w:p>
      <w:pPr>
        <w:overflowPunct w:val="0"/>
        <w:spacing w:line="600" w:lineRule="exact"/>
        <w:ind w:firstLine="640" w:firstLineChars="200"/>
        <w:rPr>
          <w:rFonts w:hint="eastAsia" w:ascii="Times New Roman" w:hAnsi="Times New Roman" w:eastAsia="仿宋_GB2312" w:cs="Times New Roman"/>
          <w:color w:val="FF0000"/>
          <w:kern w:val="0"/>
          <w:sz w:val="32"/>
          <w:szCs w:val="32"/>
          <w:lang w:eastAsia="zh-CN"/>
        </w:rPr>
      </w:pPr>
      <w:r>
        <w:rPr>
          <w:rFonts w:hint="eastAsia" w:ascii="仿宋_GB2312" w:hAnsi="仿宋_GB2312" w:eastAsia="仿宋_GB2312" w:cs="仿宋_GB2312"/>
          <w:b w:val="0"/>
          <w:bCs w:val="0"/>
          <w:sz w:val="32"/>
          <w:szCs w:val="32"/>
          <w:highlight w:val="none"/>
          <w:lang w:val="en-US" w:eastAsia="zh-CN"/>
        </w:rPr>
        <w:t>本单位为二级预算单位，部门评价开展情况可详见上级部门决算公开说明。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本单位为二级预算单位，事前绩效评估开展情况可详见上级部门决算公开说明。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463.43</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431.99</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93.21</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9.32</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优</w:t>
      </w:r>
      <w:r>
        <w:rPr>
          <w:rFonts w:ascii="Times New Roman" w:hAnsi="Times New Roman" w:eastAsia="仿宋_GB2312" w:cs="Times New Roman"/>
          <w:sz w:val="32"/>
          <w:szCs w:val="32"/>
        </w:rPr>
        <w:t>”。绩效目标完成情况：</w:t>
      </w:r>
      <w:r>
        <w:rPr>
          <w:rFonts w:hint="eastAsia" w:ascii="仿宋_GB2312" w:hAnsi="仿宋_GB2312" w:eastAsia="仿宋_GB2312" w:cs="仿宋_GB2312"/>
          <w:b w:val="0"/>
          <w:bCs w:val="0"/>
          <w:sz w:val="32"/>
          <w:szCs w:val="32"/>
          <w:highlight w:val="none"/>
          <w:lang w:val="en-US" w:eastAsia="zh-CN"/>
        </w:rPr>
        <w:t>一是随着化解办证信访遗留问题工作的深入，目前我市这类问题主要集中为安置房、保障房、经济适用房和其他类房屋，他们建设主体不明，施工单位不提供验收资料，年代久远使得相关五方责任主体难以落实，不能够办理相关验收手续，导致不动产手续登记有困难；二是各区管委会安置政策不统一、不协调，导致部分经济适用房安置方购房人的身份信息缺失，不能够及时办理不动产登记；三是目前房地产市场投资销售下滑，导致部分企业陷入经营困难，造成资金流动性风险，导致部分房屋不能按合同约定交付</w:t>
      </w:r>
      <w:r>
        <w:rPr>
          <w:rFonts w:ascii="Times New Roman" w:hAnsi="Times New Roman" w:eastAsia="仿宋_GB2312" w:cs="Times New Roman"/>
          <w:sz w:val="32"/>
          <w:szCs w:val="32"/>
        </w:rPr>
        <w:t>。发现的主要问题及原因：</w:t>
      </w:r>
      <w:r>
        <w:rPr>
          <w:rFonts w:hint="eastAsia" w:ascii="仿宋_GB2312" w:hAnsi="仿宋_GB2312" w:eastAsia="仿宋_GB2312" w:cs="仿宋_GB2312"/>
          <w:b w:val="0"/>
          <w:bCs w:val="0"/>
          <w:sz w:val="32"/>
          <w:szCs w:val="32"/>
          <w:highlight w:val="none"/>
          <w:lang w:val="en-US" w:eastAsia="zh-CN"/>
        </w:rPr>
        <w:t>一是随着化解办证信访遗留问题工作的深入，目前我市这类问题主要集中为安置房、保障房、经济适用房和其他类房屋，他们建设主体不明，施工单位不提供验收资料，年代久远使得相关五方责任主体难以落实，不能够办理相关验收手续，导致不动产手续登记有困难；二是各区管委会安置政策不统一、不协调，导致部分经济适用房安置方购房人的身份信息缺失，不能够及时办理不动产登记；三是目前房地产市场投资销售下滑，导致部分企业陷入经营困难，造成资金流动性风险，导致部分房屋不能按合同约定交付</w:t>
      </w:r>
      <w:r>
        <w:rPr>
          <w:rFonts w:ascii="Times New Roman" w:hAnsi="Times New Roman" w:eastAsia="仿宋_GB2312" w:cs="Times New Roman"/>
          <w:sz w:val="32"/>
          <w:szCs w:val="32"/>
        </w:rPr>
        <w:t>。下一步改进措施：</w:t>
      </w:r>
      <w:r>
        <w:rPr>
          <w:rFonts w:hint="eastAsia" w:ascii="仿宋_GB2312" w:hAnsi="仿宋_GB2312" w:eastAsia="仿宋_GB2312" w:cs="仿宋_GB2312"/>
          <w:b w:val="0"/>
          <w:bCs w:val="0"/>
          <w:sz w:val="32"/>
          <w:szCs w:val="32"/>
          <w:highlight w:val="none"/>
          <w:lang w:val="en-US" w:eastAsia="zh-CN"/>
        </w:rPr>
        <w:t>一是按照省、市有关文件精神的规定，对不能够完善相关材料，落实建设主体和购房主体等手续进行容缺办理，确保能有销售收入用于项目建设；二是对不配合竣工验收的主体和施工单位进行查处和打击或纳入失信名单；三是对于申请预售商品房项目预售过程，按照相关文件精神严格落实预售形象进度要求；四是进一步加强预售资金的监管。</w:t>
      </w:r>
    </w:p>
    <w:p>
      <w:pPr>
        <w:overflowPunct w:val="0"/>
        <w:spacing w:line="600" w:lineRule="exact"/>
        <w:ind w:firstLine="640" w:firstLineChars="200"/>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p>
    <w:p>
      <w:pPr>
        <w:overflowPunct w:val="0"/>
        <w:spacing w:line="600" w:lineRule="exact"/>
        <w:ind w:firstLine="640" w:firstLineChars="20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本单位为二级预算单位，部门评价结果可详见上级部门决算公开说明。</w:t>
      </w:r>
    </w:p>
    <w:p>
      <w:pPr>
        <w:overflowPunct w:val="0"/>
        <w:spacing w:line="600" w:lineRule="exact"/>
        <w:ind w:firstLine="640" w:firstLineChars="200"/>
        <w:rPr>
          <w:rFonts w:ascii="Times New Roman" w:hAnsi="Times New Roman" w:eastAsia="仿宋_GB2312" w:cs="Times New Roman"/>
          <w:b/>
          <w:bCs/>
          <w:kern w:val="0"/>
          <w:sz w:val="32"/>
          <w:szCs w:val="32"/>
          <w:highlight w:val="none"/>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仿宋_GB2312" w:hAnsi="仿宋_GB2312" w:eastAsia="仿宋_GB2312" w:cs="仿宋_GB2312"/>
          <w:b w:val="0"/>
          <w:bCs w:val="0"/>
          <w:sz w:val="32"/>
          <w:szCs w:val="32"/>
          <w:highlight w:val="none"/>
          <w:lang w:val="en-US" w:eastAsia="zh-CN"/>
        </w:rPr>
        <w:t>本单位为二级预算单位，事前绩效评估结果可详见上级部门决算公开说明。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Times New Roman" w:hAnsi="Times New Roman" w:eastAsia="仿宋_GB2312"/>
          <w:color w:val="FF0000"/>
          <w:sz w:val="32"/>
          <w:szCs w:val="32"/>
        </w:rPr>
      </w:pPr>
    </w:p>
    <w:p>
      <w:pPr>
        <w:numPr>
          <w:ilvl w:val="0"/>
          <w:numId w:val="4"/>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2024年度我中心在市委市政府的坚强领导下，以习近平新时代中国特色社会主义思想为指导，紧扣落实省政府真抓实干督查激励措施，践行为民服务宗旨，全面履职尽责，守正创新，真抓实干，较好的完成了各项绩效目标。</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2025年度我中心将继续严格安排预算，对各项目支出结构进行科学调整，进一步提高资金管理水平，完善相关制度建设。</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highlight w:val="none"/>
          <w:lang w:val="en-US" w:eastAsia="zh-CN"/>
        </w:rPr>
        <w:t>预算绩效管理开展情况、绩效目标和绩效评价报</w:t>
      </w:r>
      <w:r>
        <w:rPr>
          <w:rFonts w:hint="eastAsia" w:ascii="仿宋_GB2312" w:hAnsi="仿宋_GB2312" w:eastAsia="仿宋_GB2312" w:cs="仿宋_GB2312"/>
          <w:b w:val="0"/>
          <w:bCs w:val="0"/>
          <w:sz w:val="32"/>
          <w:szCs w:val="32"/>
          <w:lang w:val="en-US" w:eastAsia="zh-CN"/>
        </w:rPr>
        <w:t>告等，已在市政府部门财政预决算公开平台上向社会公开，详见附件。</w:t>
      </w:r>
    </w:p>
    <w:p>
      <w:pPr>
        <w:pStyle w:val="15"/>
        <w:jc w:val="both"/>
        <w:rPr>
          <w:rFonts w:hint="eastAsia" w:ascii="方正小标宋_GBK" w:hAnsi="方正小标宋_GBK" w:eastAsia="方正小标宋_GBK" w:cs="方正小标宋_GBK"/>
          <w:sz w:val="24"/>
          <w:szCs w:val="24"/>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9"/>
      </w:pPr>
    </w:p>
    <w:p>
      <w:pPr>
        <w:pStyle w:val="2"/>
      </w:pPr>
    </w:p>
    <w:p/>
    <w:p>
      <w:pPr>
        <w:pStyle w:val="9"/>
      </w:pPr>
    </w:p>
    <w:p>
      <w:pPr>
        <w:pStyle w:val="2"/>
      </w:pPr>
    </w:p>
    <w:p/>
    <w:p>
      <w:pPr>
        <w:pStyle w:val="9"/>
      </w:pPr>
    </w:p>
    <w:p>
      <w:pPr>
        <w:pStyle w:val="2"/>
      </w:pPr>
    </w:p>
    <w:p/>
    <w:p>
      <w:pPr>
        <w:pStyle w:val="9"/>
      </w:pPr>
    </w:p>
    <w:p>
      <w:pPr>
        <w:pStyle w:val="2"/>
      </w:pPr>
    </w:p>
    <w:p/>
    <w:p>
      <w:pPr>
        <w:pStyle w:val="9"/>
      </w:pPr>
    </w:p>
    <w:p>
      <w:pPr>
        <w:pStyle w:val="2"/>
      </w:pPr>
    </w:p>
    <w:p/>
    <w:p>
      <w:pPr>
        <w:pStyle w:val="9"/>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9"/>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三、基本支出，指保障机构正常运转、完成日常工作任务而发生的人员支出和公用支出。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pStyle w:val="15"/>
        <w:jc w:val="center"/>
        <w:rPr>
          <w:rFonts w:hint="eastAsia" w:ascii="仿宋_GB2312" w:hAnsi="仿宋_GB2312" w:eastAsia="仿宋_GB2312" w:cs="仿宋_GB2312"/>
          <w:sz w:val="32"/>
          <w:szCs w:val="32"/>
        </w:rPr>
      </w:pPr>
    </w:p>
    <w:p>
      <w:pPr>
        <w:pStyle w:val="2"/>
      </w:pPr>
    </w:p>
    <w:p/>
    <w:p>
      <w:pPr>
        <w:pStyle w:val="9"/>
      </w:pPr>
    </w:p>
    <w:p>
      <w:pPr>
        <w:pStyle w:val="2"/>
      </w:pPr>
    </w:p>
    <w:p/>
    <w:p>
      <w:pPr>
        <w:pStyle w:val="9"/>
      </w:pPr>
    </w:p>
    <w:p>
      <w:pPr>
        <w:pStyle w:val="2"/>
      </w:pPr>
    </w:p>
    <w:p/>
    <w:p>
      <w:pPr>
        <w:pStyle w:val="9"/>
      </w:pPr>
    </w:p>
    <w:p>
      <w:pPr>
        <w:pStyle w:val="2"/>
      </w:pPr>
    </w:p>
    <w:p/>
    <w:p>
      <w:pPr>
        <w:pStyle w:val="9"/>
      </w:pPr>
    </w:p>
    <w:p>
      <w:pPr>
        <w:pStyle w:val="2"/>
      </w:pPr>
    </w:p>
    <w:p/>
    <w:p>
      <w:pPr>
        <w:pStyle w:val="9"/>
      </w:pPr>
    </w:p>
    <w:p>
      <w:pPr>
        <w:pStyle w:val="2"/>
      </w:pPr>
    </w:p>
    <w:p/>
    <w:p>
      <w:pPr>
        <w:pStyle w:val="9"/>
      </w:pPr>
    </w:p>
    <w:p>
      <w:pPr>
        <w:pStyle w:val="2"/>
      </w:pPr>
    </w:p>
    <w:p/>
    <w:p/>
    <w:p>
      <w:pPr>
        <w:pStyle w:val="9"/>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5"/>
        <w:jc w:val="both"/>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pStyle w:val="2"/>
        <w:rPr>
          <w:rFonts w:hint="eastAsia"/>
        </w:rPr>
      </w:pPr>
    </w:p>
    <w:p>
      <w:pPr>
        <w:rPr>
          <w:rFonts w:hint="eastAsia"/>
        </w:rPr>
      </w:pPr>
    </w:p>
    <w:p>
      <w:pPr>
        <w:pStyle w:val="2"/>
        <w:rPr>
          <w:rFonts w:hint="eastAsia"/>
        </w:rPr>
      </w:pPr>
    </w:p>
    <w:p>
      <w:pPr>
        <w:rPr>
          <w:rFonts w:hint="eastAsia"/>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岳阳市房地产市场服务中心</w:t>
      </w:r>
    </w:p>
    <w:p>
      <w:pPr>
        <w:jc w:val="center"/>
        <w:rPr>
          <w:rFonts w:hint="eastAsia" w:ascii="方正小标宋简体" w:hAnsi="方正小标宋简体" w:eastAsia="方正小标宋简体" w:cs="方正小标宋简体"/>
          <w:sz w:val="44"/>
          <w:szCs w:val="44"/>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部门(单位)整体支出</w:t>
      </w:r>
    </w:p>
    <w:p>
      <w:pPr>
        <w:pStyle w:val="2"/>
        <w:rPr>
          <w:rFonts w:hint="eastAsia"/>
        </w:rPr>
      </w:pP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绩</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效</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自</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评</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报</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pacing w:val="-8"/>
          <w:sz w:val="44"/>
          <w:szCs w:val="44"/>
        </w:rPr>
        <w:t>告</w:t>
      </w: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lang w:val="en-US" w:eastAsia="zh-CN"/>
        </w:rPr>
        <w:t>岳阳市房地产市场服务中心</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2025</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5</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13</w:t>
      </w:r>
      <w:r>
        <w:rPr>
          <w:rFonts w:hint="default" w:ascii="Times New Roman" w:hAnsi="Times New Roman" w:eastAsia="楷体_GB2312" w:cs="Times New Roman"/>
          <w:sz w:val="32"/>
          <w:szCs w:val="32"/>
          <w:highlight w:val="none"/>
        </w:rPr>
        <w:t>日</w:t>
      </w:r>
    </w:p>
    <w:p>
      <w:pPr>
        <w:jc w:val="center"/>
        <w:rPr>
          <w:rFonts w:hint="eastAsia" w:ascii="方正小标宋简体" w:hAnsi="方正小标宋简体" w:eastAsia="方正小标宋简体" w:cs="方正小标宋简体"/>
          <w:sz w:val="44"/>
          <w:szCs w:val="44"/>
          <w:highlight w:val="none"/>
          <w:lang w:val="en-US" w:eastAsia="zh-CN"/>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岳阳市房地产市场服务中心</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部门(单位)整体支出绩效自评报告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1、负责有关房地产开发经营、法律、法规、政策宣传及相关业务事项咨询等工作；</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2、配合草拟我市房地产开发经营相关办法并参与实</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3、负责全市房地产开发企业资质申请的初审报批；</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4、负责市城区房地产开发企业信用信息日常管理，商品房预售许可申请的初审报批，房地产开发项目资本金储存解控等工作；</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5、负责市中心城区商品房预售款缴存使用，房地产开发经营市场纠纷调处和信访接待回复；</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6、协助做好房地产开发经营行业文明创建、行业统计、从业人员培训教育。</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2024年度财政拨款基本支出319.65万元，其中：人员经费304.99万元,</w:t>
      </w:r>
      <w:r>
        <w:rPr>
          <w:rFonts w:hint="eastAsia" w:ascii="仿宋" w:hAnsi="仿宋" w:eastAsia="仿宋" w:cs="仿宋"/>
          <w:color w:val="auto"/>
          <w:sz w:val="32"/>
          <w:szCs w:val="32"/>
          <w:highlight w:val="none"/>
        </w:rPr>
        <w:t>占基本支出的</w:t>
      </w:r>
      <w:r>
        <w:rPr>
          <w:rFonts w:hint="eastAsia" w:eastAsia="仿宋" w:cs="仿宋"/>
          <w:color w:val="auto"/>
          <w:sz w:val="32"/>
          <w:szCs w:val="32"/>
          <w:highlight w:val="none"/>
          <w:lang w:val="en-US" w:eastAsia="zh-CN"/>
        </w:rPr>
        <w:t>95.41</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,主要包括主要包括基本工资、津贴补贴、</w:t>
      </w:r>
      <w:r>
        <w:rPr>
          <w:rFonts w:hint="eastAsia" w:ascii="仿宋" w:hAnsi="仿宋" w:eastAsia="仿宋" w:cs="仿宋"/>
          <w:color w:val="auto"/>
          <w:sz w:val="32"/>
          <w:szCs w:val="32"/>
          <w:highlight w:val="non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cs="仿宋_GB2312"/>
          <w:kern w:val="0"/>
          <w:sz w:val="32"/>
          <w:szCs w:val="32"/>
          <w:lang w:val="en-US" w:eastAsia="zh-CN" w:bidi="ar-SA"/>
        </w:rPr>
        <w:t>。</w:t>
      </w:r>
    </w:p>
    <w:p>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Times New Roman" w:hAnsi="Times New Roman" w:eastAsia="楷体_GB2312" w:cs="Times New Roman"/>
          <w:b/>
          <w:sz w:val="32"/>
          <w:szCs w:val="32"/>
          <w:highlight w:val="none"/>
        </w:rPr>
      </w:pPr>
      <w:r>
        <w:rPr>
          <w:rFonts w:hint="eastAsia" w:ascii="仿宋" w:hAnsi="仿宋" w:eastAsia="仿宋" w:cs="仿宋"/>
          <w:color w:val="auto"/>
          <w:sz w:val="32"/>
          <w:szCs w:val="32"/>
          <w:highlight w:val="none"/>
          <w:lang w:val="zh-CN"/>
        </w:rPr>
        <w:t>公用经费</w:t>
      </w:r>
      <w:r>
        <w:rPr>
          <w:rFonts w:hint="eastAsia" w:ascii="仿宋" w:hAnsi="仿宋" w:eastAsia="仿宋" w:cs="仿宋"/>
          <w:color w:val="auto"/>
          <w:sz w:val="32"/>
          <w:szCs w:val="32"/>
          <w:highlight w:val="none"/>
          <w:lang w:val="en-US" w:eastAsia="zh-CN"/>
        </w:rPr>
        <w:t>14.65</w:t>
      </w:r>
      <w:r>
        <w:rPr>
          <w:rFonts w:hint="eastAsia" w:ascii="仿宋" w:hAnsi="仿宋" w:eastAsia="仿宋" w:cs="仿宋"/>
          <w:color w:val="auto"/>
          <w:sz w:val="32"/>
          <w:szCs w:val="32"/>
          <w:highlight w:val="none"/>
          <w:lang w:val="zh-CN"/>
        </w:rPr>
        <w:t>万元，占基本支出的</w:t>
      </w:r>
      <w:r>
        <w:rPr>
          <w:rFonts w:hint="eastAsia" w:ascii="仿宋" w:hAnsi="仿宋" w:eastAsia="仿宋" w:cs="仿宋"/>
          <w:color w:val="auto"/>
          <w:sz w:val="32"/>
          <w:szCs w:val="32"/>
          <w:highlight w:val="none"/>
          <w:lang w:val="en-US" w:eastAsia="zh-CN"/>
        </w:rPr>
        <w:t>4.59%</w:t>
      </w:r>
      <w:r>
        <w:rPr>
          <w:rFonts w:hint="eastAsia" w:ascii="仿宋" w:hAnsi="仿宋" w:eastAsia="仿宋" w:cs="仿宋"/>
          <w:color w:val="auto"/>
          <w:sz w:val="32"/>
          <w:szCs w:val="32"/>
          <w:highlight w:val="none"/>
          <w:lang w:val="zh-CN"/>
        </w:rPr>
        <w:t>，主要包括办公费、印刷费</w:t>
      </w:r>
      <w:r>
        <w:rPr>
          <w:rFonts w:hint="eastAsia" w:ascii="仿宋" w:hAnsi="仿宋" w:eastAsia="仿宋" w:cs="仿宋"/>
          <w:color w:val="auto"/>
          <w:sz w:val="32"/>
          <w:szCs w:val="32"/>
          <w:highlight w:val="none"/>
          <w:lang w:val="en-US" w:eastAsia="zh-CN"/>
        </w:rPr>
        <w:t>等。</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（二）项目支出情况</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1、项目资金收支情况分析</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2024年年初市财政共安排专项资金56万，其中：房地产开发事务管理经费36万元， 防范化解房地产项目风险工作经费20万元，主要用于房地产开发事务管理、 防范化解房地产项目风险工作经费等方面。</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2、专项资金实际使用情况分析</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2024年共支出专项资金112.34万，主要是房地产开发事务管理经费27.64万元； 防范化解房地产项目风险工作经费17.2万元；项目资本金67.51万等；严格落实“过紧日子”压缩一般性支出的要求，部分专项经费进行了部分压缩和指标冻结造成项目经费未执行完毕。</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3、专项资金管理情况分析</w:t>
      </w:r>
    </w:p>
    <w:p>
      <w:pPr>
        <w:numPr>
          <w:ilvl w:val="0"/>
          <w:numId w:val="0"/>
        </w:numPr>
        <w:spacing w:line="226" w:lineRule="auto"/>
        <w:ind w:firstLine="500" w:firstLineChars="0"/>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kern w:val="0"/>
          <w:sz w:val="32"/>
          <w:szCs w:val="32"/>
          <w:lang w:val="en-US" w:eastAsia="zh-CN" w:bidi="ar"/>
        </w:rPr>
        <w:t>专项资金实行综合预算，量入为出，专款专用，确保工作顺利开展。制定专项资金管理办法，规范专项资金使用；严格政府采购程序，做到按章办事，规范操作。</w:t>
      </w:r>
    </w:p>
    <w:p>
      <w:pPr>
        <w:keepNext w:val="0"/>
        <w:keepLines w:val="0"/>
        <w:pageBreakBefore w:val="0"/>
        <w:widowControl w:val="0"/>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keepNext w:val="0"/>
        <w:keepLines w:val="0"/>
        <w:pageBreakBefore w:val="0"/>
        <w:widowControl w:val="0"/>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仿宋_GB2312" w:hAnsi="仿宋_GB2312" w:eastAsia="仿宋_GB2312" w:cs="仿宋_GB2312"/>
          <w:kern w:val="0"/>
          <w:sz w:val="32"/>
          <w:szCs w:val="32"/>
          <w:lang w:val="en-US" w:eastAsia="zh-CN" w:bidi="ar-SA"/>
        </w:rPr>
        <w:t>本单位无政府性基金预算支出</w:t>
      </w:r>
    </w:p>
    <w:p>
      <w:pPr>
        <w:keepNext w:val="0"/>
        <w:keepLines w:val="0"/>
        <w:pageBreakBefore w:val="0"/>
        <w:widowControl w:val="0"/>
        <w:numPr>
          <w:ilvl w:val="0"/>
          <w:numId w:val="6"/>
        </w:numPr>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640" w:lineRule="exact"/>
        <w:ind w:leftChars="200"/>
        <w:jc w:val="both"/>
        <w:textAlignment w:val="baseline"/>
        <w:rPr>
          <w:rFonts w:hint="default" w:ascii="仿宋_GB2312" w:hAnsi="仿宋_GB2312" w:eastAsia="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本单位无国有资本经营预算支出</w:t>
      </w:r>
    </w:p>
    <w:p>
      <w:pPr>
        <w:keepNext w:val="0"/>
        <w:keepLines w:val="0"/>
        <w:pageBreakBefore w:val="0"/>
        <w:widowControl w:val="0"/>
        <w:numPr>
          <w:ilvl w:val="0"/>
          <w:numId w:val="6"/>
        </w:numPr>
        <w:kinsoku w:val="0"/>
        <w:wordWrap/>
        <w:overflowPunct/>
        <w:topLinePunct w:val="0"/>
        <w:autoSpaceDE w:val="0"/>
        <w:autoSpaceDN w:val="0"/>
        <w:bidi w:val="0"/>
        <w:adjustRightInd w:val="0"/>
        <w:snapToGrid w:val="0"/>
        <w:spacing w:line="640" w:lineRule="exact"/>
        <w:ind w:left="0" w:leftChars="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640" w:lineRule="exact"/>
        <w:ind w:leftChars="200"/>
        <w:jc w:val="both"/>
        <w:textAlignment w:val="baseline"/>
        <w:rPr>
          <w:rFonts w:hint="default" w:ascii="Times New Roman" w:hAnsi="Times New Roman" w:eastAsia="黑体" w:cs="Times New Roman"/>
          <w:sz w:val="32"/>
          <w:szCs w:val="32"/>
          <w:highlight w:val="none"/>
        </w:rPr>
      </w:pPr>
      <w:r>
        <w:rPr>
          <w:rFonts w:hint="default" w:ascii="仿宋_GB2312" w:hAnsi="仿宋_GB2312" w:eastAsia="仿宋_GB2312" w:cs="仿宋_GB2312"/>
          <w:kern w:val="0"/>
          <w:sz w:val="32"/>
          <w:szCs w:val="32"/>
          <w:lang w:val="en-US" w:eastAsia="zh-CN" w:bidi="ar-SA"/>
        </w:rPr>
        <w:t>本单位无社会保险基金预算支出</w:t>
      </w:r>
    </w:p>
    <w:p>
      <w:pPr>
        <w:keepNext w:val="0"/>
        <w:keepLines w:val="0"/>
        <w:pageBreakBefore w:val="0"/>
        <w:widowControl w:val="0"/>
        <w:numPr>
          <w:ilvl w:val="0"/>
          <w:numId w:val="6"/>
        </w:numPr>
        <w:kinsoku w:val="0"/>
        <w:wordWrap/>
        <w:overflowPunct/>
        <w:topLinePunct w:val="0"/>
        <w:autoSpaceDE w:val="0"/>
        <w:autoSpaceDN w:val="0"/>
        <w:bidi w:val="0"/>
        <w:adjustRightInd w:val="0"/>
        <w:snapToGrid w:val="0"/>
        <w:spacing w:line="640" w:lineRule="exact"/>
        <w:ind w:left="0" w:leftChars="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部门整体支出绩效情况</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2024年，我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预算控制率93.22%，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w:t>
      </w:r>
      <w:r>
        <w:rPr>
          <w:rFonts w:hint="eastAsia" w:ascii="仿宋_GB2312" w:hAnsi="仿宋_GB2312" w:eastAsia="仿宋_GB2312" w:cs="仿宋_GB2312"/>
          <w:color w:val="auto"/>
          <w:sz w:val="32"/>
          <w:szCs w:val="32"/>
          <w:lang w:val="en-US" w:eastAsia="zh-CN"/>
        </w:rPr>
        <w:t>坚持“房住不炒”定位，聚焦“保交楼、稳市场、强监管、优服务”四大目标</w:t>
      </w:r>
      <w:r>
        <w:rPr>
          <w:rFonts w:hint="eastAsia" w:ascii="仿宋_GB2312" w:hAnsi="仿宋_GB2312" w:eastAsia="仿宋_GB2312" w:cs="仿宋_GB2312"/>
          <w:color w:val="auto"/>
          <w:kern w:val="2"/>
          <w:sz w:val="32"/>
          <w:szCs w:val="32"/>
          <w:lang w:val="en-US" w:eastAsia="zh-CN" w:bidi="ar-SA"/>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highlight w:val="none"/>
          <w:lang w:val="en-US" w:eastAsia="zh-CN"/>
        </w:rPr>
        <w:t>无</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pStyle w:val="2"/>
        <w:rPr>
          <w:rFonts w:hint="eastAsia"/>
        </w:rPr>
      </w:pPr>
    </w:p>
    <w:p>
      <w:pPr>
        <w:spacing w:after="0" w:afterLines="0" w:line="500" w:lineRule="exact"/>
        <w:ind w:firstLine="320" w:firstLineChars="100"/>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0" w:afterLines="0" w:line="240" w:lineRule="auto"/>
        <w:ind w:firstLine="320" w:firstLineChars="100"/>
        <w:jc w:val="left"/>
        <w:rPr>
          <w:rFonts w:hint="eastAsia" w:ascii="黑体" w:hAnsi="黑体" w:eastAsia="黑体" w:cs="黑体"/>
          <w:sz w:val="32"/>
          <w:szCs w:val="32"/>
          <w:highlight w:val="none"/>
          <w:lang w:val="en-US" w:eastAsia="zh-CN"/>
        </w:rPr>
      </w:pP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1"/>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21</w:t>
            </w:r>
          </w:p>
        </w:tc>
        <w:tc>
          <w:tcPr>
            <w:tcW w:w="2240"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21</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100.00%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76.97</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rPr>
            </w:pPr>
            <w:r>
              <w:rPr>
                <w:rFonts w:hint="eastAsia" w:ascii="宋体" w:hAnsi="宋体" w:cs="宋体"/>
                <w:i w:val="0"/>
                <w:iCs w:val="0"/>
                <w:color w:val="000000"/>
                <w:kern w:val="0"/>
                <w:sz w:val="18"/>
                <w:szCs w:val="18"/>
                <w:u w:val="none"/>
                <w:lang w:val="en-US" w:eastAsia="zh-CN" w:bidi="ar"/>
              </w:rPr>
              <w:t>147.51</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112.34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kern w:val="2"/>
                <w:sz w:val="20"/>
                <w:szCs w:val="20"/>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76.97</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kern w:val="2"/>
                <w:sz w:val="20"/>
                <w:szCs w:val="20"/>
                <w:highlight w:val="none"/>
                <w:lang w:val="en-US" w:eastAsia="zh-CN" w:bidi="ar-SA"/>
              </w:rPr>
            </w:pPr>
            <w:r>
              <w:rPr>
                <w:rFonts w:hint="eastAsia" w:ascii="宋体" w:hAnsi="宋体" w:cs="宋体"/>
                <w:i w:val="0"/>
                <w:iCs w:val="0"/>
                <w:color w:val="000000"/>
                <w:kern w:val="0"/>
                <w:sz w:val="18"/>
                <w:szCs w:val="18"/>
                <w:u w:val="none"/>
                <w:lang w:val="en-US" w:eastAsia="zh-CN" w:bidi="ar"/>
              </w:rPr>
              <w:t>147.51</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kern w:val="2"/>
                <w:sz w:val="20"/>
                <w:szCs w:val="20"/>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112.34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房产开发事务管理经费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16.49</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36</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仿宋_GB2312" w:hAnsi="仿宋_GB2312" w:eastAsia="仿宋_GB2312" w:cs="仿宋_GB2312"/>
                <w:color w:val="000000"/>
                <w:sz w:val="20"/>
                <w:szCs w:val="20"/>
                <w:highlight w:val="none"/>
                <w:lang w:val="en-US" w:eastAsia="zh-CN"/>
              </w:rPr>
              <w:t>27.64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项目资本金</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60.48</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91.51</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rPr>
            </w:pPr>
            <w:r>
              <w:rPr>
                <w:rFonts w:hint="eastAsia" w:ascii="宋体" w:hAnsi="宋体" w:cs="宋体"/>
                <w:i w:val="0"/>
                <w:iCs w:val="0"/>
                <w:color w:val="000000"/>
                <w:kern w:val="0"/>
                <w:sz w:val="18"/>
                <w:szCs w:val="18"/>
                <w:u w:val="none"/>
                <w:lang w:val="en-US" w:eastAsia="zh-CN" w:bidi="ar"/>
              </w:rPr>
              <w:t>67.5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highlight w:val="none"/>
              </w:rPr>
              <w:t>防范化解房地产项目风险工作经费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仿宋_GB2312" w:hAnsi="仿宋_GB2312" w:eastAsia="仿宋_GB2312" w:cs="仿宋_GB2312"/>
                <w:color w:val="000000"/>
                <w:sz w:val="20"/>
                <w:szCs w:val="20"/>
                <w:highlight w:val="none"/>
                <w:lang w:val="en-US" w:eastAsia="zh-CN"/>
              </w:rPr>
              <w:t>17.2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105.37</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24.29</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24.29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101.08</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23.29</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23.29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3.08</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1</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szCs w:val="20"/>
                <w:highlight w:val="none"/>
              </w:rPr>
            </w:pPr>
            <w:r>
              <w:rPr>
                <w:rFonts w:hint="eastAsia" w:ascii="宋体" w:hAnsi="宋体" w:eastAsia="宋体" w:cs="宋体"/>
                <w:i w:val="0"/>
                <w:iCs w:val="0"/>
                <w:color w:val="000000"/>
                <w:kern w:val="0"/>
                <w:sz w:val="18"/>
                <w:szCs w:val="18"/>
                <w:u w:val="none"/>
                <w:lang w:val="en-US" w:eastAsia="zh-CN" w:bidi="ar"/>
              </w:rPr>
              <w:t>1.21</w:t>
            </w:r>
          </w:p>
        </w:tc>
        <w:tc>
          <w:tcPr>
            <w:tcW w:w="2240" w:type="dxa"/>
            <w:gridSpan w:val="2"/>
            <w:tcBorders>
              <w:top w:val="single" w:color="auto" w:sz="4" w:space="0"/>
              <w:left w:val="nil"/>
              <w:bottom w:val="single" w:color="auto" w:sz="4" w:space="0"/>
              <w:right w:val="single" w:color="000000" w:sz="4" w:space="0"/>
            </w:tcBorders>
            <w:noWrap w:val="0"/>
            <w:vAlign w:val="center"/>
          </w:tcPr>
          <w:p>
            <w:pPr>
              <w:jc w:val="center"/>
              <w:rPr>
                <w:rFonts w:hint="eastAsia" w:ascii="仿宋_GB2312" w:hAnsi="仿宋_GB2312" w:eastAsia="仿宋_GB2312" w:cs="仿宋_GB2312"/>
                <w:color w:val="FF0000"/>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jc w:val="center"/>
              <w:rPr>
                <w:rFonts w:hint="eastAsia" w:ascii="仿宋_GB2312" w:hAnsi="仿宋_GB2312" w:eastAsia="仿宋_GB2312" w:cs="仿宋_GB2312"/>
                <w:color w:val="FF0000"/>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14.92</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39.41</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39.41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366.72</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463.43</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18"/>
                <w:szCs w:val="18"/>
                <w:u w:val="none"/>
                <w:lang w:val="en-US" w:eastAsia="zh-CN" w:bidi="ar"/>
              </w:rPr>
              <w:t>431.99</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4</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ind w:left="660" w:hanging="660" w:hangingChars="300"/>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0" w:afterLines="0" w:line="400" w:lineRule="exact"/>
        <w:jc w:val="left"/>
        <w:rPr>
          <w:rFonts w:hint="eastAsia" w:ascii="黑体" w:hAnsi="黑体" w:eastAsia="黑体" w:cs="黑体"/>
          <w:sz w:val="32"/>
          <w:szCs w:val="32"/>
          <w:highlight w:val="none"/>
          <w:lang w:val="en-US" w:eastAsia="zh-CN"/>
        </w:rPr>
      </w:pP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1"/>
        <w:tblW w:w="10079" w:type="dxa"/>
        <w:jc w:val="center"/>
        <w:tblLayout w:type="fixed"/>
        <w:tblCellMar>
          <w:top w:w="0" w:type="dxa"/>
          <w:left w:w="108" w:type="dxa"/>
          <w:bottom w:w="0" w:type="dxa"/>
          <w:right w:w="108" w:type="dxa"/>
        </w:tblCellMar>
      </w:tblPr>
      <w:tblGrid>
        <w:gridCol w:w="1080"/>
        <w:gridCol w:w="1080"/>
        <w:gridCol w:w="1034"/>
        <w:gridCol w:w="1629"/>
        <w:gridCol w:w="952"/>
        <w:gridCol w:w="1269"/>
        <w:gridCol w:w="1019"/>
        <w:gridCol w:w="570"/>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岳阳市房地产市场服务中心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62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952"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101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5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62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322.56</w:t>
            </w:r>
          </w:p>
        </w:tc>
        <w:tc>
          <w:tcPr>
            <w:tcW w:w="95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463.43</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431.99</w:t>
            </w:r>
          </w:p>
        </w:tc>
        <w:tc>
          <w:tcPr>
            <w:tcW w:w="101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57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93.21%</w:t>
            </w:r>
          </w:p>
        </w:tc>
        <w:tc>
          <w:tcPr>
            <w:tcW w:w="144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18"/>
                <w:szCs w:val="18"/>
                <w:u w:val="none"/>
                <w:lang w:val="en-US" w:eastAsia="zh-CN" w:bidi="ar"/>
              </w:rPr>
              <w:t>9.32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463.35</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319.65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0.00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112.34</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0.00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0.07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房地产市场的健康、可持续发展。完成房地产企业统计数据督报、催报工作，协税互税工作和房地产开发企业资质、商品房预售许可初审、报批限时办结工作；严格做好商品房预售资金监管工作；保持房地产市场平稳健康发展；支持刚性和改善性住房需求，稳定房地产市场；针对房地产开发企业生产经营情况，开展双随机一抽查工作；为从业人员提供相关培训和教育，提高从业人员的专业素养；建立防范化解房地产“办证难”的长效机制，为登记部门实现“交房即交证”提供保障，化解房地产办证信访突出问题，化解房地产办证遗留问题。防范化解房地产项目风险。</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完成</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952"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5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产出指标</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(50分)</w:t>
            </w: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数量指标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完成上级交办保交楼稳民生工作</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化解房地产办证信访突出问题</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房地产办证及时率以及开发企业资质、商品房预售许可初审、报批限时办结</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质量指标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时效指标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成本指标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在当年度内完成</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2024/12/31日之前</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效益指标</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（30分）</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　</w:t>
            </w: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经济效</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益指标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积极协税护税，确保房地产税收及时足额入库</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30000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社会效</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益指标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建立防范和化解房地产“办证难”的长效机制，为登记部门实现“交房及交证”提供保障</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有效保障</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在2024年底，市中心城区范围内基本化解房地产办证遗留问题。</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有效保障</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在2024年12月底前完成保交楼目标任务</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有效保障</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生态效</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益指标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可持续影响指标</w:t>
            </w:r>
          </w:p>
        </w:tc>
        <w:tc>
          <w:tcPr>
            <w:tcW w:w="16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为GDP指标合理、科学增长提供必然帮助和贡献。</w:t>
            </w:r>
          </w:p>
        </w:tc>
        <w:tc>
          <w:tcPr>
            <w:tcW w:w="9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有效保障</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满意度</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指标</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（10分）</w:t>
            </w:r>
          </w:p>
        </w:tc>
        <w:tc>
          <w:tcPr>
            <w:tcW w:w="1034" w:type="dxa"/>
            <w:vMerge w:val="restart"/>
            <w:tcBorders>
              <w:top w:val="nil"/>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服务对象满意度指标</w:t>
            </w: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开发企业资质申报的初审、报批</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商品房预售管理</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80"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p>
        </w:tc>
        <w:tc>
          <w:tcPr>
            <w:tcW w:w="16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信访调处</w:t>
            </w:r>
          </w:p>
        </w:tc>
        <w:tc>
          <w:tcPr>
            <w:tcW w:w="95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未达指标值酌情扣分</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5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黑体" w:hAnsi="黑体" w:eastAsia="黑体" w:cs="黑体"/>
          <w:sz w:val="32"/>
          <w:szCs w:val="32"/>
          <w:highlight w:val="none"/>
          <w:lang w:val="en-US" w:eastAsia="zh-CN"/>
        </w:rPr>
      </w:pP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1"/>
        <w:tblW w:w="9851" w:type="dxa"/>
        <w:jc w:val="center"/>
        <w:tblLayout w:type="fixed"/>
        <w:tblCellMar>
          <w:top w:w="0" w:type="dxa"/>
          <w:left w:w="108" w:type="dxa"/>
          <w:bottom w:w="0" w:type="dxa"/>
          <w:right w:w="108" w:type="dxa"/>
        </w:tblCellMar>
      </w:tblPr>
      <w:tblGrid>
        <w:gridCol w:w="1076"/>
        <w:gridCol w:w="1076"/>
        <w:gridCol w:w="1074"/>
        <w:gridCol w:w="1445"/>
        <w:gridCol w:w="903"/>
        <w:gridCol w:w="1130"/>
        <w:gridCol w:w="825"/>
        <w:gridCol w:w="667"/>
        <w:gridCol w:w="1655"/>
      </w:tblGrid>
      <w:tr>
        <w:tblPrEx>
          <w:tblCellMar>
            <w:top w:w="0" w:type="dxa"/>
            <w:left w:w="108" w:type="dxa"/>
            <w:bottom w:w="0" w:type="dxa"/>
            <w:right w:w="108" w:type="dxa"/>
          </w:tblCellMar>
        </w:tblPrEx>
        <w:trPr>
          <w:jc w:val="center"/>
        </w:trPr>
        <w:tc>
          <w:tcPr>
            <w:tcW w:w="10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房产开发事务管理经费</w:t>
            </w:r>
          </w:p>
        </w:tc>
      </w:tr>
      <w:tr>
        <w:tblPrEx>
          <w:tblCellMar>
            <w:top w:w="0" w:type="dxa"/>
            <w:left w:w="108" w:type="dxa"/>
            <w:bottom w:w="0" w:type="dxa"/>
            <w:right w:w="108" w:type="dxa"/>
          </w:tblCellMar>
        </w:tblPrEx>
        <w:trPr>
          <w:jc w:val="center"/>
        </w:trPr>
        <w:tc>
          <w:tcPr>
            <w:tcW w:w="107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49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岳阳市住房和城乡建设局</w:t>
            </w:r>
          </w:p>
        </w:tc>
        <w:tc>
          <w:tcPr>
            <w:tcW w:w="113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4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岳阳市房地产市场服务中心</w:t>
            </w: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执行数</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执行率</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27.64</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76.00%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7.60</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27.64</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49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7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49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立防范化解房地产“办证难”的长效机制，为登记部门实现“交房即交证”提供保障，化解房地产办证信访突出问题，在2024年底市中心城区范围内基本化解房地产办证遗留问题；完成房地产企业统计数据督报、催报工作，协税互税工作和房地产开发企业资质、商品房预售许可初审、报批限时办结工作；房地产市场方面，新建商品住房的去化周期稳定在12-18个月之间，非住宅去化周期稳定在20-36个月之间；按照要求严格做好商品房预售资金监管工作；保持房地产市场平稳健康发展，确保新建商品住房价格环比增长排名保持在70个大众城市中不靠前；支持刚性和改善性住房需求，稳定房地产市场；针对房地产开发企业生产经营情况，开展双随机一抽查。</w:t>
            </w:r>
          </w:p>
        </w:tc>
        <w:tc>
          <w:tcPr>
            <w:tcW w:w="427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w:t>
            </w: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7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7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化解房地产办证信访突出问题</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化解房地产办证信访突出问题</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房地产企业资质的受理、预售许可率 </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房地产企业资质的受理、预售许可率 </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房地产企业统计数据催报工作</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房地产企业统计数据催报工作</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房地产开发企业资质、商品房预售许可初审、报批限时办结</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房地产开发企业资质、商品房预售许可初审、报批限时办结</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66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当年完成</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2024年12月31日前</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当年完成</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66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经济成本指标</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在预算内执行</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不超预算</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10.00</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社会成本指标</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维护市场稳定</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提升</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10.00</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生态环境成本指标</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完成房地产投资</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同比增长5-8%</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完成房地产投资</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完成商品房销售面积</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同比增长3-5%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完成商品房销售面积</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积极协税、护税，确保房地产税收及时足额入库</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积极协税、护税，确保房地产税收及时足额入库</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房地产监督项目管理</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房地产监督项目管理</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完成房地产企业统计数据督报、催报工作，协税互税工作和房地产开发企业资质、商品房预售许可受理初审、报批限时办结工作；</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完成房地产企业统计数据督报、催报工作，协税互税工作和房地产开发企业资质、商品房预售许可受理初审、报批限时办结工作；</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建立防范化解房地产“办证难”的长效机制，为登记部门实现“交房即交证”提供保障，化解房地产办证信访突出问题10个，在2024年底市中心城区范围内基本化解房地产办证遗留问题</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建立防范化解房地产“办证难”的长效机制，为登记部门实现“交房即交证”提供保障，化解房地产办证信访突出问题10个，在2024年底市中心城区范围内基本化解房地产办证遗留问题</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针对房地产开发企业生产经营情况，开展双随机一抽查工作</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针对房地产开发企业生产经营情况，开展双随机一抽查工作</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支持刚性和改善性住房需求，稳定房地产市场</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支持刚性和改善性住房需求，稳定房地产市场</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商品房预售资金管理</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商品房预售资金管理</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66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667"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b/>
                <w:bCs/>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非住宅去化同期</w:t>
            </w:r>
          </w:p>
        </w:tc>
        <w:tc>
          <w:tcPr>
            <w:tcW w:w="9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稳定在20-36个月之间</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6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5.00</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非住宅去化同期</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房地产市场方面，新建商品住房的去化同期</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稳定在12-18个月之间</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房地产市场方面，新建商品住房的去化同期</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商品房预售管理</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商品房预售管理</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开发企业资质申报的初审、报批</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开发企业资质申报的初审、报批</w:t>
            </w:r>
          </w:p>
        </w:tc>
      </w:tr>
      <w:tr>
        <w:tblPrEx>
          <w:tblCellMar>
            <w:top w:w="0" w:type="dxa"/>
            <w:left w:w="108" w:type="dxa"/>
            <w:bottom w:w="0" w:type="dxa"/>
            <w:right w:w="108" w:type="dxa"/>
          </w:tblCellMar>
        </w:tblPrEx>
        <w:trPr>
          <w:jc w:val="center"/>
        </w:trPr>
        <w:tc>
          <w:tcPr>
            <w:tcW w:w="107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房地产信访量回复、满意度</w:t>
            </w:r>
          </w:p>
        </w:tc>
        <w:tc>
          <w:tcPr>
            <w:tcW w:w="9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房地产信访量回复、满意度</w:t>
            </w:r>
          </w:p>
        </w:tc>
      </w:tr>
      <w:tr>
        <w:tblPrEx>
          <w:tblCellMar>
            <w:top w:w="0" w:type="dxa"/>
            <w:left w:w="108" w:type="dxa"/>
            <w:bottom w:w="0" w:type="dxa"/>
            <w:right w:w="108" w:type="dxa"/>
          </w:tblCellMar>
        </w:tblPrEx>
        <w:trPr>
          <w:jc w:val="center"/>
        </w:trPr>
        <w:tc>
          <w:tcPr>
            <w:tcW w:w="6704"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18"/>
          <w:szCs w:val="18"/>
          <w:highlight w:val="none"/>
          <w:lang w:eastAsia="zh-CN"/>
        </w:rPr>
      </w:pPr>
    </w:p>
    <w:p>
      <w:pPr>
        <w:widowControl/>
        <w:spacing w:line="6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黑体" w:hAnsi="黑体" w:eastAsia="黑体" w:cs="黑体"/>
          <w:sz w:val="32"/>
          <w:szCs w:val="32"/>
          <w:highlight w:val="none"/>
          <w:lang w:val="en-US" w:eastAsia="zh-CN"/>
        </w:rPr>
      </w:pP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1"/>
        <w:tblW w:w="9851" w:type="dxa"/>
        <w:jc w:val="center"/>
        <w:tblLayout w:type="fixed"/>
        <w:tblCellMar>
          <w:top w:w="0" w:type="dxa"/>
          <w:left w:w="108" w:type="dxa"/>
          <w:bottom w:w="0" w:type="dxa"/>
          <w:right w:w="108" w:type="dxa"/>
        </w:tblCellMar>
      </w:tblPr>
      <w:tblGrid>
        <w:gridCol w:w="1076"/>
        <w:gridCol w:w="1076"/>
        <w:gridCol w:w="1074"/>
        <w:gridCol w:w="1460"/>
        <w:gridCol w:w="887"/>
        <w:gridCol w:w="1130"/>
        <w:gridCol w:w="825"/>
        <w:gridCol w:w="668"/>
        <w:gridCol w:w="1655"/>
      </w:tblGrid>
      <w:tr>
        <w:tblPrEx>
          <w:tblCellMar>
            <w:top w:w="0" w:type="dxa"/>
            <w:left w:w="108" w:type="dxa"/>
            <w:bottom w:w="0" w:type="dxa"/>
            <w:right w:w="108" w:type="dxa"/>
          </w:tblCellMar>
        </w:tblPrEx>
        <w:trPr>
          <w:jc w:val="center"/>
        </w:trPr>
        <w:tc>
          <w:tcPr>
            <w:tcW w:w="10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防范化解房地产项目风险工作经费</w:t>
            </w:r>
          </w:p>
        </w:tc>
      </w:tr>
      <w:tr>
        <w:tblPrEx>
          <w:tblCellMar>
            <w:top w:w="0" w:type="dxa"/>
            <w:left w:w="108" w:type="dxa"/>
            <w:bottom w:w="0" w:type="dxa"/>
            <w:right w:w="108" w:type="dxa"/>
          </w:tblCellMar>
        </w:tblPrEx>
        <w:trPr>
          <w:jc w:val="center"/>
        </w:trPr>
        <w:tc>
          <w:tcPr>
            <w:tcW w:w="107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49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岳阳市住房和城乡建设局</w:t>
            </w:r>
          </w:p>
        </w:tc>
        <w:tc>
          <w:tcPr>
            <w:tcW w:w="113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4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岳阳市房地产市场服务中心</w:t>
            </w: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17.2</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86.00%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8.60</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17.2</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5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497"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7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497"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确保市本级不发生新的已售逾期的难交付风险项目；做好应在2024年交付的市本级项目包括但不限于恒大、融创、友阿、碧桂园等如期按质交付，交付套数约5000套；按照《专项借款资金管理办法》的要求，做好专项借款和配套融资的借、用、管、还、追工作，并依据省厅文件指示，做好专项借款资金的调拨管理和启动资金追缴和资产处置工作，确保完结销号项目不再次出现资金短缺的问题。做好风险防范工作，及时处理信访问题，确保信访问题的满意率达95%以上，办结、处理回复率达到100%。</w:t>
            </w:r>
          </w:p>
        </w:tc>
        <w:tc>
          <w:tcPr>
            <w:tcW w:w="427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完成</w:t>
            </w:r>
          </w:p>
        </w:tc>
      </w:tr>
      <w:tr>
        <w:tblPrEx>
          <w:tblCellMar>
            <w:top w:w="0" w:type="dxa"/>
            <w:left w:w="108" w:type="dxa"/>
            <w:bottom w:w="0" w:type="dxa"/>
            <w:right w:w="108" w:type="dxa"/>
          </w:tblCellMar>
        </w:tblPrEx>
        <w:trPr>
          <w:jc w:val="center"/>
        </w:trPr>
        <w:tc>
          <w:tcPr>
            <w:tcW w:w="107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7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7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做好应在2024年交付的市本级项目包括但不限于恒大、融创、友阿、碧桂园等如期按质交付</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5000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做好应在2024年交付的市本级项目包括但不限于恒大、融创、友阿、碧桂园等如期按质交付</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房地产信访办结、处理回复率</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房地产信访办结、处理回复率</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做好风险防范工作，及时处理信访问题，房地产信访量回复、满意度</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做好风险防范工作，及时处理信访问题，房地产信访量回复、满意度</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交付后，帮助购房人办理不动产登记</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交付后，帮助购房人办理不动产登记</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当年完成</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2024年12月31日前</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当年完成</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经济成本指标</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不超预算</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在预算范围内</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10.00</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社会成本指标</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维护社会稳定</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进一步提升</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10.00</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生态环境成本指标</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做好专项借款和配套融资的借、用、管、还、追工作，并依据省厅文件指示，做好专项借款资金的调拨管理和启动资金追缴和资产处置工作，确保完结销号项目不再次出现资金短缺的问题</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做好专项借款和配套融资的借、用、管、还、追工作，并依据省厅文件指示，做好专项借款资金的调拨管理和启动资金追缴和资产处置工作，确保完结销号项目不再次出现资金短缺的问题</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 xml:space="preserve">确保市本级不发生新的已售逾期的难交付风险项目 </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 xml:space="preserve">确保市本级不发生新的已售逾期的难交付风险项目 </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协调恒大、融创等保交楼的企业处置资产偿还政策性专项借款及配套融资</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协调恒大、融创等保交楼的企业处置资产偿还政策性专项借款及配套融资</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为GDP指标合理、科学增长提供必然帮助和贡献</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为GDP指标合理、科学增长提供必然帮助和贡献</w:t>
            </w:r>
          </w:p>
        </w:tc>
      </w:tr>
      <w:tr>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7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业主满意度</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完成</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10.00</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业主满意度</w:t>
            </w:r>
          </w:p>
        </w:tc>
      </w:tr>
      <w:tr>
        <w:tblPrEx>
          <w:tblCellMar>
            <w:top w:w="0" w:type="dxa"/>
            <w:left w:w="108" w:type="dxa"/>
            <w:bottom w:w="0" w:type="dxa"/>
            <w:right w:w="108" w:type="dxa"/>
          </w:tblCellMar>
        </w:tblPrEx>
        <w:trPr>
          <w:jc w:val="center"/>
        </w:trPr>
        <w:tc>
          <w:tcPr>
            <w:tcW w:w="107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6"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r>
      <w:tr>
        <w:tblPrEx>
          <w:tblCellMar>
            <w:top w:w="0" w:type="dxa"/>
            <w:left w:w="108" w:type="dxa"/>
            <w:bottom w:w="0" w:type="dxa"/>
            <w:right w:w="108" w:type="dxa"/>
          </w:tblCellMar>
        </w:tblPrEx>
        <w:trPr>
          <w:jc w:val="center"/>
        </w:trPr>
        <w:tc>
          <w:tcPr>
            <w:tcW w:w="6703"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18"/>
          <w:szCs w:val="18"/>
          <w:highlight w:val="none"/>
          <w:lang w:eastAsia="zh-CN"/>
        </w:rPr>
      </w:pPr>
    </w:p>
    <w:p>
      <w:pPr>
        <w:pStyle w:val="4"/>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E7F0B"/>
    <w:multiLevelType w:val="singleLevel"/>
    <w:tmpl w:val="814E7F0B"/>
    <w:lvl w:ilvl="0" w:tentative="0">
      <w:start w:val="1"/>
      <w:numFmt w:val="chineseCounting"/>
      <w:suff w:val="nothing"/>
      <w:lvlText w:val="%1、"/>
      <w:lvlJc w:val="left"/>
      <w:rPr>
        <w:rFonts w:hint="eastAsia"/>
      </w:rPr>
    </w:lvl>
  </w:abstractNum>
  <w:abstractNum w:abstractNumId="1">
    <w:nsid w:val="8EDECFD4"/>
    <w:multiLevelType w:val="singleLevel"/>
    <w:tmpl w:val="8EDECFD4"/>
    <w:lvl w:ilvl="0" w:tentative="0">
      <w:start w:val="3"/>
      <w:numFmt w:val="chineseCounting"/>
      <w:suff w:val="nothing"/>
      <w:lvlText w:val="（%1）"/>
      <w:lvlJc w:val="left"/>
      <w:rPr>
        <w:rFonts w:hint="eastAsia"/>
      </w:rPr>
    </w:lvl>
  </w:abstractNum>
  <w:abstractNum w:abstractNumId="2">
    <w:nsid w:val="C6515498"/>
    <w:multiLevelType w:val="singleLevel"/>
    <w:tmpl w:val="C6515498"/>
    <w:lvl w:ilvl="0" w:tentative="0">
      <w:start w:val="4"/>
      <w:numFmt w:val="chineseCounting"/>
      <w:suff w:val="nothing"/>
      <w:lvlText w:val="%1、"/>
      <w:lvlJc w:val="left"/>
      <w:rPr>
        <w:rFonts w:hint="eastAsia"/>
      </w:rPr>
    </w:lvl>
  </w:abstractNum>
  <w:abstractNum w:abstractNumId="3">
    <w:nsid w:val="E3CBC331"/>
    <w:multiLevelType w:val="singleLevel"/>
    <w:tmpl w:val="E3CBC331"/>
    <w:lvl w:ilvl="0" w:tentative="0">
      <w:start w:val="3"/>
      <w:numFmt w:val="decimal"/>
      <w:lvlText w:val="%1."/>
      <w:lvlJc w:val="left"/>
      <w:pPr>
        <w:tabs>
          <w:tab w:val="left" w:pos="312"/>
        </w:tabs>
      </w:p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8FC5530"/>
    <w:multiLevelType w:val="singleLevel"/>
    <w:tmpl w:val="58FC5530"/>
    <w:lvl w:ilvl="0" w:tentative="0">
      <w:start w:val="2"/>
      <w:numFmt w:val="decimal"/>
      <w:suff w:val="nothing"/>
      <w:lvlText w:val="%1、"/>
      <w:lvlJc w:val="left"/>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I3Y2NiYTgyNWM4NTNlZGM1NDYwYTU3M2ZjYT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654211"/>
    <w:rsid w:val="06C857E7"/>
    <w:rsid w:val="08C24A73"/>
    <w:rsid w:val="08D87341"/>
    <w:rsid w:val="11944E2C"/>
    <w:rsid w:val="12583BA5"/>
    <w:rsid w:val="13BA5B9C"/>
    <w:rsid w:val="1A483A68"/>
    <w:rsid w:val="1D97DEFF"/>
    <w:rsid w:val="1DFF72E5"/>
    <w:rsid w:val="1EB74F38"/>
    <w:rsid w:val="1EC05BBA"/>
    <w:rsid w:val="1EFC6F07"/>
    <w:rsid w:val="1F0527A6"/>
    <w:rsid w:val="1FC071D5"/>
    <w:rsid w:val="20621A95"/>
    <w:rsid w:val="22AC03C2"/>
    <w:rsid w:val="283B15FE"/>
    <w:rsid w:val="2FDF85B8"/>
    <w:rsid w:val="2FFFEE04"/>
    <w:rsid w:val="31C95635"/>
    <w:rsid w:val="32E4458C"/>
    <w:rsid w:val="34DF85B0"/>
    <w:rsid w:val="3B8F36BC"/>
    <w:rsid w:val="43EB5BA5"/>
    <w:rsid w:val="491FF225"/>
    <w:rsid w:val="4EC310A1"/>
    <w:rsid w:val="4FFD214C"/>
    <w:rsid w:val="5352765A"/>
    <w:rsid w:val="5777D4F5"/>
    <w:rsid w:val="57F22B6F"/>
    <w:rsid w:val="59DD8326"/>
    <w:rsid w:val="5DEF592A"/>
    <w:rsid w:val="5FC6BB1E"/>
    <w:rsid w:val="5FF720F1"/>
    <w:rsid w:val="622964C1"/>
    <w:rsid w:val="67FF5C0B"/>
    <w:rsid w:val="6BAA4A2F"/>
    <w:rsid w:val="6DDEC5C0"/>
    <w:rsid w:val="6EFC0924"/>
    <w:rsid w:val="6FB74722"/>
    <w:rsid w:val="6FEF8B7E"/>
    <w:rsid w:val="717FE77F"/>
    <w:rsid w:val="71A6591B"/>
    <w:rsid w:val="737D59BA"/>
    <w:rsid w:val="737F32B1"/>
    <w:rsid w:val="73BD3FCA"/>
    <w:rsid w:val="776BDA01"/>
    <w:rsid w:val="77C37683"/>
    <w:rsid w:val="79FF515B"/>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nhideWhenUsed="0" w:uiPriority="0"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2"/>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w:basedOn w:val="1"/>
    <w:next w:val="5"/>
    <w:qFormat/>
    <w:uiPriority w:val="0"/>
    <w:pPr>
      <w:spacing w:before="100" w:beforeLines="0" w:beforeAutospacing="1"/>
    </w:pPr>
    <w:rPr>
      <w:rFonts w:ascii="Calibri" w:hAnsi="Calibri"/>
      <w:szCs w:val="21"/>
    </w:rPr>
  </w:style>
  <w:style w:type="paragraph" w:styleId="5">
    <w:name w:val="index 7"/>
    <w:basedOn w:val="1"/>
    <w:next w:val="1"/>
    <w:semiHidden/>
    <w:qFormat/>
    <w:uiPriority w:val="0"/>
    <w:pPr>
      <w:ind w:left="1200" w:leftChars="1200"/>
    </w:p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next w:val="2"/>
    <w:semiHidden/>
    <w:qFormat/>
    <w:uiPriority w:val="0"/>
    <w:pPr>
      <w:snapToGrid w:val="0"/>
      <w:jc w:val="left"/>
    </w:pPr>
    <w:rPr>
      <w:sz w:val="18"/>
      <w:szCs w:val="18"/>
    </w:rPr>
  </w:style>
  <w:style w:type="paragraph" w:styleId="10">
    <w:name w:val="Normal (Web)"/>
    <w:basedOn w:val="1"/>
    <w:qFormat/>
    <w:uiPriority w:val="0"/>
    <w:pPr>
      <w:widowControl/>
      <w:jc w:val="left"/>
    </w:pPr>
    <w:rPr>
      <w:rFonts w:ascii="宋体" w:hAnsi="宋体" w:cs="宋体"/>
      <w:kern w:val="0"/>
      <w:sz w:val="24"/>
      <w:szCs w:val="24"/>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6"/>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30</Pages>
  <Words>11822</Words>
  <Characters>12861</Characters>
  <Lines>63</Lines>
  <Paragraphs>18</Paragraphs>
  <TotalTime>2</TotalTime>
  <ScaleCrop>false</ScaleCrop>
  <LinksUpToDate>false</LinksUpToDate>
  <CharactersWithSpaces>13126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Yee.</cp:lastModifiedBy>
  <cp:lastPrinted>2024-08-11T02:20:00Z</cp:lastPrinted>
  <dcterms:modified xsi:type="dcterms:W3CDTF">2025-09-22T03:20:35Z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98623D6660B449428EB8E073C6C952EA</vt:lpwstr>
  </property>
</Properties>
</file>