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7C0D1" w14:textId="4ED5FB40" w:rsidR="005429DA" w:rsidRDefault="005429DA">
      <w:pPr>
        <w:rPr>
          <w:rFonts w:ascii="黑体" w:eastAsia="黑体" w:hAnsi="黑体" w:cs="黑体" w:hint="eastAsia"/>
          <w:sz w:val="32"/>
          <w:szCs w:val="32"/>
        </w:rPr>
      </w:pPr>
    </w:p>
    <w:p w14:paraId="6EDFFE13" w14:textId="77777777" w:rsidR="005429DA" w:rsidRDefault="005429DA">
      <w:pPr>
        <w:jc w:val="center"/>
        <w:rPr>
          <w:rFonts w:ascii="Times New Roman" w:eastAsia="方正小标宋_GBK" w:hAnsi="Times New Roman"/>
          <w:sz w:val="52"/>
          <w:szCs w:val="52"/>
        </w:rPr>
      </w:pPr>
    </w:p>
    <w:p w14:paraId="32CE14EA" w14:textId="77777777" w:rsidR="005429DA" w:rsidRDefault="00A63F1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2024年度岳阳市不动产登记中心</w:t>
      </w:r>
    </w:p>
    <w:p w14:paraId="22D13C95" w14:textId="77777777" w:rsidR="005429DA" w:rsidRDefault="00A63F1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整体支出绩效自评报告</w:t>
      </w:r>
    </w:p>
    <w:p w14:paraId="6B0D85C9" w14:textId="77777777" w:rsidR="005429DA" w:rsidRDefault="005429DA">
      <w:pPr>
        <w:jc w:val="center"/>
        <w:rPr>
          <w:rFonts w:ascii="Times New Roman" w:eastAsia="方正小标宋_GBK" w:hAnsi="Times New Roman"/>
          <w:b/>
          <w:sz w:val="52"/>
          <w:szCs w:val="52"/>
        </w:rPr>
      </w:pPr>
    </w:p>
    <w:p w14:paraId="4EE909C4" w14:textId="77777777" w:rsidR="005429DA" w:rsidRDefault="005429DA">
      <w:pPr>
        <w:jc w:val="center"/>
        <w:rPr>
          <w:rFonts w:ascii="Times New Roman" w:eastAsia="楷体_GB2312" w:hAnsi="Times New Roman"/>
          <w:b/>
          <w:sz w:val="32"/>
          <w:szCs w:val="32"/>
        </w:rPr>
      </w:pPr>
    </w:p>
    <w:p w14:paraId="3A216640" w14:textId="77777777" w:rsidR="005429DA" w:rsidRDefault="005429DA">
      <w:pPr>
        <w:jc w:val="center"/>
        <w:rPr>
          <w:rFonts w:ascii="Times New Roman" w:eastAsia="楷体_GB2312" w:hAnsi="Times New Roman"/>
          <w:b/>
          <w:sz w:val="32"/>
          <w:szCs w:val="32"/>
        </w:rPr>
      </w:pPr>
    </w:p>
    <w:p w14:paraId="28E34C22" w14:textId="77777777" w:rsidR="005429DA" w:rsidRDefault="005429DA">
      <w:pPr>
        <w:jc w:val="center"/>
        <w:rPr>
          <w:rFonts w:ascii="Times New Roman" w:eastAsia="楷体_GB2312" w:hAnsi="Times New Roman"/>
          <w:b/>
          <w:sz w:val="32"/>
          <w:szCs w:val="32"/>
        </w:rPr>
      </w:pPr>
    </w:p>
    <w:p w14:paraId="024CDD5D" w14:textId="77777777" w:rsidR="005429DA" w:rsidRDefault="005429DA">
      <w:pPr>
        <w:jc w:val="center"/>
        <w:rPr>
          <w:rFonts w:ascii="Times New Roman" w:eastAsia="楷体_GB2312" w:hAnsi="Times New Roman"/>
          <w:b/>
          <w:sz w:val="32"/>
          <w:szCs w:val="32"/>
        </w:rPr>
      </w:pPr>
    </w:p>
    <w:p w14:paraId="171F3BC0" w14:textId="77777777" w:rsidR="005429DA" w:rsidRDefault="005429DA">
      <w:pPr>
        <w:jc w:val="center"/>
        <w:rPr>
          <w:rFonts w:ascii="Times New Roman" w:eastAsia="楷体_GB2312" w:hAnsi="Times New Roman"/>
          <w:b/>
          <w:sz w:val="32"/>
          <w:szCs w:val="32"/>
        </w:rPr>
      </w:pPr>
    </w:p>
    <w:p w14:paraId="590FA570" w14:textId="77777777" w:rsidR="005429DA" w:rsidRDefault="005429DA">
      <w:pPr>
        <w:jc w:val="center"/>
        <w:rPr>
          <w:rFonts w:ascii="Times New Roman" w:eastAsia="楷体_GB2312" w:hAnsi="Times New Roman"/>
          <w:b/>
          <w:sz w:val="32"/>
          <w:szCs w:val="32"/>
        </w:rPr>
      </w:pPr>
    </w:p>
    <w:p w14:paraId="7F83E537" w14:textId="77777777" w:rsidR="005429DA" w:rsidRDefault="005429DA">
      <w:pPr>
        <w:jc w:val="center"/>
        <w:rPr>
          <w:rFonts w:ascii="Times New Roman" w:eastAsia="黑体" w:hAnsi="Times New Roman"/>
          <w:sz w:val="32"/>
          <w:szCs w:val="32"/>
        </w:rPr>
      </w:pPr>
    </w:p>
    <w:p w14:paraId="0619761B" w14:textId="77777777" w:rsidR="005429DA" w:rsidRDefault="005429DA">
      <w:pPr>
        <w:jc w:val="center"/>
        <w:rPr>
          <w:rFonts w:ascii="Times New Roman" w:eastAsia="黑体" w:hAnsi="Times New Roman"/>
          <w:sz w:val="32"/>
          <w:szCs w:val="32"/>
        </w:rPr>
      </w:pPr>
    </w:p>
    <w:p w14:paraId="68E30A5D" w14:textId="77777777" w:rsidR="005429DA" w:rsidRDefault="005429DA">
      <w:pPr>
        <w:jc w:val="center"/>
        <w:rPr>
          <w:rFonts w:ascii="Times New Roman" w:eastAsia="黑体" w:hAnsi="Times New Roman"/>
          <w:sz w:val="32"/>
          <w:szCs w:val="32"/>
        </w:rPr>
      </w:pPr>
    </w:p>
    <w:p w14:paraId="4B8B7B38" w14:textId="77777777" w:rsidR="005429DA" w:rsidRDefault="005429DA">
      <w:pPr>
        <w:rPr>
          <w:rFonts w:ascii="Times New Roman" w:eastAsia="黑体" w:hAnsi="Times New Roman"/>
          <w:sz w:val="32"/>
          <w:szCs w:val="32"/>
        </w:rPr>
      </w:pPr>
    </w:p>
    <w:p w14:paraId="69F2061E" w14:textId="77777777" w:rsidR="005429DA" w:rsidRDefault="005429DA">
      <w:pPr>
        <w:jc w:val="center"/>
        <w:rPr>
          <w:rFonts w:ascii="Times New Roman" w:eastAsia="黑体" w:hAnsi="Times New Roman"/>
          <w:sz w:val="32"/>
          <w:szCs w:val="32"/>
        </w:rPr>
      </w:pPr>
    </w:p>
    <w:p w14:paraId="29D01344" w14:textId="77777777" w:rsidR="005429DA" w:rsidRDefault="005429DA">
      <w:pPr>
        <w:jc w:val="center"/>
        <w:rPr>
          <w:rFonts w:ascii="Times New Roman" w:eastAsia="黑体" w:hAnsi="Times New Roman"/>
          <w:sz w:val="32"/>
          <w:szCs w:val="32"/>
        </w:rPr>
      </w:pPr>
    </w:p>
    <w:p w14:paraId="570EC273" w14:textId="77777777" w:rsidR="005429DA" w:rsidRDefault="005429DA">
      <w:pPr>
        <w:jc w:val="center"/>
        <w:rPr>
          <w:rFonts w:ascii="Times New Roman" w:eastAsia="黑体" w:hAnsi="Times New Roman"/>
          <w:sz w:val="32"/>
          <w:szCs w:val="32"/>
        </w:rPr>
      </w:pPr>
    </w:p>
    <w:p w14:paraId="7F06215B" w14:textId="77777777" w:rsidR="005429DA" w:rsidRDefault="00A63F14">
      <w:pPr>
        <w:spacing w:line="600" w:lineRule="exact"/>
        <w:jc w:val="center"/>
        <w:rPr>
          <w:rFonts w:ascii="Times New Roman" w:eastAsia="仿宋_GB2312" w:hAnsi="Times New Roman"/>
          <w:sz w:val="32"/>
          <w:szCs w:val="32"/>
          <w:u w:val="single"/>
        </w:rPr>
      </w:pPr>
      <w:r>
        <w:rPr>
          <w:rFonts w:ascii="Times New Roman" w:eastAsia="仿宋_GB2312" w:hAnsi="Times New Roman"/>
          <w:sz w:val="32"/>
          <w:szCs w:val="32"/>
        </w:rPr>
        <w:t>部门（单位）名称：</w:t>
      </w:r>
      <w:r>
        <w:rPr>
          <w:rFonts w:ascii="Times New Roman" w:eastAsia="仿宋_GB2312" w:hAnsi="Times New Roman"/>
          <w:sz w:val="32"/>
          <w:szCs w:val="32"/>
          <w:u w:val="single"/>
        </w:rPr>
        <w:t>（盖章）</w:t>
      </w:r>
    </w:p>
    <w:p w14:paraId="201D73CD" w14:textId="77777777" w:rsidR="005429DA" w:rsidRDefault="00A63F14">
      <w:pPr>
        <w:spacing w:line="600" w:lineRule="exact"/>
        <w:jc w:val="center"/>
        <w:rPr>
          <w:rFonts w:ascii="Times New Roman" w:eastAsia="楷体_GB2312" w:hAnsi="Times New Roman"/>
          <w:sz w:val="32"/>
          <w:szCs w:val="32"/>
        </w:rPr>
      </w:pPr>
      <w:r>
        <w:rPr>
          <w:rFonts w:ascii="Times New Roman" w:eastAsia="楷体_GB2312" w:hAnsi="Times New Roman"/>
          <w:sz w:val="32"/>
          <w:szCs w:val="32"/>
        </w:rPr>
        <w:t>年</w:t>
      </w:r>
      <w:r>
        <w:rPr>
          <w:rFonts w:ascii="Times New Roman" w:eastAsia="楷体_GB2312" w:hAnsi="Times New Roman"/>
          <w:sz w:val="32"/>
          <w:szCs w:val="32"/>
        </w:rPr>
        <w:t xml:space="preserve">  </w:t>
      </w:r>
      <w:r>
        <w:rPr>
          <w:rFonts w:ascii="Times New Roman" w:eastAsia="楷体_GB2312" w:hAnsi="Times New Roman"/>
          <w:sz w:val="32"/>
          <w:szCs w:val="32"/>
        </w:rPr>
        <w:t>月</w:t>
      </w:r>
      <w:r>
        <w:rPr>
          <w:rFonts w:ascii="Times New Roman" w:eastAsia="楷体_GB2312" w:hAnsi="Times New Roman"/>
          <w:sz w:val="32"/>
          <w:szCs w:val="32"/>
        </w:rPr>
        <w:t xml:space="preserve">  </w:t>
      </w:r>
      <w:r>
        <w:rPr>
          <w:rFonts w:ascii="Times New Roman" w:eastAsia="楷体_GB2312" w:hAnsi="Times New Roman"/>
          <w:sz w:val="32"/>
          <w:szCs w:val="32"/>
        </w:rPr>
        <w:t>日</w:t>
      </w:r>
    </w:p>
    <w:p w14:paraId="2EA0B6E9" w14:textId="77777777" w:rsidR="005429DA" w:rsidRDefault="00A63F14">
      <w:pPr>
        <w:jc w:val="center"/>
        <w:rPr>
          <w:rFonts w:ascii="Times New Roman" w:eastAsia="仿宋_GB2312" w:hAnsi="Times New Roman"/>
          <w:sz w:val="32"/>
          <w:szCs w:val="32"/>
        </w:rPr>
      </w:pPr>
      <w:r>
        <w:rPr>
          <w:rFonts w:ascii="Times New Roman" w:eastAsia="仿宋_GB2312" w:hAnsi="Times New Roman"/>
          <w:sz w:val="32"/>
          <w:szCs w:val="32"/>
        </w:rPr>
        <w:t>（此页为封面）</w:t>
      </w:r>
    </w:p>
    <w:p w14:paraId="00B2B346" w14:textId="77777777" w:rsidR="00873D17" w:rsidRDefault="00873D17">
      <w:pPr>
        <w:jc w:val="center"/>
        <w:rPr>
          <w:rFonts w:ascii="Times New Roman" w:eastAsia="仿宋_GB2312" w:hAnsi="Times New Roman"/>
          <w:sz w:val="32"/>
          <w:szCs w:val="32"/>
        </w:rPr>
      </w:pPr>
    </w:p>
    <w:p w14:paraId="40455021" w14:textId="77777777" w:rsidR="005429DA" w:rsidRDefault="00A63F14">
      <w:pPr>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2024年度岳阳市不动产登记中心</w:t>
      </w:r>
    </w:p>
    <w:p w14:paraId="5174063E" w14:textId="77777777" w:rsidR="005429DA" w:rsidRDefault="00A63F1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整体支出绩效自评报告</w:t>
      </w:r>
    </w:p>
    <w:p w14:paraId="0BFD37FB" w14:textId="77777777" w:rsidR="005429DA" w:rsidRDefault="005429DA">
      <w:pPr>
        <w:spacing w:line="640" w:lineRule="exact"/>
        <w:ind w:firstLineChars="200" w:firstLine="640"/>
        <w:rPr>
          <w:rFonts w:ascii="Times New Roman" w:eastAsia="仿宋_GB2312" w:hAnsi="Times New Roman"/>
          <w:sz w:val="32"/>
          <w:szCs w:val="32"/>
        </w:rPr>
      </w:pPr>
    </w:p>
    <w:p w14:paraId="61C4F465" w14:textId="77777777" w:rsidR="005429DA" w:rsidRDefault="00A63F14">
      <w:pPr>
        <w:numPr>
          <w:ilvl w:val="0"/>
          <w:numId w:val="1"/>
        </w:num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部门（单位）基本情况</w:t>
      </w:r>
    </w:p>
    <w:p w14:paraId="7B4918E3" w14:textId="77777777" w:rsidR="005429DA" w:rsidRDefault="00A63F14">
      <w:pPr>
        <w:spacing w:line="64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（一）职能职责</w:t>
      </w:r>
    </w:p>
    <w:p w14:paraId="0BA37E51"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、宣传贯彻实施国家、省、市关于不动产登记的方针政策和法律法规。</w:t>
      </w:r>
    </w:p>
    <w:p w14:paraId="5325B72F"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、负责市本级内</w:t>
      </w:r>
      <w:r>
        <w:rPr>
          <w:rFonts w:ascii="Times New Roman" w:eastAsia="仿宋_GB2312" w:hAnsi="Times New Roman"/>
          <w:color w:val="000000"/>
          <w:sz w:val="32"/>
          <w:szCs w:val="32"/>
        </w:rPr>
        <w:t>(</w:t>
      </w:r>
      <w:r>
        <w:rPr>
          <w:rFonts w:ascii="Times New Roman" w:eastAsia="仿宋_GB2312" w:hAnsi="Times New Roman"/>
          <w:color w:val="000000"/>
          <w:sz w:val="32"/>
          <w:szCs w:val="32"/>
        </w:rPr>
        <w:t>含岳阳楼区、经开区、南湖新区</w:t>
      </w:r>
      <w:r>
        <w:rPr>
          <w:rFonts w:ascii="Times New Roman" w:eastAsia="仿宋_GB2312" w:hAnsi="Times New Roman"/>
          <w:color w:val="000000"/>
          <w:sz w:val="32"/>
          <w:szCs w:val="32"/>
        </w:rPr>
        <w:t>)</w:t>
      </w:r>
      <w:r>
        <w:rPr>
          <w:rFonts w:ascii="Times New Roman" w:eastAsia="仿宋_GB2312" w:hAnsi="Times New Roman"/>
          <w:color w:val="000000"/>
          <w:sz w:val="32"/>
          <w:szCs w:val="32"/>
        </w:rPr>
        <w:t>不动产交易登记业务的统一受理、审核与登簿发证等事务性工作。</w:t>
      </w:r>
    </w:p>
    <w:p w14:paraId="603FD1C3"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、负责</w:t>
      </w:r>
      <w:proofErr w:type="gramStart"/>
      <w:r>
        <w:rPr>
          <w:rFonts w:ascii="Times New Roman" w:eastAsia="仿宋_GB2312" w:hAnsi="Times New Roman"/>
          <w:color w:val="000000"/>
          <w:sz w:val="32"/>
          <w:szCs w:val="32"/>
        </w:rPr>
        <w:t>拟订市</w:t>
      </w:r>
      <w:proofErr w:type="gramEnd"/>
      <w:r>
        <w:rPr>
          <w:rFonts w:ascii="Times New Roman" w:eastAsia="仿宋_GB2312" w:hAnsi="Times New Roman"/>
          <w:color w:val="000000"/>
          <w:sz w:val="32"/>
          <w:szCs w:val="32"/>
        </w:rPr>
        <w:t>本级不动产交易登记业务规范和工作流程。</w:t>
      </w:r>
    </w:p>
    <w:p w14:paraId="6087DE84"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、配合</w:t>
      </w:r>
      <w:proofErr w:type="gramStart"/>
      <w:r>
        <w:rPr>
          <w:rFonts w:ascii="Times New Roman" w:eastAsia="仿宋_GB2312" w:hAnsi="Times New Roman"/>
          <w:color w:val="000000"/>
          <w:sz w:val="32"/>
          <w:szCs w:val="32"/>
        </w:rPr>
        <w:t>调处市</w:t>
      </w:r>
      <w:proofErr w:type="gramEnd"/>
      <w:r>
        <w:rPr>
          <w:rFonts w:ascii="Times New Roman" w:eastAsia="仿宋_GB2312" w:hAnsi="Times New Roman"/>
          <w:color w:val="000000"/>
          <w:sz w:val="32"/>
          <w:szCs w:val="32"/>
        </w:rPr>
        <w:t>本级不动产权属争议及交易纠纷。</w:t>
      </w:r>
    </w:p>
    <w:p w14:paraId="5DA4A883"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、负责不动产登记数据资料统计、分析、整理、保管和备份，以及不动产登记档案的收集、移交。</w:t>
      </w:r>
    </w:p>
    <w:p w14:paraId="3A824A91"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、承办市委、市人民政府及市自然资源和规划局交办的其他工作。</w:t>
      </w:r>
    </w:p>
    <w:p w14:paraId="6E5F9592" w14:textId="77777777" w:rsidR="005429DA" w:rsidRDefault="00A63F14">
      <w:pPr>
        <w:spacing w:line="64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（二）机构设置</w:t>
      </w:r>
    </w:p>
    <w:p w14:paraId="5B1E7000"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我中心设两个分支机构和</w:t>
      </w:r>
      <w:r>
        <w:rPr>
          <w:rFonts w:ascii="Times New Roman" w:eastAsia="仿宋_GB2312" w:hAnsi="Times New Roman"/>
          <w:color w:val="000000"/>
          <w:sz w:val="32"/>
          <w:szCs w:val="32"/>
        </w:rPr>
        <w:t>9</w:t>
      </w:r>
      <w:r>
        <w:rPr>
          <w:rFonts w:ascii="Times New Roman" w:eastAsia="仿宋_GB2312" w:hAnsi="Times New Roman"/>
          <w:color w:val="000000"/>
          <w:sz w:val="32"/>
          <w:szCs w:val="32"/>
        </w:rPr>
        <w:t>个部室。</w:t>
      </w:r>
    </w:p>
    <w:p w14:paraId="647677AA"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、两个分支机构</w:t>
      </w:r>
    </w:p>
    <w:p w14:paraId="66EC2C5E"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⑴</w:t>
      </w:r>
      <w:r>
        <w:rPr>
          <w:rFonts w:ascii="Times New Roman" w:eastAsia="仿宋_GB2312" w:hAnsi="Times New Roman"/>
          <w:color w:val="000000"/>
          <w:sz w:val="32"/>
          <w:szCs w:val="32"/>
        </w:rPr>
        <w:t>、岳阳市自然资源交易中心</w:t>
      </w:r>
    </w:p>
    <w:p w14:paraId="2D1800C9"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负责全市有关自然资源交易、集体土地经营权的流转，矿产资源的转让等相关事务性工作。</w:t>
      </w:r>
    </w:p>
    <w:p w14:paraId="7F40520E"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⑵</w:t>
      </w:r>
      <w:r>
        <w:rPr>
          <w:rFonts w:ascii="Times New Roman" w:eastAsia="仿宋_GB2312" w:hAnsi="Times New Roman"/>
          <w:color w:val="000000"/>
          <w:sz w:val="32"/>
          <w:szCs w:val="32"/>
        </w:rPr>
        <w:t>、岳阳市不动产登记信息中心</w:t>
      </w:r>
    </w:p>
    <w:p w14:paraId="7CE4492C"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负责不动产登记综合平台的建设和管理，不动产基础信息的统计和监测，推动不动</w:t>
      </w:r>
      <w:proofErr w:type="gramStart"/>
      <w:r>
        <w:rPr>
          <w:rFonts w:ascii="Times New Roman" w:eastAsia="仿宋_GB2312" w:hAnsi="Times New Roman"/>
          <w:color w:val="000000"/>
          <w:sz w:val="32"/>
          <w:szCs w:val="32"/>
        </w:rPr>
        <w:t>产信息</w:t>
      </w:r>
      <w:proofErr w:type="gramEnd"/>
      <w:r>
        <w:rPr>
          <w:rFonts w:ascii="Times New Roman" w:eastAsia="仿宋_GB2312" w:hAnsi="Times New Roman"/>
          <w:color w:val="000000"/>
          <w:sz w:val="32"/>
          <w:szCs w:val="32"/>
        </w:rPr>
        <w:t>共享集成等工作。</w:t>
      </w:r>
    </w:p>
    <w:p w14:paraId="07369A7D"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w:t>
      </w:r>
      <w:r>
        <w:rPr>
          <w:rFonts w:ascii="Times New Roman" w:eastAsia="仿宋_GB2312" w:hAnsi="Times New Roman"/>
          <w:color w:val="000000"/>
          <w:sz w:val="32"/>
          <w:szCs w:val="32"/>
        </w:rPr>
        <w:t>9</w:t>
      </w:r>
      <w:r>
        <w:rPr>
          <w:rFonts w:ascii="Times New Roman" w:eastAsia="仿宋_GB2312" w:hAnsi="Times New Roman"/>
          <w:color w:val="000000"/>
          <w:sz w:val="32"/>
          <w:szCs w:val="32"/>
        </w:rPr>
        <w:t>个内设部室</w:t>
      </w:r>
    </w:p>
    <w:p w14:paraId="4F5CDC28"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⑴</w:t>
      </w:r>
      <w:r>
        <w:rPr>
          <w:rFonts w:ascii="Times New Roman" w:eastAsia="仿宋_GB2312" w:hAnsi="Times New Roman"/>
          <w:color w:val="000000"/>
          <w:sz w:val="32"/>
          <w:szCs w:val="32"/>
        </w:rPr>
        <w:t>、综合部</w:t>
      </w:r>
    </w:p>
    <w:p w14:paraId="6F459CBD"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负责文秘、会务、宣传、后勤等综合管理及人事管理、思想政治、党群等工作。</w:t>
      </w:r>
    </w:p>
    <w:p w14:paraId="153AF2E4"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⑵</w:t>
      </w:r>
      <w:r>
        <w:rPr>
          <w:rFonts w:ascii="Times New Roman" w:eastAsia="仿宋_GB2312" w:hAnsi="Times New Roman"/>
          <w:color w:val="000000"/>
          <w:sz w:val="32"/>
          <w:szCs w:val="32"/>
        </w:rPr>
        <w:t>、财务部</w:t>
      </w:r>
    </w:p>
    <w:p w14:paraId="09F0486A"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负责年度收支核算、收费审核、固定资产登记等工作</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负责综合统计及财务统计工作</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负责保管会计凭证账簿、报表等财务档案资料。</w:t>
      </w:r>
    </w:p>
    <w:p w14:paraId="2B5968A6"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⑶</w:t>
      </w:r>
      <w:r>
        <w:rPr>
          <w:rFonts w:ascii="Times New Roman" w:eastAsia="仿宋_GB2312" w:hAnsi="Times New Roman"/>
          <w:color w:val="000000"/>
          <w:sz w:val="32"/>
          <w:szCs w:val="32"/>
        </w:rPr>
        <w:t>、受理部</w:t>
      </w:r>
    </w:p>
    <w:p w14:paraId="3418FC3D"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负责市本级的土地、房屋、林地等不动产登记业务的咨询、受理、初审、收费、</w:t>
      </w:r>
      <w:proofErr w:type="gramStart"/>
      <w:r>
        <w:rPr>
          <w:rFonts w:ascii="Times New Roman" w:eastAsia="仿宋_GB2312" w:hAnsi="Times New Roman"/>
          <w:color w:val="000000"/>
          <w:sz w:val="32"/>
          <w:szCs w:val="32"/>
        </w:rPr>
        <w:t>缮</w:t>
      </w:r>
      <w:proofErr w:type="gramEnd"/>
      <w:r>
        <w:rPr>
          <w:rFonts w:ascii="Times New Roman" w:eastAsia="仿宋_GB2312" w:hAnsi="Times New Roman"/>
          <w:color w:val="000000"/>
          <w:sz w:val="32"/>
          <w:szCs w:val="32"/>
        </w:rPr>
        <w:t>证、证书发放等工作</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负责做好不动产权利证书管理</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负责不动产登记办事窗口的日常管理工作。</w:t>
      </w:r>
    </w:p>
    <w:p w14:paraId="08D7A096"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⑷</w:t>
      </w:r>
      <w:r>
        <w:rPr>
          <w:rFonts w:ascii="Times New Roman" w:eastAsia="仿宋_GB2312" w:hAnsi="Times New Roman"/>
          <w:color w:val="000000"/>
          <w:sz w:val="32"/>
          <w:szCs w:val="32"/>
        </w:rPr>
        <w:t>、登记一部</w:t>
      </w:r>
    </w:p>
    <w:p w14:paraId="5DB26933"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负责不动产首次登记业务的审核、登簿，做好上述不动产登记档案资料的移交工作。</w:t>
      </w:r>
    </w:p>
    <w:p w14:paraId="4B7AEE79"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⑸</w:t>
      </w:r>
      <w:r>
        <w:rPr>
          <w:rFonts w:ascii="Times New Roman" w:eastAsia="仿宋_GB2312" w:hAnsi="Times New Roman"/>
          <w:color w:val="000000"/>
          <w:sz w:val="32"/>
          <w:szCs w:val="32"/>
        </w:rPr>
        <w:t>、登记二部</w:t>
      </w:r>
    </w:p>
    <w:p w14:paraId="250C8EA1"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负责不动产变更登记、转移登记、更正登记等业务的受理、审核、登簿</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做好上述不动产登记档案资料的移交工作。</w:t>
      </w:r>
    </w:p>
    <w:p w14:paraId="35ED009F"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⑹</w:t>
      </w:r>
      <w:r>
        <w:rPr>
          <w:rFonts w:ascii="Times New Roman" w:eastAsia="仿宋_GB2312" w:hAnsi="Times New Roman"/>
          <w:color w:val="000000"/>
          <w:sz w:val="32"/>
          <w:szCs w:val="32"/>
        </w:rPr>
        <w:t>、登记三部</w:t>
      </w:r>
    </w:p>
    <w:p w14:paraId="291FC903"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负责不动产抵押登记、预告登记、异议登记、注销登记、查封登记等业务的受理、审核、登簿</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做好上述不动产登记档案资料的移交工作。</w:t>
      </w:r>
    </w:p>
    <w:p w14:paraId="763C880D"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⑺</w:t>
      </w:r>
      <w:r>
        <w:rPr>
          <w:rFonts w:ascii="Times New Roman" w:eastAsia="仿宋_GB2312" w:hAnsi="Times New Roman"/>
          <w:color w:val="000000"/>
          <w:sz w:val="32"/>
          <w:szCs w:val="32"/>
        </w:rPr>
        <w:t>、权籍调查部</w:t>
      </w:r>
    </w:p>
    <w:p w14:paraId="4ABD27B3"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承担市本级范围内涉及土地、房屋、林地等不动产登记的实地查勘、权籍调查工作</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负责权籍调查数据和测绘数据更新、入库和管理工作。</w:t>
      </w:r>
    </w:p>
    <w:p w14:paraId="0625E20E"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⑻</w:t>
      </w:r>
      <w:r>
        <w:rPr>
          <w:rFonts w:ascii="Times New Roman" w:eastAsia="仿宋_GB2312" w:hAnsi="Times New Roman"/>
          <w:color w:val="000000"/>
          <w:sz w:val="32"/>
          <w:szCs w:val="32"/>
        </w:rPr>
        <w:t>、法规部</w:t>
      </w:r>
    </w:p>
    <w:p w14:paraId="0C25BA10"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参与拟订不动产确权、权属争议调处地方性政策；配合、协助有关行政机关调处不动产权属争议；组织不动产登记法制宣传教育</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负责涉及不动产登记的行政复议、行政应诉和行政执法监督工作。</w:t>
      </w:r>
    </w:p>
    <w:p w14:paraId="6AECCB2D"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⑼</w:t>
      </w:r>
      <w:r>
        <w:rPr>
          <w:rFonts w:ascii="Times New Roman" w:eastAsia="仿宋_GB2312" w:hAnsi="Times New Roman"/>
          <w:color w:val="000000"/>
          <w:sz w:val="32"/>
          <w:szCs w:val="32"/>
        </w:rPr>
        <w:t>、信息档案部</w:t>
      </w:r>
    </w:p>
    <w:p w14:paraId="259C08A4" w14:textId="77777777" w:rsidR="005429DA" w:rsidRDefault="00A63F14">
      <w:pPr>
        <w:widowControl/>
        <w:spacing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负责不动产权证书的购置、保管、分发等管理工作；负责对市本级不动产登记发证质量的检查、审查；负责对市本级不动产登记纸质档案的收集、运转、移交等工作。</w:t>
      </w:r>
    </w:p>
    <w:p w14:paraId="47D4413D" w14:textId="77777777" w:rsidR="005429DA" w:rsidRDefault="00A63F14">
      <w:pPr>
        <w:pStyle w:val="ab"/>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14:paraId="526E6089" w14:textId="77777777" w:rsidR="005429DA" w:rsidRDefault="00A63F14">
      <w:pPr>
        <w:pStyle w:val="ab"/>
        <w:widowControl/>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lastRenderedPageBreak/>
        <w:t>（一）基本支出情况</w:t>
      </w:r>
    </w:p>
    <w:p w14:paraId="56C7EEFB" w14:textId="77777777" w:rsidR="005429DA" w:rsidRDefault="00A63F14">
      <w:pPr>
        <w:pStyle w:val="ab"/>
        <w:widowControl/>
        <w:spacing w:line="640" w:lineRule="exact"/>
        <w:ind w:firstLine="620"/>
        <w:rPr>
          <w:rFonts w:ascii="仿宋" w:eastAsia="仿宋" w:hAnsi="仿宋" w:cs="仿宋"/>
          <w:sz w:val="31"/>
          <w:szCs w:val="31"/>
        </w:rPr>
      </w:pPr>
      <w:r>
        <w:rPr>
          <w:rFonts w:ascii="仿宋" w:eastAsia="仿宋" w:hAnsi="仿宋" w:cs="仿宋" w:hint="eastAsia"/>
          <w:sz w:val="31"/>
          <w:szCs w:val="31"/>
        </w:rPr>
        <w:t>本单位</w:t>
      </w:r>
      <w:r>
        <w:rPr>
          <w:rFonts w:ascii="仿宋" w:eastAsia="仿宋" w:hAnsi="仿宋" w:cs="仿宋"/>
          <w:sz w:val="31"/>
          <w:szCs w:val="31"/>
        </w:rPr>
        <w:t>202</w:t>
      </w:r>
      <w:r>
        <w:rPr>
          <w:rFonts w:ascii="仿宋" w:eastAsia="仿宋" w:hAnsi="仿宋" w:cs="仿宋" w:hint="eastAsia"/>
          <w:sz w:val="31"/>
          <w:szCs w:val="31"/>
        </w:rPr>
        <w:t>4</w:t>
      </w:r>
      <w:r>
        <w:rPr>
          <w:rFonts w:ascii="仿宋" w:eastAsia="仿宋" w:hAnsi="仿宋" w:cs="仿宋"/>
          <w:sz w:val="31"/>
          <w:szCs w:val="31"/>
        </w:rPr>
        <w:t>年度</w:t>
      </w:r>
      <w:r>
        <w:rPr>
          <w:rFonts w:ascii="仿宋" w:eastAsia="仿宋" w:hAnsi="仿宋" w:cs="仿宋" w:hint="eastAsia"/>
          <w:sz w:val="31"/>
          <w:szCs w:val="31"/>
        </w:rPr>
        <w:t>基本</w:t>
      </w:r>
      <w:r>
        <w:rPr>
          <w:rFonts w:ascii="仿宋" w:eastAsia="仿宋" w:hAnsi="仿宋" w:cs="仿宋"/>
          <w:sz w:val="31"/>
          <w:szCs w:val="31"/>
        </w:rPr>
        <w:t>支出</w:t>
      </w:r>
      <w:r>
        <w:rPr>
          <w:rFonts w:ascii="仿宋" w:eastAsia="仿宋" w:hAnsi="仿宋" w:cs="仿宋" w:hint="eastAsia"/>
          <w:sz w:val="31"/>
          <w:szCs w:val="31"/>
        </w:rPr>
        <w:t>2094.20</w:t>
      </w:r>
      <w:r>
        <w:rPr>
          <w:rFonts w:ascii="仿宋" w:eastAsia="仿宋" w:hAnsi="仿宋" w:cs="仿宋"/>
          <w:sz w:val="31"/>
          <w:szCs w:val="31"/>
        </w:rPr>
        <w:t>万元，其中工资福利性支出</w:t>
      </w:r>
      <w:r>
        <w:rPr>
          <w:rFonts w:ascii="仿宋" w:eastAsia="仿宋" w:hAnsi="仿宋" w:cs="仿宋" w:hint="eastAsia"/>
          <w:sz w:val="31"/>
          <w:szCs w:val="31"/>
        </w:rPr>
        <w:t>1714.60</w:t>
      </w:r>
      <w:r>
        <w:rPr>
          <w:rFonts w:ascii="仿宋" w:eastAsia="仿宋" w:hAnsi="仿宋" w:cs="仿宋"/>
          <w:sz w:val="31"/>
          <w:szCs w:val="31"/>
        </w:rPr>
        <w:t>万元，商品和服务性支出</w:t>
      </w:r>
      <w:r>
        <w:rPr>
          <w:rFonts w:ascii="仿宋" w:eastAsia="仿宋" w:hAnsi="仿宋" w:cs="仿宋" w:hint="eastAsia"/>
          <w:sz w:val="31"/>
          <w:szCs w:val="31"/>
        </w:rPr>
        <w:t>271.43</w:t>
      </w:r>
      <w:r>
        <w:rPr>
          <w:rFonts w:ascii="仿宋" w:eastAsia="仿宋" w:hAnsi="仿宋" w:cs="仿宋"/>
          <w:sz w:val="31"/>
          <w:szCs w:val="31"/>
        </w:rPr>
        <w:t>万元，其他对个人及家庭的补助106</w:t>
      </w:r>
      <w:r>
        <w:rPr>
          <w:rFonts w:ascii="仿宋" w:eastAsia="仿宋" w:hAnsi="仿宋" w:cs="仿宋" w:hint="eastAsia"/>
          <w:sz w:val="31"/>
          <w:szCs w:val="31"/>
        </w:rPr>
        <w:t>.</w:t>
      </w:r>
      <w:r>
        <w:rPr>
          <w:rFonts w:ascii="仿宋" w:eastAsia="仿宋" w:hAnsi="仿宋" w:cs="仿宋"/>
          <w:sz w:val="31"/>
          <w:szCs w:val="31"/>
        </w:rPr>
        <w:t>21万元</w:t>
      </w:r>
      <w:r>
        <w:rPr>
          <w:rFonts w:ascii="仿宋" w:eastAsia="仿宋" w:hAnsi="仿宋" w:cs="仿宋" w:hint="eastAsia"/>
          <w:sz w:val="31"/>
          <w:szCs w:val="31"/>
        </w:rPr>
        <w:t>，</w:t>
      </w:r>
      <w:r>
        <w:rPr>
          <w:rFonts w:ascii="仿宋" w:eastAsia="仿宋" w:hAnsi="仿宋" w:cs="仿宋"/>
          <w:sz w:val="31"/>
          <w:szCs w:val="31"/>
        </w:rPr>
        <w:t>资本性支出</w:t>
      </w:r>
      <w:r>
        <w:rPr>
          <w:rFonts w:ascii="仿宋" w:eastAsia="仿宋" w:hAnsi="仿宋" w:cs="仿宋" w:hint="eastAsia"/>
          <w:sz w:val="31"/>
          <w:szCs w:val="31"/>
        </w:rPr>
        <w:t>1.96万元。</w:t>
      </w:r>
      <w:r>
        <w:rPr>
          <w:rFonts w:ascii="仿宋" w:eastAsia="仿宋" w:hAnsi="仿宋" w:cs="仿宋"/>
          <w:sz w:val="31"/>
          <w:szCs w:val="31"/>
        </w:rPr>
        <w:t>主要用于人员经费、资产采购、“三公”经费等公用支出。</w:t>
      </w:r>
    </w:p>
    <w:p w14:paraId="6C702967" w14:textId="77777777" w:rsidR="005429DA" w:rsidRDefault="00A63F14">
      <w:pPr>
        <w:pStyle w:val="ab"/>
        <w:widowControl/>
        <w:spacing w:line="640" w:lineRule="exact"/>
        <w:ind w:firstLine="643"/>
        <w:rPr>
          <w:rFonts w:ascii="Times New Roman" w:eastAsia="楷体_GB2312" w:hAnsi="Times New Roman"/>
          <w:b/>
          <w:sz w:val="32"/>
          <w:szCs w:val="32"/>
        </w:rPr>
      </w:pPr>
      <w:r>
        <w:rPr>
          <w:rFonts w:ascii="Times New Roman" w:eastAsia="楷体_GB2312" w:hAnsi="Times New Roman" w:hint="eastAsia"/>
          <w:b/>
          <w:sz w:val="32"/>
          <w:szCs w:val="32"/>
        </w:rPr>
        <w:t>（二）</w:t>
      </w:r>
      <w:r>
        <w:rPr>
          <w:rFonts w:ascii="Times New Roman" w:eastAsia="楷体_GB2312" w:hAnsi="Times New Roman"/>
          <w:b/>
          <w:sz w:val="32"/>
          <w:szCs w:val="32"/>
        </w:rPr>
        <w:t>项目支出情况</w:t>
      </w:r>
    </w:p>
    <w:p w14:paraId="1083D341" w14:textId="77777777" w:rsidR="005429DA" w:rsidRDefault="00A63F14">
      <w:pPr>
        <w:pStyle w:val="ab"/>
        <w:widowControl/>
        <w:spacing w:line="640" w:lineRule="exact"/>
        <w:ind w:firstLine="620"/>
        <w:rPr>
          <w:rFonts w:ascii="仿宋" w:eastAsia="仿宋" w:hAnsi="仿宋" w:cs="仿宋"/>
          <w:sz w:val="31"/>
          <w:szCs w:val="31"/>
        </w:rPr>
      </w:pPr>
      <w:r>
        <w:rPr>
          <w:rFonts w:ascii="仿宋" w:eastAsia="仿宋" w:hAnsi="仿宋" w:cs="仿宋" w:hint="eastAsia"/>
          <w:sz w:val="31"/>
          <w:szCs w:val="31"/>
        </w:rPr>
        <w:t>项目</w:t>
      </w:r>
      <w:r>
        <w:rPr>
          <w:rFonts w:ascii="仿宋" w:eastAsia="仿宋" w:hAnsi="仿宋" w:cs="仿宋"/>
          <w:sz w:val="31"/>
          <w:szCs w:val="31"/>
        </w:rPr>
        <w:t>支出</w:t>
      </w:r>
      <w:r>
        <w:rPr>
          <w:rFonts w:ascii="仿宋" w:eastAsia="仿宋" w:hAnsi="仿宋" w:cs="仿宋" w:hint="eastAsia"/>
          <w:sz w:val="31"/>
          <w:szCs w:val="31"/>
        </w:rPr>
        <w:t>261.77</w:t>
      </w:r>
      <w:r>
        <w:rPr>
          <w:rFonts w:ascii="仿宋" w:eastAsia="仿宋" w:hAnsi="仿宋" w:cs="仿宋"/>
          <w:sz w:val="31"/>
          <w:szCs w:val="31"/>
        </w:rPr>
        <w:t>万元，</w:t>
      </w:r>
      <w:proofErr w:type="gramStart"/>
      <w:r>
        <w:rPr>
          <w:rFonts w:ascii="仿宋" w:eastAsia="仿宋" w:hAnsi="仿宋" w:cs="仿宋"/>
          <w:sz w:val="31"/>
          <w:szCs w:val="31"/>
        </w:rPr>
        <w:t>其中</w:t>
      </w:r>
      <w:r>
        <w:rPr>
          <w:rFonts w:ascii="仿宋" w:eastAsia="仿宋" w:hAnsi="仿宋" w:cs="仿宋" w:hint="eastAsia"/>
          <w:sz w:val="31"/>
          <w:szCs w:val="31"/>
        </w:rPr>
        <w:t>中心</w:t>
      </w:r>
      <w:proofErr w:type="gramEnd"/>
      <w:r>
        <w:rPr>
          <w:rFonts w:ascii="仿宋" w:eastAsia="仿宋" w:hAnsi="仿宋" w:cs="仿宋" w:hint="eastAsia"/>
          <w:sz w:val="31"/>
          <w:szCs w:val="31"/>
        </w:rPr>
        <w:t>城区房地产办证专项行动</w:t>
      </w:r>
      <w:r>
        <w:rPr>
          <w:rFonts w:ascii="仿宋" w:eastAsia="仿宋" w:hAnsi="仿宋" w:cs="仿宋"/>
          <w:sz w:val="31"/>
          <w:szCs w:val="31"/>
        </w:rPr>
        <w:t>261.77</w:t>
      </w:r>
      <w:r>
        <w:rPr>
          <w:rFonts w:ascii="仿宋" w:eastAsia="仿宋" w:hAnsi="仿宋" w:cs="仿宋" w:hint="eastAsia"/>
          <w:sz w:val="31"/>
          <w:szCs w:val="31"/>
        </w:rPr>
        <w:t>万元。</w:t>
      </w:r>
    </w:p>
    <w:p w14:paraId="641E4BE1" w14:textId="77777777" w:rsidR="005429DA" w:rsidRDefault="00A63F14">
      <w:pPr>
        <w:pStyle w:val="ab"/>
        <w:widowControl/>
        <w:spacing w:line="640" w:lineRule="exact"/>
        <w:ind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政府性基金预算支出情况</w:t>
      </w:r>
    </w:p>
    <w:p w14:paraId="5495B429" w14:textId="77777777" w:rsidR="005429DA" w:rsidRDefault="00A63F14">
      <w:pPr>
        <w:pStyle w:val="ab"/>
        <w:widowControl/>
        <w:spacing w:line="640" w:lineRule="exact"/>
        <w:ind w:firstLine="640"/>
        <w:rPr>
          <w:rFonts w:ascii="仿宋_GB2312" w:eastAsia="仿宋_GB2312" w:hAnsi="仿宋_GB2312" w:cs="仿宋_GB2312"/>
          <w:sz w:val="32"/>
          <w:szCs w:val="32"/>
        </w:rPr>
      </w:pPr>
      <w:bookmarkStart w:id="0" w:name="OLE_LINK8"/>
      <w:r>
        <w:rPr>
          <w:rFonts w:ascii="仿宋_GB2312" w:eastAsia="仿宋_GB2312" w:hAnsi="仿宋_GB2312" w:cs="仿宋_GB2312" w:hint="eastAsia"/>
          <w:sz w:val="32"/>
          <w:szCs w:val="32"/>
        </w:rPr>
        <w:t>2024年</w:t>
      </w:r>
      <w:bookmarkEnd w:id="0"/>
      <w:r>
        <w:rPr>
          <w:rFonts w:ascii="仿宋_GB2312" w:eastAsia="仿宋_GB2312" w:hAnsi="仿宋_GB2312" w:cs="仿宋_GB2312" w:hint="eastAsia"/>
          <w:sz w:val="32"/>
          <w:szCs w:val="32"/>
        </w:rPr>
        <w:t>本单位没有使用政府性基金预算安排的支出。</w:t>
      </w:r>
    </w:p>
    <w:p w14:paraId="06A06C1A" w14:textId="77777777" w:rsidR="005429DA" w:rsidRDefault="00A63F14">
      <w:pPr>
        <w:pStyle w:val="ab"/>
        <w:widowControl/>
        <w:spacing w:line="640" w:lineRule="exact"/>
        <w:ind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国有资本经营预算支出情况</w:t>
      </w:r>
    </w:p>
    <w:p w14:paraId="547AB60B" w14:textId="77777777" w:rsidR="005429DA" w:rsidRDefault="00A63F14">
      <w:pPr>
        <w:pStyle w:val="ab"/>
        <w:widowControl/>
        <w:spacing w:line="640" w:lineRule="exact"/>
        <w:ind w:firstLine="640"/>
        <w:rPr>
          <w:rFonts w:ascii="Times New Roman" w:eastAsia="黑体" w:hAnsi="Times New Roman"/>
          <w:sz w:val="32"/>
          <w:szCs w:val="32"/>
        </w:rPr>
      </w:pPr>
      <w:r>
        <w:rPr>
          <w:rFonts w:ascii="仿宋_GB2312" w:eastAsia="仿宋_GB2312" w:hAnsi="仿宋_GB2312" w:cs="仿宋_GB2312" w:hint="eastAsia"/>
          <w:sz w:val="32"/>
          <w:szCs w:val="32"/>
        </w:rPr>
        <w:t>2024年本单位没有使用国有资本经营预算安排的支出。</w:t>
      </w:r>
    </w:p>
    <w:p w14:paraId="5CC6BBBF" w14:textId="77777777" w:rsidR="005429DA" w:rsidRDefault="00A63F14">
      <w:pPr>
        <w:pStyle w:val="ab"/>
        <w:widowControl/>
        <w:spacing w:line="640" w:lineRule="exact"/>
        <w:ind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社会保险基金预算支出情况</w:t>
      </w:r>
    </w:p>
    <w:p w14:paraId="69B1DDF8" w14:textId="77777777" w:rsidR="005429DA" w:rsidRDefault="00A63F14">
      <w:pPr>
        <w:pStyle w:val="ab"/>
        <w:widowControl/>
        <w:spacing w:line="640" w:lineRule="exact"/>
        <w:ind w:firstLine="640"/>
        <w:rPr>
          <w:rFonts w:ascii="Times New Roman" w:eastAsia="黑体" w:hAnsi="Times New Roman"/>
          <w:sz w:val="32"/>
          <w:szCs w:val="32"/>
        </w:rPr>
      </w:pPr>
      <w:r>
        <w:rPr>
          <w:rFonts w:ascii="仿宋_GB2312" w:eastAsia="仿宋_GB2312" w:hAnsi="仿宋_GB2312" w:cs="仿宋_GB2312" w:hint="eastAsia"/>
          <w:sz w:val="32"/>
          <w:szCs w:val="32"/>
        </w:rPr>
        <w:t>2024年本单位没有使用社会保险基金预算安排的支出。</w:t>
      </w:r>
    </w:p>
    <w:p w14:paraId="2F20C315" w14:textId="77777777" w:rsidR="005429DA" w:rsidRDefault="00A63F14">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14:paraId="79DC7255" w14:textId="77777777" w:rsidR="005429DA" w:rsidRDefault="00A63F1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在省厅的正确领导下，岳阳市不动产登记工作深入贯彻落实党中央、国务院关于深化“放管服”改革、优化营商环境决策部署，始终坚持以人民为中心，以“高效办成一件事”为目标，努力提升不动产登记便利度，不断开拓创新、攻</w:t>
      </w:r>
      <w:proofErr w:type="gramStart"/>
      <w:r>
        <w:rPr>
          <w:rFonts w:ascii="仿宋_GB2312" w:eastAsia="仿宋_GB2312" w:hAnsi="仿宋_GB2312" w:cs="仿宋_GB2312" w:hint="eastAsia"/>
          <w:sz w:val="32"/>
          <w:szCs w:val="32"/>
        </w:rPr>
        <w:t>艰</w:t>
      </w:r>
      <w:proofErr w:type="gramEnd"/>
      <w:r>
        <w:rPr>
          <w:rFonts w:ascii="仿宋_GB2312" w:eastAsia="仿宋_GB2312" w:hAnsi="仿宋_GB2312" w:cs="仿宋_GB2312" w:hint="eastAsia"/>
          <w:sz w:val="32"/>
          <w:szCs w:val="32"/>
        </w:rPr>
        <w:t>克难，取得明显成效。</w:t>
      </w:r>
    </w:p>
    <w:p w14:paraId="5BDFE9EB" w14:textId="77777777" w:rsidR="005429DA" w:rsidRDefault="00A63F14">
      <w:pPr>
        <w:spacing w:line="580" w:lineRule="exact"/>
        <w:ind w:firstLineChars="200" w:firstLine="643"/>
        <w:rPr>
          <w:rFonts w:ascii="楷体" w:eastAsia="楷体" w:hAnsi="楷体" w:cs="楷体"/>
          <w:b/>
          <w:bCs/>
          <w:color w:val="333333"/>
          <w:sz w:val="32"/>
          <w:szCs w:val="32"/>
          <w:shd w:val="clear" w:color="auto" w:fill="FFFFFF"/>
        </w:rPr>
      </w:pPr>
      <w:r>
        <w:rPr>
          <w:rFonts w:ascii="楷体" w:eastAsia="楷体" w:hAnsi="楷体" w:cs="楷体" w:hint="eastAsia"/>
          <w:b/>
          <w:bCs/>
          <w:color w:val="333333"/>
          <w:sz w:val="32"/>
          <w:szCs w:val="32"/>
          <w:shd w:val="clear" w:color="auto" w:fill="FFFFFF"/>
        </w:rPr>
        <w:t>（一）“多窗”走向“一窗”，高效办成多个“一件事”</w:t>
      </w:r>
    </w:p>
    <w:p w14:paraId="4BF69410" w14:textId="77777777" w:rsidR="005429DA" w:rsidRDefault="00A63F14">
      <w:pPr>
        <w:spacing w:line="580" w:lineRule="exact"/>
        <w:ind w:firstLineChars="200" w:firstLine="643"/>
        <w:rPr>
          <w:rFonts w:ascii="仿宋_GB2312" w:eastAsia="仿宋_GB2312" w:hAnsi="仿宋_GB2312" w:cs="仿宋_GB2312"/>
          <w:color w:val="0000FF"/>
          <w:sz w:val="32"/>
          <w:szCs w:val="32"/>
          <w:shd w:val="clear" w:color="auto" w:fill="FFFFFF"/>
        </w:rPr>
      </w:pPr>
      <w:r>
        <w:rPr>
          <w:rFonts w:ascii="楷体" w:eastAsia="楷体" w:hAnsi="楷体" w:cs="楷体" w:hint="eastAsia"/>
          <w:b/>
          <w:bCs/>
          <w:color w:val="333333"/>
          <w:sz w:val="32"/>
          <w:szCs w:val="32"/>
          <w:shd w:val="clear" w:color="auto" w:fill="FFFFFF"/>
        </w:rPr>
        <w:t>1.</w:t>
      </w:r>
      <w:r>
        <w:rPr>
          <w:rFonts w:ascii="仿宋_GB2312" w:eastAsia="仿宋_GB2312" w:hAnsi="仿宋_GB2312" w:cs="仿宋_GB2312" w:hint="eastAsia"/>
          <w:b/>
          <w:bCs/>
          <w:color w:val="000000"/>
          <w:sz w:val="32"/>
          <w:szCs w:val="32"/>
          <w:shd w:val="clear" w:color="auto" w:fill="FFFFFF"/>
        </w:rPr>
        <w:t>推出不动产登记“1160”改革。</w:t>
      </w:r>
      <w:r>
        <w:rPr>
          <w:rFonts w:ascii="仿宋_GB2312" w:eastAsia="仿宋_GB2312" w:hAnsi="仿宋_GB2312" w:cs="仿宋_GB2312" w:hint="eastAsia"/>
          <w:color w:val="000000"/>
          <w:sz w:val="32"/>
          <w:szCs w:val="32"/>
          <w:shd w:val="clear" w:color="auto" w:fill="FFFFFF"/>
        </w:rPr>
        <w:t>为进一步提升不动产</w:t>
      </w:r>
      <w:r>
        <w:rPr>
          <w:rFonts w:ascii="仿宋_GB2312" w:eastAsia="仿宋_GB2312" w:hAnsi="仿宋_GB2312" w:cs="仿宋_GB2312" w:hint="eastAsia"/>
          <w:color w:val="000000"/>
          <w:sz w:val="32"/>
          <w:szCs w:val="32"/>
          <w:shd w:val="clear" w:color="auto" w:fill="FFFFFF"/>
        </w:rPr>
        <w:lastRenderedPageBreak/>
        <w:t>登记窗口便利化水平，从群众视角出发，对标全流程“1个环节”，全面整合不动产交易登记、税收业务流程，实行不动产登记“1160”改革，即一人一窗受理、部分业务60分钟出证，做到“四个一”即一人受理、一次问询、一张表单、一套材料，完成“六事同办”即交易、登记、纳税、用水、用电、用气六个事项。充分发挥信息共享及业务集成优势，实现不动产</w:t>
      </w:r>
      <w:proofErr w:type="gramStart"/>
      <w:r>
        <w:rPr>
          <w:rFonts w:ascii="仿宋_GB2312" w:eastAsia="仿宋_GB2312" w:hAnsi="仿宋_GB2312" w:cs="仿宋_GB2312" w:hint="eastAsia"/>
          <w:color w:val="000000"/>
          <w:sz w:val="32"/>
          <w:szCs w:val="32"/>
          <w:shd w:val="clear" w:color="auto" w:fill="FFFFFF"/>
        </w:rPr>
        <w:t>登记全</w:t>
      </w:r>
      <w:proofErr w:type="gramEnd"/>
      <w:r>
        <w:rPr>
          <w:rFonts w:ascii="仿宋_GB2312" w:eastAsia="仿宋_GB2312" w:hAnsi="仿宋_GB2312" w:cs="仿宋_GB2312" w:hint="eastAsia"/>
          <w:color w:val="000000"/>
          <w:sz w:val="32"/>
          <w:szCs w:val="32"/>
          <w:shd w:val="clear" w:color="auto" w:fill="FFFFFF"/>
        </w:rPr>
        <w:t>业务“一人一窗”受理。实现“一窗受理”是将传统“一窗受理，并行办理”模式中的“三人一窗”或者“两人一窗”升级为“一人一窗”，由原“三人一窗完成六家事”升级为“一人一窗完成六家事”。“1160”改革后，环节由改革前6个变成1个，时限由改革前72小时变成1小时，材料由改革前16项变成1项。</w:t>
      </w:r>
    </w:p>
    <w:p w14:paraId="02C37DA4" w14:textId="77777777" w:rsidR="005429DA" w:rsidRDefault="00A63F14">
      <w:pPr>
        <w:spacing w:line="580" w:lineRule="exact"/>
        <w:ind w:firstLineChars="200" w:firstLine="643"/>
        <w:rPr>
          <w:rFonts w:ascii="仿宋_GB2312" w:eastAsia="仿宋_GB2312" w:hAnsi="仿宋_GB2312" w:cs="仿宋_GB2312"/>
          <w:color w:val="000000"/>
          <w:sz w:val="32"/>
          <w:szCs w:val="32"/>
          <w:shd w:val="clear" w:color="auto" w:fill="FFFFFF"/>
        </w:rPr>
      </w:pPr>
      <w:r>
        <w:rPr>
          <w:rStyle w:val="aa"/>
          <w:rFonts w:ascii="仿宋_GB2312" w:eastAsia="仿宋_GB2312" w:hAnsi="仿宋_GB2312" w:cs="仿宋_GB2312" w:hint="eastAsia"/>
          <w:sz w:val="32"/>
          <w:szCs w:val="32"/>
          <w:shd w:val="clear" w:color="auto" w:fill="FFFFFF"/>
        </w:rPr>
        <w:t>2.实现组合业务</w:t>
      </w:r>
      <w:r>
        <w:rPr>
          <w:rFonts w:ascii="仿宋_GB2312" w:eastAsia="仿宋_GB2312" w:hAnsi="仿宋_GB2312" w:cs="仿宋_GB2312" w:hint="eastAsia"/>
          <w:b/>
          <w:bCs/>
          <w:sz w:val="32"/>
          <w:szCs w:val="32"/>
        </w:rPr>
        <w:t>一件事</w:t>
      </w:r>
      <w:r>
        <w:rPr>
          <w:rStyle w:val="aa"/>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color w:val="000000"/>
          <w:sz w:val="32"/>
          <w:szCs w:val="32"/>
          <w:shd w:val="clear" w:color="auto" w:fill="FFFFFF"/>
        </w:rPr>
        <w:t>根据不动产业务办理需求，全面梳理申请材料清单，通过“精准申报”，实施关联组合业务同步办理，“一次申请，一次办结”。办理场景涵盖新建商品房、二手房，首次登记、转移登记、抵押登记、抵押注销等20个不动产登记的组合登记事项，业务办理场景涵盖了</w:t>
      </w:r>
      <w:proofErr w:type="gramStart"/>
      <w:r>
        <w:rPr>
          <w:rFonts w:ascii="仿宋_GB2312" w:eastAsia="仿宋_GB2312" w:hAnsi="仿宋_GB2312" w:cs="仿宋_GB2312" w:hint="eastAsia"/>
          <w:color w:val="000000"/>
          <w:sz w:val="32"/>
          <w:szCs w:val="32"/>
          <w:shd w:val="clear" w:color="auto" w:fill="FFFFFF"/>
        </w:rPr>
        <w:t>一手房</w:t>
      </w:r>
      <w:proofErr w:type="gramEnd"/>
      <w:r>
        <w:rPr>
          <w:rFonts w:ascii="仿宋_GB2312" w:eastAsia="仿宋_GB2312" w:hAnsi="仿宋_GB2312" w:cs="仿宋_GB2312" w:hint="eastAsia"/>
          <w:color w:val="000000"/>
          <w:sz w:val="32"/>
          <w:szCs w:val="32"/>
          <w:shd w:val="clear" w:color="auto" w:fill="FFFFFF"/>
        </w:rPr>
        <w:t>交易类、二手房转移类、抵押类、变更及更正类、注销类场景，合并办理的登记业务，办理时限不是叠加计算，办理时限都是按1个登记类型1个工作日办结。组合业务的实现，让多种不动产登记业务从串联“接力走”变为并联“同步跑”，让办事群众一次取号、一个窗口、一套材料、一次受理、一次办结，满足不同客户不同的个性化需求。</w:t>
      </w:r>
    </w:p>
    <w:p w14:paraId="410BBA1E" w14:textId="77777777" w:rsidR="005429DA" w:rsidRDefault="00A63F14">
      <w:pPr>
        <w:spacing w:line="580" w:lineRule="exact"/>
        <w:ind w:firstLineChars="200" w:firstLine="643"/>
        <w:rPr>
          <w:rFonts w:ascii="仿宋_GB2312" w:eastAsia="仿宋_GB2312" w:hAnsi="仿宋_GB2312" w:cs="仿宋_GB2312"/>
          <w:color w:val="0000FF"/>
          <w:sz w:val="32"/>
          <w:szCs w:val="32"/>
        </w:rPr>
      </w:pPr>
      <w:r>
        <w:rPr>
          <w:rFonts w:ascii="仿宋_GB2312" w:eastAsia="仿宋_GB2312" w:hAnsi="仿宋_GB2312" w:cs="仿宋_GB2312" w:hint="eastAsia"/>
          <w:b/>
          <w:bCs/>
          <w:color w:val="000000"/>
          <w:sz w:val="32"/>
          <w:szCs w:val="32"/>
          <w:shd w:val="clear" w:color="auto" w:fill="FFFFFF"/>
        </w:rPr>
        <w:t>3.</w:t>
      </w:r>
      <w:r>
        <w:rPr>
          <w:rFonts w:ascii="仿宋_GB2312" w:eastAsia="仿宋_GB2312" w:hAnsi="仿宋_GB2312" w:cs="仿宋_GB2312" w:hint="eastAsia"/>
          <w:b/>
          <w:bCs/>
          <w:sz w:val="32"/>
          <w:szCs w:val="32"/>
        </w:rPr>
        <w:t>实现“带押过户”一件事。</w:t>
      </w:r>
      <w:r>
        <w:rPr>
          <w:rFonts w:ascii="仿宋_GB2312" w:eastAsia="仿宋_GB2312" w:hAnsi="仿宋_GB2312" w:cs="仿宋_GB2312" w:hint="eastAsia"/>
          <w:sz w:val="32"/>
          <w:szCs w:val="32"/>
        </w:rPr>
        <w:t>根据自然资源部、中国银</w:t>
      </w:r>
      <w:r>
        <w:rPr>
          <w:rFonts w:ascii="仿宋_GB2312" w:eastAsia="仿宋_GB2312" w:hAnsi="仿宋_GB2312" w:cs="仿宋_GB2312" w:hint="eastAsia"/>
          <w:sz w:val="32"/>
          <w:szCs w:val="32"/>
        </w:rPr>
        <w:lastRenderedPageBreak/>
        <w:t>行保险监督管理委员会《关于协同做好不动产“带押过户”便民利企服务的通知》（</w:t>
      </w:r>
      <w:proofErr w:type="gramStart"/>
      <w:r>
        <w:rPr>
          <w:rFonts w:ascii="仿宋_GB2312" w:eastAsia="仿宋_GB2312" w:hAnsi="仿宋_GB2312" w:cs="仿宋_GB2312" w:hint="eastAsia"/>
          <w:sz w:val="32"/>
          <w:szCs w:val="32"/>
        </w:rPr>
        <w:t>自然资发〔2023〕</w:t>
      </w:r>
      <w:proofErr w:type="gramEnd"/>
      <w:r>
        <w:rPr>
          <w:rFonts w:ascii="仿宋_GB2312" w:eastAsia="仿宋_GB2312" w:hAnsi="仿宋_GB2312" w:cs="仿宋_GB2312" w:hint="eastAsia"/>
          <w:sz w:val="32"/>
          <w:szCs w:val="32"/>
        </w:rPr>
        <w:t>29号）文件要求，与银行业金融机构加强业务协同，推进登记金融系统融合，优化工作流程，实时共享信息，精简办事材料，实现登记、贷款、放款、还款无缝衔接，进一步提升了便利化服务水平，降低了制度性交易成本，同时能够保障买卖双方及银行权益,自开通以来，共办理574笔</w:t>
      </w:r>
      <w:r>
        <w:rPr>
          <w:rFonts w:ascii="仿宋_GB2312" w:eastAsia="仿宋_GB2312" w:hAnsi="仿宋_GB2312" w:cs="仿宋_GB2312" w:hint="eastAsia"/>
          <w:color w:val="0000FF"/>
          <w:sz w:val="32"/>
          <w:szCs w:val="32"/>
        </w:rPr>
        <w:t>。</w:t>
      </w:r>
    </w:p>
    <w:p w14:paraId="3F81718A" w14:textId="77777777" w:rsidR="005429DA" w:rsidRDefault="00A63F14">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4.非公证继承转移登记一件事。</w:t>
      </w:r>
      <w:r>
        <w:rPr>
          <w:rFonts w:ascii="仿宋_GB2312" w:eastAsia="仿宋_GB2312" w:hAnsi="仿宋_GB2312" w:cs="仿宋_GB2312" w:hint="eastAsia"/>
          <w:sz w:val="32"/>
          <w:szCs w:val="32"/>
        </w:rPr>
        <w:t>已出台《岳阳市不动产登记中心推行非公证继承（受遗赠）转移登记实施细则》，在办理非公证继承涉及的不动产登记业务中，对法定继承的，由全部法定继承人共同查验继承材料；对遗嘱继承的，由全部法定继承人共同查验遗嘱的有效性及是否为最后一份遗嘱；对受遗赠的，由全部法定继承人和受遗赠人共同查验继承材料；全部法定继承人查验继承材料，有第一顺序继承人的，第二顺序继承人无需到场；提供放弃继承权公证书的，该继承人无需到场。</w:t>
      </w:r>
    </w:p>
    <w:p w14:paraId="6BB081F2" w14:textId="77777777" w:rsidR="005429DA" w:rsidRDefault="00A63F14">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5.二手房与水电气视网联动过户一件事</w:t>
      </w:r>
      <w:r>
        <w:rPr>
          <w:rFonts w:ascii="仿宋_GB2312" w:eastAsia="仿宋_GB2312" w:hAnsi="仿宋_GB2312" w:cs="仿宋_GB2312" w:hint="eastAsia"/>
          <w:sz w:val="32"/>
          <w:szCs w:val="32"/>
        </w:rPr>
        <w:t>。与岳阳市水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集团、</w:t>
      </w:r>
      <w:proofErr w:type="gramStart"/>
      <w:r>
        <w:rPr>
          <w:rFonts w:ascii="仿宋_GB2312" w:eastAsia="仿宋_GB2312" w:hAnsi="仿宋_GB2312" w:cs="仿宋_GB2312" w:hint="eastAsia"/>
          <w:sz w:val="32"/>
          <w:szCs w:val="32"/>
        </w:rPr>
        <w:t>国网湖南省</w:t>
      </w:r>
      <w:proofErr w:type="gramEnd"/>
      <w:r>
        <w:rPr>
          <w:rFonts w:ascii="仿宋_GB2312" w:eastAsia="仿宋_GB2312" w:hAnsi="仿宋_GB2312" w:cs="仿宋_GB2312" w:hint="eastAsia"/>
          <w:sz w:val="32"/>
          <w:szCs w:val="32"/>
        </w:rPr>
        <w:t>电力有限公司岳阳供电分公司、</w:t>
      </w:r>
      <w:proofErr w:type="gramStart"/>
      <w:r>
        <w:rPr>
          <w:rFonts w:ascii="仿宋_GB2312" w:eastAsia="仿宋_GB2312" w:hAnsi="仿宋_GB2312" w:cs="仿宋_GB2312" w:hint="eastAsia"/>
          <w:sz w:val="32"/>
          <w:szCs w:val="32"/>
        </w:rPr>
        <w:t>岳阳华</w:t>
      </w:r>
      <w:proofErr w:type="gramEnd"/>
      <w:r>
        <w:rPr>
          <w:rFonts w:ascii="仿宋_GB2312" w:eastAsia="仿宋_GB2312" w:hAnsi="仿宋_GB2312" w:cs="仿宋_GB2312" w:hint="eastAsia"/>
          <w:sz w:val="32"/>
          <w:szCs w:val="32"/>
        </w:rPr>
        <w:t>润燃气有限公司、岳阳广电、网络公司共同研究，在岳阳市本级实施不动产登记与居民水、电、气、视、网联动过户办理。办事群众进行不动产转移登记申请受理时，如有办理水、电、</w:t>
      </w:r>
      <w:proofErr w:type="gramStart"/>
      <w:r>
        <w:rPr>
          <w:rFonts w:ascii="仿宋_GB2312" w:eastAsia="仿宋_GB2312" w:hAnsi="仿宋_GB2312" w:cs="仿宋_GB2312" w:hint="eastAsia"/>
          <w:sz w:val="32"/>
          <w:szCs w:val="32"/>
        </w:rPr>
        <w:t>气业务</w:t>
      </w:r>
      <w:proofErr w:type="gramEnd"/>
      <w:r>
        <w:rPr>
          <w:rFonts w:ascii="仿宋_GB2312" w:eastAsia="仿宋_GB2312" w:hAnsi="仿宋_GB2312" w:cs="仿宋_GB2312" w:hint="eastAsia"/>
          <w:sz w:val="32"/>
          <w:szCs w:val="32"/>
        </w:rPr>
        <w:t>一并过户需求，在完成不动产转移登记手续后，向水、电、气受理窗口推送相关资料，办理水、电、气过户手续。实现二手房转移登记与水电气视网过户手续联动办理。</w:t>
      </w:r>
    </w:p>
    <w:p w14:paraId="5F0BF784" w14:textId="77777777" w:rsidR="005429DA" w:rsidRDefault="00A63F14">
      <w:pPr>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（二）纸质走向数字，无纸化“零材料”办理</w:t>
      </w:r>
    </w:p>
    <w:p w14:paraId="37753FCD" w14:textId="77777777" w:rsidR="005429DA" w:rsidRDefault="00A63F14">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b/>
          <w:bCs/>
          <w:sz w:val="32"/>
          <w:szCs w:val="32"/>
        </w:rPr>
        <w:t>依托信息共享，材料免交</w:t>
      </w:r>
      <w:r>
        <w:rPr>
          <w:rFonts w:ascii="仿宋_GB2312" w:eastAsia="仿宋_GB2312" w:hAnsi="仿宋_GB2312" w:cs="仿宋_GB2312" w:hint="eastAsia"/>
          <w:b/>
          <w:bCs/>
          <w:sz w:val="32"/>
          <w:szCs w:val="32"/>
        </w:rPr>
        <w:t>“共享办”。</w:t>
      </w:r>
      <w:r>
        <w:rPr>
          <w:rFonts w:ascii="仿宋_GB2312" w:eastAsia="仿宋_GB2312" w:hAnsi="仿宋_GB2312" w:cs="仿宋_GB2312"/>
          <w:sz w:val="32"/>
          <w:szCs w:val="32"/>
        </w:rPr>
        <w:t>与公安、民政、税务、司法、社保、市场监管等部门实现了信息共享，户籍、婚姻登记、司法文书、社会信用代码等不动产登记常用信息，可以通过信息共享直接获取，无需市民提交。</w:t>
      </w:r>
    </w:p>
    <w:p w14:paraId="523EF6EC" w14:textId="77777777" w:rsidR="005429DA" w:rsidRDefault="00A63F14">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b/>
          <w:bCs/>
          <w:sz w:val="32"/>
          <w:szCs w:val="32"/>
        </w:rPr>
        <w:t>推行告知承诺，证明免交</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诚信办</w:t>
      </w:r>
      <w:r>
        <w:rPr>
          <w:rFonts w:ascii="仿宋_GB2312" w:eastAsia="仿宋_GB2312" w:hAnsi="仿宋_GB2312" w:cs="仿宋_GB2312" w:hint="eastAsia"/>
          <w:b/>
          <w:bCs/>
          <w:sz w:val="32"/>
          <w:szCs w:val="32"/>
        </w:rPr>
        <w:t>”。</w:t>
      </w:r>
      <w:r>
        <w:rPr>
          <w:rFonts w:ascii="仿宋_GB2312" w:eastAsia="仿宋_GB2312" w:hAnsi="仿宋_GB2312" w:cs="仿宋_GB2312"/>
          <w:sz w:val="32"/>
          <w:szCs w:val="32"/>
        </w:rPr>
        <w:t>针对市民确实难以获取的死亡证明、亲属关系证明等申请材料，可以通过告知承诺替代；小</w:t>
      </w:r>
      <w:proofErr w:type="gramStart"/>
      <w:r>
        <w:rPr>
          <w:rFonts w:ascii="仿宋_GB2312" w:eastAsia="仿宋_GB2312" w:hAnsi="仿宋_GB2312" w:cs="仿宋_GB2312"/>
          <w:sz w:val="32"/>
          <w:szCs w:val="32"/>
        </w:rPr>
        <w:t>微企业</w:t>
      </w:r>
      <w:proofErr w:type="gramEnd"/>
      <w:r>
        <w:rPr>
          <w:rFonts w:ascii="仿宋_GB2312" w:eastAsia="仿宋_GB2312" w:hAnsi="仿宋_GB2312" w:cs="仿宋_GB2312"/>
          <w:sz w:val="32"/>
          <w:szCs w:val="32"/>
        </w:rPr>
        <w:t>申请不动产登记，无需提交证明材料，书面承诺后立即免征登记费。</w:t>
      </w:r>
    </w:p>
    <w:p w14:paraId="2E7107BA" w14:textId="77777777" w:rsidR="005429DA" w:rsidRDefault="00A63F14">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b/>
          <w:bCs/>
          <w:sz w:val="32"/>
          <w:szCs w:val="32"/>
        </w:rPr>
        <w:t>推广电子</w:t>
      </w:r>
      <w:r>
        <w:rPr>
          <w:rFonts w:ascii="仿宋_GB2312" w:eastAsia="仿宋_GB2312" w:hAnsi="仿宋_GB2312" w:cs="仿宋_GB2312" w:hint="eastAsia"/>
          <w:b/>
          <w:bCs/>
          <w:sz w:val="32"/>
          <w:szCs w:val="32"/>
        </w:rPr>
        <w:t>证照</w:t>
      </w:r>
      <w:r>
        <w:rPr>
          <w:rFonts w:ascii="仿宋_GB2312" w:eastAsia="仿宋_GB2312" w:hAnsi="仿宋_GB2312" w:cs="仿宋_GB2312"/>
          <w:b/>
          <w:bCs/>
          <w:sz w:val="32"/>
          <w:szCs w:val="32"/>
        </w:rPr>
        <w:t>，手机“亮证”</w:t>
      </w: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便捷办</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岳阳市</w:t>
      </w:r>
      <w:r>
        <w:rPr>
          <w:rFonts w:ascii="仿宋_GB2312" w:eastAsia="仿宋_GB2312" w:hAnsi="仿宋_GB2312" w:cs="仿宋_GB2312"/>
          <w:sz w:val="32"/>
          <w:szCs w:val="32"/>
        </w:rPr>
        <w:t>全面推行不动产权证书电子化。市民办理</w:t>
      </w:r>
      <w:r>
        <w:rPr>
          <w:rFonts w:ascii="仿宋_GB2312" w:eastAsia="仿宋_GB2312" w:hAnsi="仿宋_GB2312" w:cs="仿宋_GB2312" w:hint="eastAsia"/>
          <w:sz w:val="32"/>
          <w:szCs w:val="32"/>
        </w:rPr>
        <w:t>资产清查、</w:t>
      </w:r>
      <w:r>
        <w:rPr>
          <w:rFonts w:ascii="仿宋_GB2312" w:eastAsia="仿宋_GB2312" w:hAnsi="仿宋_GB2312" w:cs="仿宋_GB2312"/>
          <w:sz w:val="32"/>
          <w:szCs w:val="32"/>
        </w:rPr>
        <w:t>子女入学、抵押贷款等事务时，可以直接使用“</w:t>
      </w:r>
      <w:r>
        <w:rPr>
          <w:rFonts w:ascii="仿宋_GB2312" w:eastAsia="仿宋_GB2312" w:hAnsi="仿宋_GB2312" w:cs="仿宋_GB2312" w:hint="eastAsia"/>
          <w:sz w:val="32"/>
          <w:szCs w:val="32"/>
        </w:rPr>
        <w:t>岳阳市不动产登记中心小程序</w:t>
      </w:r>
      <w:r>
        <w:rPr>
          <w:rFonts w:ascii="仿宋_GB2312" w:eastAsia="仿宋_GB2312" w:hAnsi="仿宋_GB2312" w:cs="仿宋_GB2312"/>
          <w:sz w:val="32"/>
          <w:szCs w:val="32"/>
        </w:rPr>
        <w:t>”出示电子不动产权证，与纸质不动产权证具有同等法律效力。</w:t>
      </w:r>
    </w:p>
    <w:p w14:paraId="2DAC82A6" w14:textId="77777777" w:rsidR="005429DA" w:rsidRDefault="00A63F14">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b/>
          <w:bCs/>
          <w:sz w:val="32"/>
          <w:szCs w:val="32"/>
        </w:rPr>
        <w:t>拓展电子查询证明，网上查询</w:t>
      </w:r>
      <w:r>
        <w:rPr>
          <w:rFonts w:ascii="仿宋_GB2312" w:eastAsia="仿宋_GB2312" w:hAnsi="仿宋_GB2312" w:cs="仿宋_GB2312" w:hint="eastAsia"/>
          <w:b/>
          <w:bCs/>
          <w:sz w:val="32"/>
          <w:szCs w:val="32"/>
        </w:rPr>
        <w:t>可视化。</w:t>
      </w:r>
      <w:r>
        <w:rPr>
          <w:rFonts w:ascii="仿宋_GB2312" w:eastAsia="仿宋_GB2312" w:hAnsi="仿宋_GB2312" w:cs="仿宋_GB2312" w:hint="eastAsia"/>
          <w:sz w:val="32"/>
          <w:szCs w:val="32"/>
        </w:rPr>
        <w:t>为进一步做好不动产登记信息查询，保障购房人权益，开通了权利人线上查询、委托查询、可视化“以图查房”等查询服务功能，向全市自然人、法人及非法人组织提供不动产登记信息及地籍图可视化查询服务，企业群众查询不动产登记信息更加便捷、直观、全面。进一步创新了不动产登记信息的查询方式、拓宽了查询途径、节约了查询成本，有效破解以往买卖双方信息不对等问题，有效降低交易风险，防范交易纠纷，保障企业群众的合法权益。</w:t>
      </w:r>
    </w:p>
    <w:p w14:paraId="407CD47C" w14:textId="77777777" w:rsidR="005429DA" w:rsidRDefault="00A63F14">
      <w:pPr>
        <w:spacing w:line="580" w:lineRule="exact"/>
        <w:ind w:firstLineChars="200" w:firstLine="643"/>
        <w:jc w:val="left"/>
        <w:rPr>
          <w:rFonts w:ascii="楷体" w:eastAsia="楷体" w:hAnsi="楷体" w:cs="楷体"/>
          <w:b/>
          <w:bCs/>
          <w:color w:val="333333"/>
          <w:sz w:val="32"/>
          <w:szCs w:val="32"/>
          <w:shd w:val="clear" w:color="auto" w:fill="FFFFFF"/>
        </w:rPr>
      </w:pPr>
      <w:r>
        <w:rPr>
          <w:rFonts w:ascii="楷体" w:eastAsia="楷体" w:hAnsi="楷体" w:cs="楷体" w:hint="eastAsia"/>
          <w:b/>
          <w:bCs/>
          <w:color w:val="333333"/>
          <w:sz w:val="32"/>
          <w:szCs w:val="32"/>
          <w:shd w:val="clear" w:color="auto" w:fill="FFFFFF"/>
        </w:rPr>
        <w:t>（三）线下走向线上，不见面“零跑腿”办理</w:t>
      </w:r>
    </w:p>
    <w:p w14:paraId="637675A3" w14:textId="77777777" w:rsidR="005429DA" w:rsidRDefault="00A63F14">
      <w:pPr>
        <w:spacing w:line="580" w:lineRule="exact"/>
        <w:ind w:firstLineChars="200" w:firstLine="643"/>
        <w:jc w:val="left"/>
        <w:rPr>
          <w:rFonts w:ascii="仿宋_GB2312" w:eastAsia="仿宋_GB2312" w:hAnsi="仿宋_GB2312" w:cs="仿宋_GB2312"/>
          <w:sz w:val="32"/>
          <w:szCs w:val="32"/>
          <w:lang w:val="zh-CN"/>
        </w:rPr>
      </w:pPr>
      <w:r>
        <w:rPr>
          <w:rFonts w:ascii="楷体" w:eastAsia="楷体" w:hAnsi="楷体" w:cs="楷体" w:hint="eastAsia"/>
          <w:b/>
          <w:bCs/>
          <w:color w:val="333333"/>
          <w:sz w:val="32"/>
          <w:szCs w:val="32"/>
          <w:shd w:val="clear" w:color="auto" w:fill="FFFFFF"/>
        </w:rPr>
        <w:lastRenderedPageBreak/>
        <w:t>1.</w:t>
      </w:r>
      <w:r>
        <w:rPr>
          <w:rFonts w:ascii="仿宋_GB2312" w:eastAsia="仿宋_GB2312" w:hAnsi="仿宋_GB2312" w:cs="仿宋_GB2312"/>
          <w:b/>
          <w:bCs/>
          <w:sz w:val="32"/>
          <w:szCs w:val="32"/>
        </w:rPr>
        <w:t>数据联通“异地办”</w:t>
      </w:r>
      <w:r>
        <w:rPr>
          <w:rFonts w:ascii="仿宋_GB2312" w:eastAsia="仿宋_GB2312" w:hAnsi="仿宋_GB2312" w:cs="仿宋_GB2312" w:hint="eastAsia"/>
          <w:b/>
          <w:bCs/>
          <w:sz w:val="32"/>
          <w:szCs w:val="32"/>
        </w:rPr>
        <w:t>。一是“全省通办”</w:t>
      </w:r>
      <w:r>
        <w:rPr>
          <w:rFonts w:ascii="仿宋_GB2312" w:eastAsia="仿宋_GB2312" w:hAnsi="仿宋_GB2312" w:cs="仿宋_GB2312" w:hint="eastAsia"/>
          <w:sz w:val="32"/>
          <w:szCs w:val="32"/>
          <w:lang w:val="zh-CN"/>
        </w:rPr>
        <w:t>业务首批开通国有建设用地使用权及房屋所有权的转移登记、变更登记（自然人）、抵押登记、预告登记及不动产登记信息查询等5大类12项高频不动产登记业务。</w:t>
      </w:r>
    </w:p>
    <w:p w14:paraId="1F0D61FA" w14:textId="77777777" w:rsidR="005429DA" w:rsidRDefault="00A63F14">
      <w:pPr>
        <w:spacing w:line="58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二是“跨省通办”</w:t>
      </w:r>
      <w:proofErr w:type="gramStart"/>
      <w:r>
        <w:rPr>
          <w:rFonts w:ascii="仿宋_GB2312" w:eastAsia="仿宋_GB2312" w:hAnsi="仿宋_GB2312" w:cs="仿宋_GB2312" w:hint="eastAsia"/>
          <w:sz w:val="32"/>
          <w:szCs w:val="32"/>
        </w:rPr>
        <w:t>创新智联互通</w:t>
      </w:r>
      <w:proofErr w:type="gramEnd"/>
      <w:r>
        <w:rPr>
          <w:rFonts w:ascii="仿宋_GB2312" w:eastAsia="仿宋_GB2312" w:hAnsi="仿宋_GB2312" w:cs="仿宋_GB2312" w:hint="eastAsia"/>
          <w:sz w:val="32"/>
          <w:szCs w:val="32"/>
        </w:rPr>
        <w:t>，按照“线下、线上”相结合的服务模式，全面开展不动产登记“跨区域、跨地域”。</w:t>
      </w:r>
      <w:r>
        <w:rPr>
          <w:rFonts w:ascii="仿宋_GB2312" w:eastAsia="仿宋_GB2312" w:hAnsi="仿宋_GB2312" w:cs="仿宋_GB2312" w:hint="eastAsia"/>
          <w:b/>
          <w:bCs/>
          <w:sz w:val="32"/>
          <w:szCs w:val="32"/>
        </w:rPr>
        <w:t>线下，</w:t>
      </w:r>
      <w:r>
        <w:rPr>
          <w:rFonts w:ascii="仿宋_GB2312" w:eastAsia="仿宋_GB2312" w:hAnsi="仿宋_GB2312" w:cs="仿宋_GB2312" w:hint="eastAsia"/>
          <w:sz w:val="32"/>
          <w:szCs w:val="32"/>
        </w:rPr>
        <w:t>先后与湖北省咸宁市、监利市、荆州市、鄂州市、天门市、广东省广州市、深圳市不动产登记部门签署不动产登记“跨省通办”合作协议。在两地不动产登记受理大厅设置“跨省通办”综合窗口，办事群众可直接在当地办理合作城市不动产登记业务，实现跨省异地登记业务办理“零跑腿”。</w:t>
      </w:r>
      <w:r>
        <w:rPr>
          <w:rFonts w:ascii="仿宋_GB2312" w:eastAsia="仿宋_GB2312" w:hAnsi="仿宋_GB2312" w:cs="仿宋_GB2312" w:hint="eastAsia"/>
          <w:b/>
          <w:bCs/>
          <w:sz w:val="32"/>
          <w:szCs w:val="32"/>
        </w:rPr>
        <w:t>线上，</w:t>
      </w:r>
      <w:r>
        <w:rPr>
          <w:rFonts w:ascii="仿宋_GB2312" w:eastAsia="仿宋_GB2312" w:hAnsi="仿宋_GB2312" w:cs="仿宋_GB2312" w:hint="eastAsia"/>
          <w:sz w:val="32"/>
          <w:szCs w:val="32"/>
        </w:rPr>
        <w:t>凭借掌上移动终端，为广大群众提供不动产登记“跨区域、跨地域”办理。通过登录岳阳市不动产登记中心“微信小程序”，线上人脸识别进行身份认证，电子签名采集和相关资料的影像上传，在线缴纳登记费、税费、维修资金，实现全程不见面办理，为办事群众提供更为智能、便捷的登记体验。</w:t>
      </w:r>
      <w:r>
        <w:rPr>
          <w:rFonts w:ascii="仿宋_GB2312" w:eastAsia="仿宋_GB2312" w:hAnsi="仿宋_GB2312" w:cs="仿宋_GB2312" w:hint="eastAsia"/>
          <w:color w:val="000000"/>
          <w:sz w:val="32"/>
          <w:szCs w:val="32"/>
        </w:rPr>
        <w:t>业务包括国有建设用地使用权及房屋所有权转移登记、变更登记、抵押登记、预告登记、换（补）证，不动产登记信息查询等63项不动产登记业务。为企业群众节约大量时间成本和经济成本。</w:t>
      </w:r>
      <w:r>
        <w:rPr>
          <w:rFonts w:ascii="仿宋_GB2312" w:eastAsia="仿宋_GB2312" w:hAnsi="仿宋_GB2312" w:cs="仿宋_GB2312" w:hint="eastAsia"/>
          <w:sz w:val="32"/>
          <w:szCs w:val="32"/>
        </w:rPr>
        <w:t>目前已办理多笔“跨国”“跨省”不动产登记业务。11月29日，参加广州市局召开区块链+不动产登记</w:t>
      </w:r>
      <w:proofErr w:type="gramStart"/>
      <w:r>
        <w:rPr>
          <w:rFonts w:ascii="仿宋_GB2312" w:eastAsia="仿宋_GB2312" w:hAnsi="仿宋_GB2312" w:cs="仿宋_GB2312" w:hint="eastAsia"/>
          <w:sz w:val="32"/>
          <w:szCs w:val="32"/>
        </w:rPr>
        <w:t>”跨省通办系统</w:t>
      </w:r>
      <w:proofErr w:type="gramEnd"/>
      <w:r>
        <w:rPr>
          <w:rFonts w:ascii="仿宋_GB2312" w:eastAsia="仿宋_GB2312" w:hAnsi="仿宋_GB2312" w:cs="仿宋_GB2312" w:hint="eastAsia"/>
          <w:sz w:val="32"/>
          <w:szCs w:val="32"/>
        </w:rPr>
        <w:t>使用培训会，进一步加强“跨省通办”业务协同、流程衔接、信息</w:t>
      </w:r>
      <w:proofErr w:type="gramStart"/>
      <w:r>
        <w:rPr>
          <w:rFonts w:ascii="仿宋_GB2312" w:eastAsia="仿宋_GB2312" w:hAnsi="仿宋_GB2312" w:cs="仿宋_GB2312" w:hint="eastAsia"/>
          <w:sz w:val="32"/>
          <w:szCs w:val="32"/>
        </w:rPr>
        <w:t>互信登工作</w:t>
      </w:r>
      <w:proofErr w:type="gramEnd"/>
      <w:r>
        <w:rPr>
          <w:rFonts w:ascii="仿宋_GB2312" w:eastAsia="仿宋_GB2312" w:hAnsi="仿宋_GB2312" w:cs="仿宋_GB2312" w:hint="eastAsia"/>
          <w:sz w:val="32"/>
          <w:szCs w:val="32"/>
        </w:rPr>
        <w:t>，实现业务申</w:t>
      </w:r>
      <w:r>
        <w:rPr>
          <w:rFonts w:ascii="仿宋_GB2312" w:eastAsia="仿宋_GB2312" w:hAnsi="仿宋_GB2312" w:cs="仿宋_GB2312" w:hint="eastAsia"/>
          <w:sz w:val="32"/>
          <w:szCs w:val="32"/>
        </w:rPr>
        <w:lastRenderedPageBreak/>
        <w:t>请、银行抵押、登记业务全过程上链留痕，链上信息存证可回溯，业务办理成果可查互信的技术框架和工作机制，支撑两地不动产登记“随地办、随时办、随心办”。</w:t>
      </w:r>
    </w:p>
    <w:p w14:paraId="574E19E5" w14:textId="77777777" w:rsidR="005429DA" w:rsidRDefault="00A63F14">
      <w:pPr>
        <w:spacing w:line="580" w:lineRule="exact"/>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三是“全市全域全业务通办”</w:t>
      </w:r>
      <w:r>
        <w:rPr>
          <w:rFonts w:ascii="仿宋_GB2312" w:eastAsia="仿宋_GB2312" w:hAnsi="仿宋_GB2312" w:cs="仿宋_GB2312" w:hint="eastAsia"/>
          <w:sz w:val="32"/>
          <w:szCs w:val="32"/>
        </w:rPr>
        <w:t>打破原有的“不动产登记以属地管辖”传统模式，出台了《岳阳市不动产登记业务“全市全域全业务通办”标准（试用）》，正式实施岳阳市不动产登记“全市全域全业务通办”，解决在居住地和不动产所在地间“往返跑”的问题，让企业、群众可以在全市范围内任何一个不动产登记窗口办理所有不动产登记业务，为企业群众节约时间成本和经济成本。</w:t>
      </w:r>
    </w:p>
    <w:p w14:paraId="03BA9DAB" w14:textId="77777777" w:rsidR="005429DA" w:rsidRDefault="00A63F14">
      <w:pPr>
        <w:spacing w:line="58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b/>
          <w:bCs/>
          <w:sz w:val="32"/>
          <w:szCs w:val="32"/>
        </w:rPr>
        <w:t>业务联通“就近办”</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组建12人的“网办”专班，通过精确</w:t>
      </w:r>
      <w:proofErr w:type="gramStart"/>
      <w:r>
        <w:rPr>
          <w:rFonts w:ascii="仿宋_GB2312" w:eastAsia="仿宋_GB2312" w:hAnsi="仿宋_GB2312" w:cs="仿宋_GB2312" w:hint="eastAsia"/>
          <w:sz w:val="32"/>
          <w:szCs w:val="32"/>
        </w:rPr>
        <w:t>网办指南</w:t>
      </w:r>
      <w:proofErr w:type="gramEnd"/>
      <w:r>
        <w:rPr>
          <w:rFonts w:ascii="仿宋_GB2312" w:eastAsia="仿宋_GB2312" w:hAnsi="仿宋_GB2312" w:cs="仿宋_GB2312" w:hint="eastAsia"/>
          <w:sz w:val="32"/>
          <w:szCs w:val="32"/>
        </w:rPr>
        <w:t>、简化</w:t>
      </w:r>
      <w:proofErr w:type="gramStart"/>
      <w:r>
        <w:rPr>
          <w:rFonts w:ascii="仿宋_GB2312" w:eastAsia="仿宋_GB2312" w:hAnsi="仿宋_GB2312" w:cs="仿宋_GB2312" w:hint="eastAsia"/>
          <w:sz w:val="32"/>
          <w:szCs w:val="32"/>
        </w:rPr>
        <w:t>网办流程</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强化网办宣传</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设置网办专区</w:t>
      </w:r>
      <w:proofErr w:type="gramEnd"/>
      <w:r>
        <w:rPr>
          <w:rFonts w:ascii="仿宋_GB2312" w:eastAsia="仿宋_GB2312" w:hAnsi="仿宋_GB2312" w:cs="仿宋_GB2312" w:hint="eastAsia"/>
          <w:sz w:val="32"/>
          <w:szCs w:val="32"/>
        </w:rPr>
        <w:t>，实现登记业务“线下办”向“线上办”转变。已与19家银行和公积金中心开展抵押登记业务代办合作，实现“在哪里贷款就在哪里登记”；在71家房地产开发企业开通预购商品房预告及预抵登记、商品房转移登记，实现“在哪里购置商品房就在哪里登记”；在房屋中介公司开展二手房转移过户业务的代办合作，实现“在哪里购买二手房就在哪里登记”。实现“互联网+不动产登记”业务办理总量占比（不含查询）80.18%；抵押登记网上办理量占同类业务总量比例91.71%。（含抵押注销登记）；预告登记网上办理量占同类业务总量比例93.92%。（含注销登记）。极大方便了市民办事。</w:t>
      </w:r>
    </w:p>
    <w:p w14:paraId="4DE90170" w14:textId="77777777" w:rsidR="005429DA" w:rsidRDefault="00A63F14">
      <w:pPr>
        <w:spacing w:line="580" w:lineRule="exact"/>
        <w:ind w:firstLineChars="200" w:firstLine="643"/>
        <w:jc w:val="left"/>
        <w:rPr>
          <w:rFonts w:ascii="仿宋_GB2312" w:eastAsia="仿宋_GB2312" w:hAnsi="仿宋_GB2312" w:cs="仿宋_GB2312"/>
          <w:sz w:val="32"/>
          <w:szCs w:val="32"/>
        </w:rPr>
      </w:pPr>
      <w:r>
        <w:rPr>
          <w:rStyle w:val="aa"/>
          <w:rFonts w:ascii="仿宋_GB2312" w:eastAsia="仿宋_GB2312" w:hAnsi="仿宋_GB2312" w:cs="仿宋_GB2312" w:hint="eastAsia"/>
          <w:sz w:val="32"/>
          <w:szCs w:val="32"/>
          <w:shd w:val="clear" w:color="auto" w:fill="FFFFFF"/>
        </w:rPr>
        <w:t>3.便捷服务“掌上办”。</w:t>
      </w:r>
      <w:r>
        <w:rPr>
          <w:rFonts w:ascii="仿宋_GB2312" w:eastAsia="仿宋_GB2312" w:hAnsi="仿宋_GB2312" w:cs="仿宋_GB2312" w:hint="eastAsia"/>
          <w:sz w:val="32"/>
          <w:szCs w:val="32"/>
        </w:rPr>
        <w:t>充分运用信息化、大数据等</w:t>
      </w:r>
      <w:r>
        <w:rPr>
          <w:rFonts w:ascii="仿宋_GB2312" w:eastAsia="仿宋_GB2312" w:hAnsi="仿宋_GB2312" w:cs="仿宋_GB2312" w:hint="eastAsia"/>
          <w:sz w:val="32"/>
          <w:szCs w:val="32"/>
        </w:rPr>
        <w:lastRenderedPageBreak/>
        <w:t>支撑，优化不动产登记服务，通过“掌上办”客户端，产权人直接在线上提交相关信息及材料，登记成功后提交系统受理审核，完成后直接登簿发证，产权人根据需要可直接掌上领取电子证或选择就近窗口领纸质证，也可以选择邮寄领证，直接配送到家真正让办事群众实现足不出户办理登记业务，目前已开通</w:t>
      </w:r>
      <w:r>
        <w:rPr>
          <w:rFonts w:ascii="仿宋_GB2312" w:eastAsia="仿宋_GB2312" w:hAnsi="仿宋_GB2312" w:cs="仿宋_GB2312" w:hint="eastAsia"/>
          <w:kern w:val="2"/>
          <w:sz w:val="32"/>
          <w:szCs w:val="32"/>
        </w:rPr>
        <w:t>商品房转移、存量</w:t>
      </w:r>
      <w:proofErr w:type="gramStart"/>
      <w:r>
        <w:rPr>
          <w:rFonts w:ascii="仿宋_GB2312" w:eastAsia="仿宋_GB2312" w:hAnsi="仿宋_GB2312" w:cs="仿宋_GB2312" w:hint="eastAsia"/>
          <w:kern w:val="2"/>
          <w:sz w:val="32"/>
          <w:szCs w:val="32"/>
        </w:rPr>
        <w:t>房转移</w:t>
      </w:r>
      <w:proofErr w:type="gramEnd"/>
      <w:r>
        <w:rPr>
          <w:rFonts w:ascii="仿宋_GB2312" w:eastAsia="仿宋_GB2312" w:hAnsi="仿宋_GB2312" w:cs="仿宋_GB2312" w:hint="eastAsia"/>
          <w:kern w:val="2"/>
          <w:sz w:val="32"/>
          <w:szCs w:val="32"/>
        </w:rPr>
        <w:t>登记、</w:t>
      </w:r>
      <w:proofErr w:type="gramStart"/>
      <w:r>
        <w:rPr>
          <w:rFonts w:ascii="仿宋_GB2312" w:eastAsia="仿宋_GB2312" w:hAnsi="仿宋_GB2312" w:cs="仿宋_GB2312" w:hint="eastAsia"/>
          <w:kern w:val="2"/>
          <w:sz w:val="32"/>
          <w:szCs w:val="32"/>
        </w:rPr>
        <w:t>双预登记</w:t>
      </w:r>
      <w:proofErr w:type="gramEnd"/>
      <w:r>
        <w:rPr>
          <w:rFonts w:ascii="仿宋_GB2312" w:eastAsia="仿宋_GB2312" w:hAnsi="仿宋_GB2312" w:cs="仿宋_GB2312" w:hint="eastAsia"/>
          <w:kern w:val="2"/>
          <w:sz w:val="32"/>
          <w:szCs w:val="32"/>
        </w:rPr>
        <w:t>、预抵登记、预告登记、遗失补证等“掌上办”登记类型，自开通以来，共办理完成各类“掌上办”业务2413笔</w:t>
      </w:r>
      <w:r>
        <w:rPr>
          <w:rFonts w:ascii="仿宋_GB2312" w:eastAsia="仿宋_GB2312" w:hAnsi="仿宋_GB2312" w:cs="仿宋_GB2312" w:hint="eastAsia"/>
          <w:sz w:val="32"/>
          <w:szCs w:val="32"/>
        </w:rPr>
        <w:t>。</w:t>
      </w:r>
    </w:p>
    <w:p w14:paraId="0753CF54" w14:textId="77777777" w:rsidR="005429DA" w:rsidRDefault="00A63F14">
      <w:pPr>
        <w:spacing w:line="580" w:lineRule="exact"/>
        <w:ind w:firstLineChars="200" w:firstLine="643"/>
        <w:jc w:val="left"/>
        <w:rPr>
          <w:rFonts w:ascii="仿宋_GB2312" w:eastAsia="仿宋_GB2312" w:hAnsi="仿宋_GB2312" w:cs="仿宋_GB2312"/>
          <w:color w:val="000000"/>
          <w:sz w:val="32"/>
          <w:szCs w:val="32"/>
          <w:shd w:val="clear" w:color="auto" w:fill="FFFFFF"/>
        </w:rPr>
      </w:pPr>
      <w:r>
        <w:rPr>
          <w:rStyle w:val="aa"/>
          <w:rFonts w:ascii="方正仿宋_GB18030" w:eastAsia="方正仿宋_GB18030" w:hAnsi="方正仿宋_GB18030" w:cs="方正仿宋_GB18030" w:hint="eastAsia"/>
          <w:sz w:val="32"/>
          <w:szCs w:val="32"/>
          <w:shd w:val="clear" w:color="auto" w:fill="FFFFFF"/>
        </w:rPr>
        <w:t>4.</w:t>
      </w:r>
      <w:r>
        <w:rPr>
          <w:rStyle w:val="aa"/>
          <w:rFonts w:ascii="仿宋_GB2312" w:eastAsia="仿宋_GB2312" w:hAnsi="仿宋_GB2312" w:cs="仿宋_GB2312" w:hint="eastAsia"/>
          <w:sz w:val="32"/>
          <w:szCs w:val="32"/>
          <w:shd w:val="clear" w:color="auto" w:fill="FFFFFF"/>
        </w:rPr>
        <w:t>智能服务“极速办”。</w:t>
      </w:r>
      <w:r>
        <w:rPr>
          <w:rFonts w:ascii="仿宋_GB2312" w:eastAsia="仿宋_GB2312" w:hAnsi="仿宋_GB2312" w:cs="仿宋_GB2312" w:hint="eastAsia"/>
          <w:color w:val="000000"/>
          <w:sz w:val="32"/>
          <w:szCs w:val="32"/>
          <w:shd w:val="clear" w:color="auto" w:fill="FFFFFF"/>
        </w:rPr>
        <w:t>积极探索建立不动产登记业务智能审批办理新模式，充分利用数据共享成果、信息化技术，业务材料电子化等技术，围绕高效、安全目标任务，以提高业务办理效率、减轻窗口负担为导向，以数据为核心，以网络、外设等基础设施为基础，以管理制度和技术标准为保障，激活信息智能应用，紧密贴近需求，统筹推进，建成符合岳阳市不动产登记中心要求的智能审批的办件模式。现已在银行端开通不动产抵押注销、预告抵押注销、</w:t>
      </w:r>
      <w:proofErr w:type="gramStart"/>
      <w:r>
        <w:rPr>
          <w:rFonts w:ascii="仿宋_GB2312" w:eastAsia="仿宋_GB2312" w:hAnsi="仿宋_GB2312" w:cs="仿宋_GB2312" w:hint="eastAsia"/>
          <w:color w:val="000000"/>
          <w:sz w:val="32"/>
          <w:szCs w:val="32"/>
          <w:shd w:val="clear" w:color="auto" w:fill="FFFFFF"/>
        </w:rPr>
        <w:t>最</w:t>
      </w:r>
      <w:proofErr w:type="gramEnd"/>
      <w:r>
        <w:rPr>
          <w:rFonts w:ascii="仿宋_GB2312" w:eastAsia="仿宋_GB2312" w:hAnsi="仿宋_GB2312" w:cs="仿宋_GB2312" w:hint="eastAsia"/>
          <w:color w:val="000000"/>
          <w:sz w:val="32"/>
          <w:szCs w:val="32"/>
          <w:shd w:val="clear" w:color="auto" w:fill="FFFFFF"/>
        </w:rPr>
        <w:t>高额抵押注销、不动产</w:t>
      </w:r>
      <w:proofErr w:type="gramStart"/>
      <w:r>
        <w:rPr>
          <w:rFonts w:ascii="仿宋_GB2312" w:eastAsia="仿宋_GB2312" w:hAnsi="仿宋_GB2312" w:cs="仿宋_GB2312" w:hint="eastAsia"/>
          <w:color w:val="000000"/>
          <w:sz w:val="32"/>
          <w:szCs w:val="32"/>
          <w:shd w:val="clear" w:color="auto" w:fill="FFFFFF"/>
        </w:rPr>
        <w:t>期转现业务</w:t>
      </w:r>
      <w:proofErr w:type="gramEnd"/>
      <w:r>
        <w:rPr>
          <w:rFonts w:ascii="仿宋_GB2312" w:eastAsia="仿宋_GB2312" w:hAnsi="仿宋_GB2312" w:cs="仿宋_GB2312" w:hint="eastAsia"/>
          <w:color w:val="000000"/>
          <w:sz w:val="32"/>
          <w:szCs w:val="32"/>
          <w:shd w:val="clear" w:color="auto" w:fill="FFFFFF"/>
        </w:rPr>
        <w:t>的智能审批，实现业务从受理到办结不超过3分钟的“极速办”。今年共办理完成各类“智能审批”业务18058笔。</w:t>
      </w:r>
    </w:p>
    <w:p w14:paraId="6D794DB0" w14:textId="77777777" w:rsidR="005429DA" w:rsidRDefault="00A63F14">
      <w:pPr>
        <w:spacing w:line="580" w:lineRule="exact"/>
        <w:ind w:firstLineChars="200" w:firstLine="643"/>
        <w:jc w:val="left"/>
        <w:rPr>
          <w:rFonts w:ascii="仿宋_GB2312" w:eastAsia="仿宋_GB2312" w:hAnsi="仿宋_GB2312" w:cs="仿宋_GB2312"/>
          <w:sz w:val="32"/>
          <w:szCs w:val="32"/>
        </w:rPr>
      </w:pPr>
      <w:r>
        <w:rPr>
          <w:rStyle w:val="aa"/>
          <w:rFonts w:ascii="方正仿宋_GB18030" w:eastAsia="方正仿宋_GB18030" w:hAnsi="方正仿宋_GB18030" w:cs="方正仿宋_GB18030" w:hint="eastAsia"/>
          <w:sz w:val="32"/>
          <w:szCs w:val="32"/>
          <w:shd w:val="clear" w:color="auto" w:fill="FFFFFF"/>
        </w:rPr>
        <w:t>5.信息服务“随时查”。</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统一规范55项办事指南，实现办事群众在大厅、网站、手机可同步获取。</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登记信息“可查尽查”，企业群众可通过“岳阳市不动产登记中心”门户网站、</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、小程序、窗口等多种</w:t>
      </w:r>
      <w:r>
        <w:rPr>
          <w:rFonts w:ascii="仿宋_GB2312" w:eastAsia="仿宋_GB2312" w:hAnsi="仿宋_GB2312" w:cs="仿宋_GB2312" w:hint="eastAsia"/>
          <w:sz w:val="32"/>
          <w:szCs w:val="32"/>
        </w:rPr>
        <w:lastRenderedPageBreak/>
        <w:t>渠道，随时查询不动产自然状况信息、权利限制信息、地籍图信息、非居住类企业权利人信息等。</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查询结果“可信可用”，线上查询的不动产登记结果信息已加盖电子印章，与线下窗口出具查询结果具有同等法律效力。</w:t>
      </w:r>
    </w:p>
    <w:p w14:paraId="1CCA5851" w14:textId="77777777" w:rsidR="005429DA" w:rsidRDefault="00A63F14">
      <w:pPr>
        <w:spacing w:line="580" w:lineRule="exact"/>
        <w:ind w:firstLineChars="200" w:firstLine="643"/>
        <w:jc w:val="left"/>
        <w:rPr>
          <w:rFonts w:ascii="楷体" w:eastAsia="楷体" w:hAnsi="楷体" w:cs="楷体"/>
          <w:b/>
          <w:bCs/>
          <w:color w:val="333333"/>
          <w:sz w:val="32"/>
          <w:szCs w:val="32"/>
          <w:shd w:val="clear" w:color="auto" w:fill="FFFFFF"/>
        </w:rPr>
      </w:pPr>
      <w:r>
        <w:rPr>
          <w:rFonts w:ascii="楷体" w:eastAsia="楷体" w:hAnsi="楷体" w:cs="楷体" w:hint="eastAsia"/>
          <w:b/>
          <w:bCs/>
          <w:color w:val="333333"/>
          <w:sz w:val="32"/>
          <w:szCs w:val="32"/>
          <w:shd w:val="clear" w:color="auto" w:fill="FFFFFF"/>
        </w:rPr>
        <w:t>（四）便利走向高效，优服务“零距离”办理</w:t>
      </w:r>
    </w:p>
    <w:p w14:paraId="38239DFA" w14:textId="77777777" w:rsidR="005429DA" w:rsidRDefault="00A63F14">
      <w:pPr>
        <w:spacing w:line="58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1.完善窗口服务能力，实现高效办。一是</w:t>
      </w:r>
      <w:r>
        <w:rPr>
          <w:rFonts w:ascii="仿宋_GB2312" w:eastAsia="仿宋_GB2312" w:hAnsi="仿宋_GB2312" w:cs="仿宋_GB2312" w:hint="eastAsia"/>
          <w:sz w:val="32"/>
          <w:szCs w:val="32"/>
        </w:rPr>
        <w:t>推行领导班子“轮值坐班”制。对办理当中出现的难点堵点问题及时回应，</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指导，为企业群众提供解答政策、协调联系相关部门的解决疑难业务；</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推行科长</w:t>
      </w:r>
      <w:proofErr w:type="gramStart"/>
      <w:r>
        <w:rPr>
          <w:rFonts w:ascii="仿宋_GB2312" w:eastAsia="仿宋_GB2312" w:hAnsi="仿宋_GB2312" w:cs="仿宋_GB2312" w:hint="eastAsia"/>
          <w:sz w:val="32"/>
          <w:szCs w:val="32"/>
        </w:rPr>
        <w:t>带办制</w:t>
      </w:r>
      <w:proofErr w:type="gramEnd"/>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设立企业专窗，实行科长</w:t>
      </w:r>
      <w:proofErr w:type="gramStart"/>
      <w:r>
        <w:rPr>
          <w:rFonts w:ascii="仿宋_GB2312" w:eastAsia="仿宋_GB2312" w:hAnsi="仿宋_GB2312" w:cs="仿宋_GB2312" w:hint="eastAsia"/>
          <w:sz w:val="32"/>
          <w:szCs w:val="32"/>
        </w:rPr>
        <w:t>带办制</w:t>
      </w:r>
      <w:proofErr w:type="gramEnd"/>
      <w:r>
        <w:rPr>
          <w:rFonts w:ascii="仿宋_GB2312" w:eastAsia="仿宋_GB2312" w:hAnsi="仿宋_GB2312" w:cs="仿宋_GB2312" w:hint="eastAsia"/>
          <w:sz w:val="32"/>
          <w:szCs w:val="32"/>
        </w:rPr>
        <w:t>，坐班科长全流程参与业务办理，实施帮助办、代理办、陪同办</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设置“办不成事”反映窗口</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在各业务大厅设立了“办不成事”反映窗口，由业务骨干“坐诊”，专治“疑难杂症”，专接“烫手山芋”，让办事群众不白跑、</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扑空、有地方找、有人帮，提供兜底服务；</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提供“绿色通道”“残疾人友好窗口”“军人优先窗口”“全市全域通办窗口”“跨省通办窗口”，对特殊办件、急办件、临下班件等突发需求提供“延时服务”“上门服务”，做到“群众不离开，窗口</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打烊”，今年以来为企业群众提供“延迟服务”52次，“上门服务”69次。</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压缩登记时限。各类不动产登记业务办理时限压缩至1个工作日以内；查封登记、注销登记，即时办理；企业之间转移登记，0.5个工作日内办结。</w:t>
      </w:r>
    </w:p>
    <w:p w14:paraId="0B2E521A" w14:textId="77777777" w:rsidR="005429DA" w:rsidRDefault="00A63F14">
      <w:pPr>
        <w:spacing w:line="580" w:lineRule="exact"/>
        <w:ind w:firstLineChars="200" w:firstLine="643"/>
        <w:jc w:val="left"/>
        <w:rPr>
          <w:rFonts w:ascii="仿宋_GB2312" w:eastAsia="仿宋_GB2312" w:hAnsi="仿宋_GB2312" w:cs="仿宋_GB2312"/>
          <w:sz w:val="32"/>
          <w:szCs w:val="32"/>
        </w:rPr>
      </w:pPr>
      <w:r>
        <w:rPr>
          <w:rStyle w:val="aa"/>
          <w:rFonts w:ascii="仿宋_GB2312" w:eastAsia="仿宋_GB2312" w:hAnsi="仿宋_GB2312" w:cs="仿宋_GB2312" w:hint="eastAsia"/>
          <w:sz w:val="32"/>
          <w:szCs w:val="32"/>
          <w:shd w:val="clear" w:color="auto" w:fill="FFFFFF"/>
        </w:rPr>
        <w:t>2.全面实施“交地、成交、竣工、</w:t>
      </w:r>
      <w:r>
        <w:rPr>
          <w:rStyle w:val="aa"/>
          <w:rFonts w:ascii="仿宋_GB2312" w:eastAsia="仿宋_GB2312" w:hAnsi="仿宋_GB2312" w:cs="仿宋_GB2312"/>
          <w:sz w:val="32"/>
          <w:szCs w:val="32"/>
          <w:shd w:val="clear" w:color="auto" w:fill="FFFFFF"/>
        </w:rPr>
        <w:t>交房即交证”</w:t>
      </w:r>
      <w:r>
        <w:rPr>
          <w:rStyle w:val="aa"/>
          <w:rFonts w:ascii="仿宋_GB2312" w:eastAsia="仿宋_GB2312" w:hAnsi="仿宋_GB2312" w:cs="仿宋_GB2312" w:hint="eastAsia"/>
          <w:sz w:val="32"/>
          <w:szCs w:val="32"/>
          <w:shd w:val="clear" w:color="auto" w:fill="FFFFFF"/>
        </w:rPr>
        <w:t>改革。</w:t>
      </w:r>
      <w:r>
        <w:rPr>
          <w:rFonts w:ascii="仿宋_GB2312" w:eastAsia="仿宋_GB2312" w:hAnsi="仿宋_GB2312" w:cs="仿宋_GB2312" w:hint="eastAsia"/>
          <w:sz w:val="32"/>
          <w:szCs w:val="32"/>
        </w:rPr>
        <w:t>围绕各类项目，主动向前延伸不动产登记服务，提前</w:t>
      </w:r>
      <w:r>
        <w:rPr>
          <w:rFonts w:ascii="仿宋_GB2312" w:eastAsia="仿宋_GB2312" w:hAnsi="仿宋_GB2312" w:cs="仿宋_GB2312" w:hint="eastAsia"/>
          <w:sz w:val="32"/>
          <w:szCs w:val="32"/>
        </w:rPr>
        <w:lastRenderedPageBreak/>
        <w:t>对接开展地籍调查，打通上游相关业务环节，逐步实现土地供应、规划许可、不动产登记等信息共享、并行办理。在项目供地阶段，引导经营主体签订土地出让合同或取得划拨决定书时，同步申请不动产登记，实现“交地即交证”。在土地转让阶段，充分利用土地二级市场线上交易服务功能，通过综合窗口和信息共享推进土地交易登记一体化，实现“成交即交证”。在项目竣工阶段，经营主体可同步申请不动产登记，实现“竣工即交证”;项目通过验收后，可同步申请房屋首次登记和转移登记，实现“交房即交证”，自“交房即交证”改革以来，市本级已实现“交房即交证”项目13个，共颁发不动产权证书6292本。</w:t>
      </w:r>
    </w:p>
    <w:p w14:paraId="5AEA2A8F" w14:textId="77777777" w:rsidR="005429DA" w:rsidRDefault="00A63F14">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3.实现“一码管地”。</w:t>
      </w:r>
      <w:r>
        <w:rPr>
          <w:rFonts w:ascii="仿宋_GB2312" w:eastAsia="仿宋_GB2312" w:hAnsi="仿宋_GB2312" w:cs="仿宋_GB2312" w:hint="eastAsia"/>
          <w:sz w:val="32"/>
          <w:szCs w:val="32"/>
        </w:rPr>
        <w:t>制定印发了《岳阳市中心城区一码管地工作方案（试行）》（岳资</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发〔2023〕63号）文件，不动产登记综合平台与局“多规合一”智慧管理平台系统互通共享，通过岳阳市“多规合一”智慧管理平台汇集自然资源业务审批数据，以土地为核心，串联起项目全生命周期管理。统一赋码、统筹业务信息一码归集，实现每个自然资源数据都有唯一的“身份证号码”，通过赋予土地不动产宗地代码，贯穿土地资源全生命周期业务过程，汇聚了土地空间位置、业务属性等各类数据，形成土地管理全生命周期信息链条，以土地码信息化建设为抓手，驱动业务流程优化，健全土地管理全流程信息化管理链条，完善各节点信息化建设，实现土地管理全流程数字化审批，夯实信息化基础，实现业</w:t>
      </w:r>
      <w:r>
        <w:rPr>
          <w:rFonts w:ascii="仿宋_GB2312" w:eastAsia="仿宋_GB2312" w:hAnsi="仿宋_GB2312" w:cs="仿宋_GB2312" w:hint="eastAsia"/>
          <w:sz w:val="32"/>
          <w:szCs w:val="32"/>
        </w:rPr>
        <w:lastRenderedPageBreak/>
        <w:t>务全周期关联及信息共享，推进自然资源治理数字化转型和应用场景创新，推动政府数字化智能化运行，提升政务服务效能，优化营商环境。</w:t>
      </w:r>
    </w:p>
    <w:p w14:paraId="39B2436B" w14:textId="77777777" w:rsidR="005429DA" w:rsidRDefault="00A63F14">
      <w:pPr>
        <w:pStyle w:val="a9"/>
        <w:widowControl/>
        <w:spacing w:beforeAutospacing="0" w:afterAutospacing="0"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bidi="ar"/>
        </w:rPr>
        <w:t>4.实现农村登记业务全覆盖。</w:t>
      </w:r>
      <w:r>
        <w:rPr>
          <w:rFonts w:ascii="仿宋_GB2312" w:eastAsia="仿宋_GB2312" w:hAnsi="仿宋_GB2312" w:cs="仿宋_GB2312" w:hint="eastAsia"/>
          <w:sz w:val="32"/>
          <w:szCs w:val="32"/>
          <w:lang w:bidi="ar"/>
        </w:rPr>
        <w:t>加快推进“房地一体”农村不动产登记，已基本完成对符合登记发证条件的农村宅基地使用权及其地上房屋所有权和集体建设用地使用权及其地上建筑物、构筑物所有权进行统一确权登记并颁发不动产权证书；深化林权确权登记，全面</w:t>
      </w:r>
      <w:r>
        <w:rPr>
          <w:rFonts w:ascii="仿宋_GB2312" w:eastAsia="仿宋_GB2312" w:hAnsi="仿宋_GB2312" w:cs="仿宋_GB2312" w:hint="eastAsia"/>
          <w:sz w:val="32"/>
          <w:szCs w:val="32"/>
          <w:shd w:val="clear" w:color="auto" w:fill="FFFFFF"/>
        </w:rPr>
        <w:t>掌握全流程林权类不动产登记操作规范，做深做实</w:t>
      </w:r>
      <w:r>
        <w:rPr>
          <w:rFonts w:ascii="仿宋_GB2312" w:eastAsia="仿宋_GB2312" w:hAnsi="仿宋_GB2312" w:cs="仿宋_GB2312" w:hint="eastAsia"/>
          <w:sz w:val="32"/>
          <w:szCs w:val="32"/>
          <w:lang w:bidi="ar"/>
        </w:rPr>
        <w:t>林权登记档案资料清查移交和存量数据整合入库汇交，</w:t>
      </w:r>
      <w:r>
        <w:rPr>
          <w:rFonts w:ascii="仿宋_GB2312" w:eastAsia="仿宋_GB2312" w:hAnsi="仿宋_GB2312" w:cs="仿宋_GB2312" w:hint="eastAsia"/>
          <w:sz w:val="32"/>
          <w:szCs w:val="32"/>
        </w:rPr>
        <w:t>按照受理一宗、调查一宗的方式</w:t>
      </w:r>
      <w:r>
        <w:rPr>
          <w:rFonts w:ascii="仿宋_GB2312" w:eastAsia="仿宋_GB2312" w:hAnsi="仿宋_GB2312" w:cs="仿宋_GB2312" w:hint="eastAsia"/>
          <w:sz w:val="32"/>
          <w:szCs w:val="32"/>
          <w:lang w:bidi="ar"/>
        </w:rPr>
        <w:t>积极开展</w:t>
      </w:r>
      <w:r>
        <w:rPr>
          <w:rFonts w:ascii="Times New Roman" w:eastAsia="仿宋_GB2312" w:hAnsi="Times New Roman"/>
          <w:sz w:val="31"/>
          <w:szCs w:val="31"/>
          <w:lang w:bidi="ar"/>
        </w:rPr>
        <w:t>林权登记业</w:t>
      </w:r>
      <w:r>
        <w:rPr>
          <w:rFonts w:ascii="仿宋_GB2312" w:eastAsia="仿宋_GB2312" w:hAnsi="仿宋_GB2312" w:cs="仿宋_GB2312"/>
          <w:sz w:val="32"/>
          <w:szCs w:val="32"/>
          <w:shd w:val="clear" w:color="auto" w:fill="FFFFFF"/>
        </w:rPr>
        <w:t>务</w:t>
      </w:r>
      <w:r>
        <w:rPr>
          <w:rFonts w:ascii="仿宋_GB2312" w:eastAsia="仿宋_GB2312" w:hAnsi="仿宋_GB2312" w:cs="仿宋_GB2312" w:hint="eastAsia"/>
          <w:sz w:val="32"/>
          <w:szCs w:val="32"/>
          <w:shd w:val="clear" w:color="auto" w:fill="FFFFFF"/>
        </w:rPr>
        <w:t>办理；6月21日，完成岳阳市本级农村土地承包经营权登记颁证成果资料复制共享工作，标志着岳阳市岳阳楼区、岳阳市经济技术开发区农村土地承包经营权纳入不动产统一登记工作取得阶段性进展。</w:t>
      </w:r>
      <w:r>
        <w:rPr>
          <w:rFonts w:ascii="仿宋_GB2312" w:eastAsia="仿宋_GB2312" w:hAnsi="仿宋_GB2312" w:cs="仿宋_GB2312" w:hint="eastAsia"/>
          <w:sz w:val="32"/>
          <w:szCs w:val="32"/>
        </w:rPr>
        <w:t>积极参与土地承包经营权二轮延包试点工作及日常登记工作，登记系统中设立土地承包经营权和土地经营权的首次、转移、变更、注销等流程。目前，正在配合岳阳楼</w:t>
      </w:r>
      <w:proofErr w:type="gramStart"/>
      <w:r>
        <w:rPr>
          <w:rFonts w:ascii="仿宋_GB2312" w:eastAsia="仿宋_GB2312" w:hAnsi="仿宋_GB2312" w:cs="仿宋_GB2312" w:hint="eastAsia"/>
          <w:sz w:val="32"/>
          <w:szCs w:val="32"/>
        </w:rPr>
        <w:t>区做好</w:t>
      </w:r>
      <w:proofErr w:type="gramEnd"/>
      <w:r>
        <w:rPr>
          <w:rFonts w:ascii="仿宋_GB2312" w:eastAsia="仿宋_GB2312" w:hAnsi="仿宋_GB2312" w:cs="仿宋_GB2312" w:hint="eastAsia"/>
          <w:sz w:val="32"/>
          <w:szCs w:val="32"/>
        </w:rPr>
        <w:t>第二轮土地承包到期后再延长30年的工作，我们负责提供第三次全国国土调查和遥感影像数据、农村新增土地、土地征收等相关成果资料，做好发证的前期准备工作。按照试点方案，今年年底完成郭镇乡建中村的延包试点，</w:t>
      </w:r>
      <w:proofErr w:type="gramStart"/>
      <w:r>
        <w:rPr>
          <w:rFonts w:ascii="仿宋_GB2312" w:eastAsia="仿宋_GB2312" w:hAnsi="仿宋_GB2312" w:cs="仿宋_GB2312" w:hint="eastAsia"/>
          <w:sz w:val="32"/>
          <w:szCs w:val="32"/>
        </w:rPr>
        <w:t>涉及村</w:t>
      </w:r>
      <w:proofErr w:type="gramEnd"/>
      <w:r>
        <w:rPr>
          <w:rFonts w:ascii="仿宋_GB2312" w:eastAsia="仿宋_GB2312" w:hAnsi="仿宋_GB2312" w:cs="仿宋_GB2312" w:hint="eastAsia"/>
          <w:sz w:val="32"/>
          <w:szCs w:val="32"/>
        </w:rPr>
        <w:t>辖区内12个村民小组，共1458人，全村山林水土总面积为5400亩，其中水田1000亩、旱地200亩、油茶林800亩。</w:t>
      </w:r>
    </w:p>
    <w:p w14:paraId="2EE766F6" w14:textId="77777777" w:rsidR="005429DA" w:rsidRDefault="00A63F14">
      <w:pPr>
        <w:pStyle w:val="a9"/>
        <w:widowControl/>
        <w:spacing w:beforeAutospacing="0" w:afterAutospacing="0" w:line="580" w:lineRule="exact"/>
        <w:ind w:firstLineChars="200" w:firstLine="643"/>
        <w:rPr>
          <w:rStyle w:val="aa"/>
          <w:rFonts w:ascii="仿宋_GB2312" w:eastAsia="仿宋_GB2312" w:hAnsi="仿宋_GB2312" w:cs="仿宋_GB2312"/>
          <w:sz w:val="32"/>
          <w:szCs w:val="32"/>
          <w:shd w:val="clear" w:color="auto" w:fill="FFFFFF"/>
        </w:rPr>
      </w:pPr>
      <w:r>
        <w:rPr>
          <w:rFonts w:ascii="楷体" w:eastAsia="楷体" w:hAnsi="楷体" w:cs="楷体" w:hint="eastAsia"/>
          <w:b/>
          <w:bCs/>
          <w:sz w:val="32"/>
          <w:szCs w:val="32"/>
          <w:shd w:val="clear" w:color="auto" w:fill="FFFFFF"/>
        </w:rPr>
        <w:lastRenderedPageBreak/>
        <w:t>（五）坚持最严监管，营造安全的登记环境</w:t>
      </w:r>
    </w:p>
    <w:p w14:paraId="73230B87" w14:textId="77777777" w:rsidR="005429DA" w:rsidRDefault="00A63F14">
      <w:pPr>
        <w:spacing w:line="580" w:lineRule="exact"/>
        <w:ind w:firstLineChars="200" w:firstLine="643"/>
        <w:rPr>
          <w:rStyle w:val="aa"/>
          <w:rFonts w:ascii="仿宋_GB2312" w:eastAsia="仿宋_GB2312" w:hAnsi="仿宋_GB2312" w:cs="仿宋_GB2312"/>
          <w:sz w:val="32"/>
          <w:szCs w:val="32"/>
          <w:shd w:val="clear" w:color="auto" w:fill="FFFFFF"/>
        </w:rPr>
      </w:pPr>
      <w:r>
        <w:rPr>
          <w:rStyle w:val="aa"/>
          <w:rFonts w:ascii="仿宋_GB2312" w:eastAsia="仿宋_GB2312" w:hAnsi="仿宋_GB2312" w:cs="仿宋_GB2312" w:hint="eastAsia"/>
          <w:sz w:val="32"/>
          <w:szCs w:val="32"/>
          <w:shd w:val="clear" w:color="auto" w:fill="FFFFFF"/>
        </w:rPr>
        <w:t>1.登记“双平行”模式。</w:t>
      </w:r>
      <w:r>
        <w:rPr>
          <w:rFonts w:ascii="仿宋_GB2312" w:eastAsia="仿宋_GB2312" w:hAnsi="仿宋_GB2312" w:cs="仿宋_GB2312" w:hint="eastAsia"/>
          <w:color w:val="000000"/>
          <w:sz w:val="32"/>
          <w:szCs w:val="32"/>
          <w:shd w:val="clear" w:color="auto" w:fill="FFFFFF"/>
        </w:rPr>
        <w:t>建立了不动产登记业务“平行受理，随机派件、平行审核、全程跟踪、终身负责”机制，</w:t>
      </w:r>
      <w:r>
        <w:rPr>
          <w:rFonts w:ascii="仿宋_GB2312" w:eastAsia="仿宋_GB2312" w:hAnsi="仿宋_GB2312" w:cs="仿宋_GB2312" w:hint="eastAsia"/>
          <w:sz w:val="32"/>
          <w:szCs w:val="32"/>
        </w:rPr>
        <w:t>前台工作人员从“单一业务受理”转变成无差别“全业务受理”。</w:t>
      </w:r>
      <w:r>
        <w:rPr>
          <w:rFonts w:ascii="仿宋_GB2312" w:eastAsia="仿宋_GB2312" w:hAnsi="仿宋_GB2312" w:cs="仿宋_GB2312" w:hint="eastAsia"/>
          <w:color w:val="000000"/>
          <w:sz w:val="32"/>
          <w:szCs w:val="32"/>
          <w:shd w:val="clear" w:color="auto" w:fill="FFFFFF"/>
        </w:rPr>
        <w:t>实现业务综合受理，登记系统随机、均量派发业务件，聚焦业务潮汐现象，破解效率提升难题，同时改变固定窗口对应固定审核人员的做法，预防“人情件”廉政风险，</w:t>
      </w:r>
      <w:proofErr w:type="gramStart"/>
      <w:r>
        <w:rPr>
          <w:rFonts w:ascii="仿宋_GB2312" w:eastAsia="仿宋_GB2312" w:hAnsi="仿宋_GB2312" w:cs="仿宋_GB2312" w:hint="eastAsia"/>
          <w:color w:val="000000"/>
          <w:sz w:val="32"/>
          <w:szCs w:val="32"/>
          <w:shd w:val="clear" w:color="auto" w:fill="FFFFFF"/>
        </w:rPr>
        <w:t>实现派件过程</w:t>
      </w:r>
      <w:proofErr w:type="gramEnd"/>
      <w:r>
        <w:rPr>
          <w:rFonts w:ascii="仿宋_GB2312" w:eastAsia="仿宋_GB2312" w:hAnsi="仿宋_GB2312" w:cs="仿宋_GB2312" w:hint="eastAsia"/>
          <w:color w:val="000000"/>
          <w:sz w:val="32"/>
          <w:szCs w:val="32"/>
          <w:shd w:val="clear" w:color="auto" w:fill="FFFFFF"/>
        </w:rPr>
        <w:t>可追溯、业务进度全程追踪。自启用新模式以来已完成办理业务60194笔，平均每个月</w:t>
      </w:r>
      <w:proofErr w:type="gramStart"/>
      <w:r>
        <w:rPr>
          <w:rFonts w:ascii="仿宋_GB2312" w:eastAsia="仿宋_GB2312" w:hAnsi="仿宋_GB2312" w:cs="仿宋_GB2312" w:hint="eastAsia"/>
          <w:color w:val="000000"/>
          <w:sz w:val="32"/>
          <w:szCs w:val="32"/>
          <w:shd w:val="clear" w:color="auto" w:fill="FFFFFF"/>
        </w:rPr>
        <w:t>平行派件办理</w:t>
      </w:r>
      <w:proofErr w:type="gramEnd"/>
      <w:r>
        <w:rPr>
          <w:rFonts w:ascii="仿宋_GB2312" w:eastAsia="仿宋_GB2312" w:hAnsi="仿宋_GB2312" w:cs="仿宋_GB2312" w:hint="eastAsia"/>
          <w:color w:val="000000"/>
          <w:sz w:val="32"/>
          <w:szCs w:val="32"/>
          <w:shd w:val="clear" w:color="auto" w:fill="FFFFFF"/>
        </w:rPr>
        <w:t>业务5472笔，平均办结时限缩短至4小时。</w:t>
      </w:r>
    </w:p>
    <w:p w14:paraId="641FD73E" w14:textId="77777777" w:rsidR="005429DA" w:rsidRDefault="00A63F14">
      <w:pPr>
        <w:pStyle w:val="2"/>
        <w:spacing w:line="580" w:lineRule="exact"/>
        <w:ind w:leftChars="0" w:left="0" w:firstLine="643"/>
        <w:rPr>
          <w:rStyle w:val="aa"/>
          <w:rFonts w:ascii="方正仿宋_GB18030" w:eastAsia="仿宋_GB2312" w:hAnsi="方正仿宋_GB18030" w:cs="方正仿宋_GB18030"/>
          <w:sz w:val="32"/>
          <w:szCs w:val="32"/>
          <w:shd w:val="clear" w:color="auto" w:fill="FFFFFF"/>
        </w:rPr>
      </w:pPr>
      <w:r>
        <w:rPr>
          <w:rFonts w:ascii="仿宋_GB2312" w:eastAsia="仿宋_GB2312" w:hAnsi="仿宋_GB2312" w:cs="仿宋_GB2312" w:hint="eastAsia"/>
          <w:b/>
          <w:bCs/>
          <w:sz w:val="32"/>
          <w:szCs w:val="32"/>
        </w:rPr>
        <w:t>2.数据质量清理。</w:t>
      </w:r>
      <w:r>
        <w:rPr>
          <w:rFonts w:ascii="仿宋_GB2312" w:eastAsia="仿宋_GB2312" w:hAnsi="仿宋_GB2312" w:cs="仿宋_GB2312" w:hint="eastAsia"/>
          <w:sz w:val="32"/>
          <w:szCs w:val="32"/>
        </w:rPr>
        <w:t>岳阳市持续提升不动产登记数据质量，通过组建工作专班，组织中心各部室、分支机构成立登记数据分析小组，抽调业务骨干成立工作专班，根据省厅不动产登记数据库标准，对不动产登记数据的各个字段进行核查，对登记数据质量重点难点事项定期深入研究探讨，着力解决登记数据分析中的难点、堵点。对不动产登记业务人员进行培训，确保登记过程中的数据规范完整。技术上设置应填、必填字段，确保登记数据字段应</w:t>
      </w:r>
      <w:proofErr w:type="gramStart"/>
      <w:r>
        <w:rPr>
          <w:rFonts w:ascii="仿宋_GB2312" w:eastAsia="仿宋_GB2312" w:hAnsi="仿宋_GB2312" w:cs="仿宋_GB2312" w:hint="eastAsia"/>
          <w:sz w:val="32"/>
          <w:szCs w:val="32"/>
        </w:rPr>
        <w:t>填尽填</w:t>
      </w:r>
      <w:proofErr w:type="gramEnd"/>
      <w:r>
        <w:rPr>
          <w:rFonts w:ascii="仿宋_GB2312" w:eastAsia="仿宋_GB2312" w:hAnsi="仿宋_GB2312" w:cs="仿宋_GB2312" w:hint="eastAsia"/>
          <w:sz w:val="32"/>
          <w:szCs w:val="32"/>
        </w:rPr>
        <w:t>，登记质量稳步提升。</w:t>
      </w:r>
    </w:p>
    <w:p w14:paraId="1FBC90B6" w14:textId="77777777" w:rsidR="005429DA" w:rsidRDefault="00A63F14">
      <w:pPr>
        <w:spacing w:line="580" w:lineRule="exact"/>
        <w:ind w:firstLineChars="200" w:firstLine="643"/>
        <w:rPr>
          <w:rFonts w:ascii="仿宋_GB2312" w:eastAsia="仿宋_GB2312" w:hAnsi="仿宋_GB2312" w:cs="仿宋_GB2312"/>
          <w:sz w:val="32"/>
          <w:szCs w:val="32"/>
        </w:rPr>
      </w:pPr>
      <w:r>
        <w:rPr>
          <w:rStyle w:val="aa"/>
          <w:rFonts w:ascii="方正仿宋_GB18030" w:eastAsia="方正仿宋_GB18030" w:hAnsi="方正仿宋_GB18030" w:cs="方正仿宋_GB18030" w:hint="eastAsia"/>
          <w:sz w:val="32"/>
          <w:szCs w:val="32"/>
          <w:shd w:val="clear" w:color="auto" w:fill="FFFFFF"/>
        </w:rPr>
        <w:t>3.突发事件防范。</w:t>
      </w:r>
      <w:r>
        <w:rPr>
          <w:rFonts w:ascii="仿宋_GB2312" w:eastAsia="仿宋_GB2312" w:hAnsi="仿宋_GB2312" w:cs="仿宋_GB2312" w:hint="eastAsia"/>
          <w:sz w:val="32"/>
          <w:szCs w:val="32"/>
        </w:rPr>
        <w:t>完善《岳阳市不动产登记服务大厅突发情况应急预案》。定期开展突发事件模拟演练，采取安抚群众情绪、排查系统技术故障、维持现场秩序、专人引导办证、帮助群众梳理材料清单、预审登记材料等有效措施应对突发事件，不断提升大厅应急管理能力。</w:t>
      </w:r>
    </w:p>
    <w:p w14:paraId="1881F9FE" w14:textId="77777777" w:rsidR="005429DA" w:rsidRDefault="00A63F14">
      <w:pPr>
        <w:spacing w:line="580" w:lineRule="exact"/>
        <w:ind w:firstLineChars="200" w:firstLine="643"/>
        <w:rPr>
          <w:rFonts w:ascii="仿宋_GB2312" w:eastAsia="仿宋_GB2312" w:hAnsi="仿宋_GB2312" w:cs="仿宋_GB2312"/>
          <w:sz w:val="32"/>
          <w:szCs w:val="32"/>
        </w:rPr>
      </w:pPr>
      <w:r>
        <w:rPr>
          <w:rStyle w:val="aa"/>
          <w:rFonts w:ascii="方正仿宋_GB18030" w:eastAsia="方正仿宋_GB18030" w:hAnsi="方正仿宋_GB18030" w:cs="方正仿宋_GB18030" w:hint="eastAsia"/>
          <w:sz w:val="32"/>
          <w:szCs w:val="32"/>
          <w:shd w:val="clear" w:color="auto" w:fill="FFFFFF"/>
        </w:rPr>
        <w:lastRenderedPageBreak/>
        <w:t>4.信息数据安全。</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认真学习贯彻党的二十大精神和习近平总书记关于网络强国的重要思想概论，常态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信息安全警示教育，贯彻落实网络安全工作责任制，</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“没有网络安全就没有国家安全”的安全理念。</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建立了《网络安全管理制度》《互联网安全管理制度》《内网安全管理制度》《信息安全管理办法》《安全教育和培训管理办法》《信息安全领导机构组成与职责》等相关信息数据安全制度。三是强化数据安全，对业务人员进行分级授权，具有权限的人员可以查看相应的档案信息。</w:t>
      </w:r>
    </w:p>
    <w:p w14:paraId="330E2B4B" w14:textId="77777777" w:rsidR="005429DA" w:rsidRDefault="00A63F14">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5.整治不动产登记“登记难”。</w:t>
      </w:r>
      <w:r>
        <w:rPr>
          <w:rFonts w:ascii="仿宋_GB2312" w:eastAsia="仿宋_GB2312" w:hAnsi="仿宋_GB2312" w:cs="仿宋_GB2312" w:hint="eastAsia"/>
          <w:sz w:val="32"/>
          <w:szCs w:val="32"/>
          <w:shd w:val="clear" w:color="auto" w:fill="FFFFFF"/>
        </w:rPr>
        <w:t>不动产“登记难”问题作为中纪委推送的15件民生实事中的重点工作，我局高度重视，成立工作专班小组，制定了《整治不动产“登记难”问题专项行动方案》</w:t>
      </w:r>
      <w:r>
        <w:rPr>
          <w:rFonts w:ascii="仿宋_GB2312" w:eastAsia="仿宋_GB2312" w:hAnsi="仿宋_GB2312" w:cs="仿宋_GB2312" w:hint="eastAsia"/>
          <w:sz w:val="32"/>
          <w:szCs w:val="32"/>
        </w:rPr>
        <w:t>，</w:t>
      </w:r>
      <w:r>
        <w:rPr>
          <w:rFonts w:eastAsia="仿宋" w:cs="仿宋" w:hint="eastAsia"/>
          <w:kern w:val="2"/>
          <w:sz w:val="32"/>
          <w:szCs w:val="32"/>
        </w:rPr>
        <w:t>同时对外建立协调工作机制，与市行政审批局、市中级法院、市公安局、市住建局、市税务局等相关部门不定期召开“登记难”问题协同化解会议，提升整治效能。聚焦改革创新、历史遗留、服务能力、作风建设方面不断化解登记难点、焦点问题。岳阳市</w:t>
      </w:r>
      <w:r>
        <w:rPr>
          <w:rFonts w:ascii="仿宋_GB2312" w:eastAsia="仿宋_GB2312" w:hAnsi="仿宋_GB2312" w:cs="仿宋_GB2312" w:hint="eastAsia"/>
          <w:sz w:val="32"/>
          <w:szCs w:val="32"/>
        </w:rPr>
        <w:t>整治不动产登记“登记难”工作，得到岳阳市纪监委充分肯定，列为15件为民办实事取得明显成效之首，在清廉岳阳上刊登，定为市本级标志性工作成果。</w:t>
      </w:r>
    </w:p>
    <w:p w14:paraId="7D0FBD44" w14:textId="77777777" w:rsidR="005429DA" w:rsidRDefault="00A63F14">
      <w:pPr>
        <w:spacing w:line="580" w:lineRule="exact"/>
        <w:ind w:firstLineChars="200" w:firstLine="643"/>
        <w:rPr>
          <w:rStyle w:val="aa"/>
          <w:rFonts w:ascii="仿宋_GB2312" w:eastAsia="仿宋_GB2312" w:hAnsi="仿宋_GB2312" w:cs="仿宋_GB2312"/>
          <w:sz w:val="32"/>
          <w:szCs w:val="32"/>
          <w:shd w:val="clear" w:color="auto" w:fill="FFFFFF"/>
        </w:rPr>
      </w:pPr>
      <w:r>
        <w:rPr>
          <w:rStyle w:val="aa"/>
          <w:rFonts w:ascii="方正仿宋_GB18030" w:eastAsia="方正仿宋_GB18030" w:hAnsi="方正仿宋_GB18030" w:cs="方正仿宋_GB18030" w:hint="eastAsia"/>
          <w:sz w:val="32"/>
          <w:szCs w:val="32"/>
          <w:shd w:val="clear" w:color="auto" w:fill="FFFFFF"/>
        </w:rPr>
        <w:t>6.登记质量监督抽查。</w:t>
      </w:r>
      <w:r>
        <w:rPr>
          <w:rFonts w:ascii="仿宋_GB2312" w:eastAsia="仿宋_GB2312" w:hAnsi="仿宋_GB2312" w:cs="仿宋_GB2312" w:hint="eastAsia"/>
          <w:sz w:val="32"/>
          <w:szCs w:val="32"/>
        </w:rPr>
        <w:t>设置“质量监督</w:t>
      </w:r>
      <w:r>
        <w:rPr>
          <w:rFonts w:ascii="仿宋_GB2312" w:eastAsia="仿宋_GB2312" w:hAnsi="仿宋_GB2312" w:cs="仿宋_GB2312" w:hint="eastAsia"/>
          <w:sz w:val="32"/>
          <w:szCs w:val="32"/>
          <w:lang w:val="zh-CN"/>
        </w:rPr>
        <w:t>”岗，</w:t>
      </w:r>
      <w:r>
        <w:rPr>
          <w:rFonts w:ascii="仿宋_GB2312" w:eastAsia="仿宋_GB2312" w:hAnsi="仿宋_GB2312" w:cs="仿宋_GB2312" w:hint="eastAsia"/>
          <w:color w:val="000000"/>
          <w:sz w:val="32"/>
          <w:szCs w:val="32"/>
          <w:shd w:val="clear" w:color="auto" w:fill="FFFFFF"/>
        </w:rPr>
        <w:t>采取随机抽查和重点检查相结合，</w:t>
      </w:r>
      <w:r>
        <w:rPr>
          <w:rFonts w:ascii="仿宋_GB2312" w:eastAsia="仿宋_GB2312" w:hAnsi="仿宋_GB2312" w:cs="仿宋_GB2312" w:hint="eastAsia"/>
          <w:sz w:val="32"/>
          <w:szCs w:val="32"/>
        </w:rPr>
        <w:t>对登记要件受理、登记耗时比对、登簿要素记载、“六不准”落实、日常数据接入等情况开展监督检查，不断提升登记质量，防范登记风险。</w:t>
      </w:r>
    </w:p>
    <w:p w14:paraId="604852A6" w14:textId="77777777" w:rsidR="005429DA" w:rsidRDefault="00A63F14">
      <w:pPr>
        <w:spacing w:line="580" w:lineRule="exact"/>
        <w:ind w:firstLineChars="200" w:firstLine="643"/>
        <w:rPr>
          <w:rStyle w:val="aa"/>
          <w:rFonts w:ascii="方正楷体_GB2312" w:eastAsia="方正楷体_GB2312" w:hAnsi="方正楷体_GB2312" w:cs="方正楷体_GB2312"/>
          <w:color w:val="FF0000"/>
          <w:sz w:val="32"/>
          <w:szCs w:val="32"/>
          <w:shd w:val="clear" w:color="auto" w:fill="FFFFFF"/>
        </w:rPr>
      </w:pPr>
      <w:r>
        <w:rPr>
          <w:rStyle w:val="aa"/>
          <w:rFonts w:ascii="仿宋_GB2312" w:eastAsia="仿宋_GB2312" w:hAnsi="仿宋_GB2312" w:cs="仿宋_GB2312" w:hint="eastAsia"/>
          <w:sz w:val="32"/>
          <w:szCs w:val="32"/>
          <w:shd w:val="clear" w:color="auto" w:fill="FFFFFF"/>
        </w:rPr>
        <w:lastRenderedPageBreak/>
        <w:t>7.突出政治引领，树牢为民服务意识。</w:t>
      </w:r>
      <w:r>
        <w:rPr>
          <w:rFonts w:eastAsia="仿宋" w:cs="仿宋"/>
          <w:spacing w:val="-8"/>
          <w:sz w:val="32"/>
          <w:szCs w:val="32"/>
        </w:rPr>
        <w:t>深入学习贯彻党的二十届三中全会精神</w:t>
      </w:r>
      <w:r>
        <w:rPr>
          <w:rFonts w:eastAsia="仿宋" w:cs="仿宋" w:hint="eastAsia"/>
          <w:spacing w:val="-8"/>
          <w:sz w:val="32"/>
          <w:szCs w:val="32"/>
        </w:rPr>
        <w:t>，</w:t>
      </w:r>
      <w:r>
        <w:rPr>
          <w:rFonts w:ascii="仿宋_GB2312" w:eastAsia="仿宋_GB2312" w:hAnsi="仿宋_GB2312" w:cs="仿宋_GB2312" w:hint="eastAsia"/>
          <w:color w:val="000000"/>
          <w:sz w:val="32"/>
          <w:szCs w:val="32"/>
          <w:shd w:val="clear" w:color="auto" w:fill="FFFFFF"/>
        </w:rPr>
        <w:t>坚持把党的政治建设摆在首位，坚持不懈用习近平新时代中国特色社会主义思想凝</w:t>
      </w:r>
      <w:proofErr w:type="gramStart"/>
      <w:r>
        <w:rPr>
          <w:rFonts w:ascii="仿宋_GB2312" w:eastAsia="仿宋_GB2312" w:hAnsi="仿宋_GB2312" w:cs="仿宋_GB2312" w:hint="eastAsia"/>
          <w:color w:val="000000"/>
          <w:sz w:val="32"/>
          <w:szCs w:val="32"/>
          <w:shd w:val="clear" w:color="auto" w:fill="FFFFFF"/>
        </w:rPr>
        <w:t>心铸魂</w:t>
      </w:r>
      <w:proofErr w:type="gramEnd"/>
      <w:r>
        <w:rPr>
          <w:rFonts w:ascii="仿宋_GB2312" w:eastAsia="仿宋_GB2312" w:hAnsi="仿宋_GB2312" w:cs="仿宋_GB2312" w:hint="eastAsia"/>
          <w:color w:val="000000"/>
          <w:sz w:val="32"/>
          <w:szCs w:val="32"/>
          <w:shd w:val="clear" w:color="auto" w:fill="FFFFFF"/>
        </w:rPr>
        <w:t>、武装头脑、指导实践、推动工作；坚决落实党中央重大决策部署，把衷心拥护“两个确立”、忠诚</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“两个维护”体现在思想上、行动上；坚持落实“第一议题”制度，积极开展党委理论学习，建立“学习强国”、专题辅导培训、青年理论学习小组等学习链条，引领党员干部坚定理想信念。</w:t>
      </w:r>
    </w:p>
    <w:p w14:paraId="454AAFB4" w14:textId="77777777" w:rsidR="005429DA" w:rsidRDefault="00A63F14">
      <w:pPr>
        <w:spacing w:line="580" w:lineRule="exact"/>
        <w:ind w:firstLineChars="200" w:firstLine="643"/>
        <w:rPr>
          <w:rFonts w:ascii="仿宋_GB2312" w:eastAsia="仿宋_GB2312" w:hAnsi="仿宋_GB2312" w:cs="仿宋_GB2312"/>
          <w:color w:val="000000"/>
          <w:sz w:val="32"/>
          <w:szCs w:val="32"/>
          <w:shd w:val="clear" w:color="auto" w:fill="FFFFFF"/>
        </w:rPr>
      </w:pPr>
      <w:r>
        <w:rPr>
          <w:rStyle w:val="aa"/>
          <w:rFonts w:ascii="仿宋_GB2312" w:eastAsia="仿宋_GB2312" w:hAnsi="仿宋_GB2312" w:cs="仿宋_GB2312" w:hint="eastAsia"/>
          <w:sz w:val="32"/>
          <w:szCs w:val="32"/>
          <w:shd w:val="clear" w:color="auto" w:fill="FFFFFF"/>
        </w:rPr>
        <w:t>8.健全防控机制，严守登记廉洁底线。</w:t>
      </w:r>
      <w:r>
        <w:rPr>
          <w:rFonts w:ascii="仿宋_GB2312" w:eastAsia="仿宋_GB2312" w:hAnsi="仿宋_GB2312" w:cs="仿宋_GB2312" w:hint="eastAsia"/>
          <w:color w:val="000000"/>
          <w:sz w:val="32"/>
          <w:szCs w:val="32"/>
          <w:shd w:val="clear" w:color="auto" w:fill="FFFFFF"/>
        </w:rPr>
        <w:t>我们把开展不动产登记队伍作风常态化建设作为长效</w:t>
      </w:r>
      <w:proofErr w:type="gramStart"/>
      <w:r>
        <w:rPr>
          <w:rFonts w:ascii="仿宋_GB2312" w:eastAsia="仿宋_GB2312" w:hAnsi="仿宋_GB2312" w:cs="仿宋_GB2312" w:hint="eastAsia"/>
          <w:color w:val="000000"/>
          <w:sz w:val="32"/>
          <w:szCs w:val="32"/>
          <w:shd w:val="clear" w:color="auto" w:fill="FFFFFF"/>
        </w:rPr>
        <w:t>性重点</w:t>
      </w:r>
      <w:proofErr w:type="gramEnd"/>
      <w:r>
        <w:rPr>
          <w:rFonts w:ascii="仿宋_GB2312" w:eastAsia="仿宋_GB2312" w:hAnsi="仿宋_GB2312" w:cs="仿宋_GB2312" w:hint="eastAsia"/>
          <w:color w:val="000000"/>
          <w:sz w:val="32"/>
          <w:szCs w:val="32"/>
          <w:shd w:val="clear" w:color="auto" w:fill="FFFFFF"/>
        </w:rPr>
        <w:t>工作来抓，做到“三个经常”，经常对标党中央精神，时刻把准政治方向和工作重点；经常以办事群众身份体验登记业务流程，真切感受难点痛点和群众期盼；经常了解政策法规在登记窗口落实情况，及时发现问题并指导纠偏。进一步完善风险防控体系。全面梳理预约、权籍调查、受理、审核、登簿、收费、</w:t>
      </w:r>
      <w:proofErr w:type="gramStart"/>
      <w:r>
        <w:rPr>
          <w:rFonts w:ascii="仿宋_GB2312" w:eastAsia="仿宋_GB2312" w:hAnsi="仿宋_GB2312" w:cs="仿宋_GB2312" w:hint="eastAsia"/>
          <w:color w:val="000000"/>
          <w:sz w:val="32"/>
          <w:szCs w:val="32"/>
          <w:shd w:val="clear" w:color="auto" w:fill="FFFFFF"/>
        </w:rPr>
        <w:t>缮</w:t>
      </w:r>
      <w:proofErr w:type="gramEnd"/>
      <w:r>
        <w:rPr>
          <w:rFonts w:ascii="仿宋_GB2312" w:eastAsia="仿宋_GB2312" w:hAnsi="仿宋_GB2312" w:cs="仿宋_GB2312" w:hint="eastAsia"/>
          <w:color w:val="000000"/>
          <w:sz w:val="32"/>
          <w:szCs w:val="32"/>
          <w:shd w:val="clear" w:color="auto" w:fill="FFFFFF"/>
        </w:rPr>
        <w:t>证、查询、资料管理等</w:t>
      </w:r>
      <w:proofErr w:type="gramStart"/>
      <w:r>
        <w:rPr>
          <w:rFonts w:ascii="仿宋_GB2312" w:eastAsia="仿宋_GB2312" w:hAnsi="仿宋_GB2312" w:cs="仿宋_GB2312" w:hint="eastAsia"/>
          <w:color w:val="000000"/>
          <w:sz w:val="32"/>
          <w:szCs w:val="32"/>
          <w:shd w:val="clear" w:color="auto" w:fill="FFFFFF"/>
        </w:rPr>
        <w:t>全业务</w:t>
      </w:r>
      <w:proofErr w:type="gramEnd"/>
      <w:r>
        <w:rPr>
          <w:rFonts w:ascii="仿宋_GB2312" w:eastAsia="仿宋_GB2312" w:hAnsi="仿宋_GB2312" w:cs="仿宋_GB2312" w:hint="eastAsia"/>
          <w:color w:val="000000"/>
          <w:sz w:val="32"/>
          <w:szCs w:val="32"/>
          <w:shd w:val="clear" w:color="auto" w:fill="FFFFFF"/>
        </w:rPr>
        <w:t>流程的廉洁风险点；聚焦关键环节和重点岗位，细化人防、物防、技防等防范措施，完善风险防控体系；建立廉洁问题预警机制，紧盯关键岗位，定期轮岗交流，及时提醒预警苗头性、倾向性问题。严格落实不动产登记“六不准”。通过“好差评”、12345政府热线、行风监督员、群众信访、电话回访、</w:t>
      </w:r>
      <w:proofErr w:type="gramStart"/>
      <w:r>
        <w:rPr>
          <w:rFonts w:ascii="仿宋_GB2312" w:eastAsia="仿宋_GB2312" w:hAnsi="仿宋_GB2312" w:cs="仿宋_GB2312" w:hint="eastAsia"/>
          <w:color w:val="000000"/>
          <w:sz w:val="32"/>
          <w:szCs w:val="32"/>
          <w:shd w:val="clear" w:color="auto" w:fill="FFFFFF"/>
        </w:rPr>
        <w:t>微信满意</w:t>
      </w:r>
      <w:proofErr w:type="gramEnd"/>
      <w:r>
        <w:rPr>
          <w:rFonts w:ascii="仿宋_GB2312" w:eastAsia="仿宋_GB2312" w:hAnsi="仿宋_GB2312" w:cs="仿宋_GB2312" w:hint="eastAsia"/>
          <w:color w:val="000000"/>
          <w:sz w:val="32"/>
          <w:szCs w:val="32"/>
          <w:shd w:val="clear" w:color="auto" w:fill="FFFFFF"/>
        </w:rPr>
        <w:t>度调查等多种途径，主动接受社会监督，提升服务水平。</w:t>
      </w:r>
    </w:p>
    <w:p w14:paraId="4B51F0D4" w14:textId="77777777" w:rsidR="005429DA" w:rsidRDefault="00A63F14">
      <w:pPr>
        <w:spacing w:line="580" w:lineRule="exact"/>
        <w:ind w:firstLineChars="200" w:firstLine="643"/>
        <w:rPr>
          <w:rStyle w:val="aa"/>
          <w:rFonts w:ascii="方正楷体_GB2312" w:eastAsia="方正楷体_GB2312" w:hAnsi="方正楷体_GB2312" w:cs="方正楷体_GB2312"/>
          <w:sz w:val="32"/>
          <w:szCs w:val="32"/>
          <w:shd w:val="clear" w:color="auto" w:fill="FFFFFF"/>
        </w:rPr>
      </w:pPr>
      <w:r>
        <w:rPr>
          <w:rStyle w:val="aa"/>
          <w:rFonts w:ascii="仿宋_GB2312" w:eastAsia="仿宋_GB2312" w:hAnsi="仿宋_GB2312" w:cs="仿宋_GB2312" w:hint="eastAsia"/>
          <w:sz w:val="32"/>
          <w:szCs w:val="32"/>
          <w:shd w:val="clear" w:color="auto" w:fill="FFFFFF"/>
        </w:rPr>
        <w:t>9.加强队伍建设，夯实登记工作基础。</w:t>
      </w:r>
      <w:r>
        <w:rPr>
          <w:rFonts w:ascii="仿宋_GB2312" w:eastAsia="仿宋_GB2312" w:hAnsi="仿宋_GB2312" w:cs="仿宋_GB2312" w:hint="eastAsia"/>
          <w:color w:val="000000"/>
          <w:sz w:val="32"/>
          <w:szCs w:val="32"/>
          <w:shd w:val="clear" w:color="auto" w:fill="FFFFFF"/>
        </w:rPr>
        <w:t>积极开展“干在实处，走在前列”“向我看齐”“湘登记</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暖民心”“走流</w:t>
      </w:r>
      <w:r>
        <w:rPr>
          <w:rFonts w:ascii="仿宋_GB2312" w:eastAsia="仿宋_GB2312" w:hAnsi="仿宋_GB2312" w:cs="仿宋_GB2312" w:hint="eastAsia"/>
          <w:color w:val="000000"/>
          <w:sz w:val="32"/>
          <w:szCs w:val="32"/>
          <w:shd w:val="clear" w:color="auto" w:fill="FFFFFF"/>
        </w:rPr>
        <w:lastRenderedPageBreak/>
        <w:t>程、解难题，优服务”“习近平新时代中国特色社会主义思想”等主题教育活动，持续深化“五心”党建活动，创建“党建+不动产登记”品牌，组建党员先锋队，各业务大厅设置党员先锋岗，推动党建与业务深度融合，充分发挥基层党组织的战斗堡垒作用和党员先锋模范作用，促进登记质量和</w:t>
      </w:r>
      <w:proofErr w:type="gramStart"/>
      <w:r>
        <w:rPr>
          <w:rFonts w:ascii="仿宋_GB2312" w:eastAsia="仿宋_GB2312" w:hAnsi="仿宋_GB2312" w:cs="仿宋_GB2312" w:hint="eastAsia"/>
          <w:color w:val="000000"/>
          <w:sz w:val="32"/>
          <w:szCs w:val="32"/>
          <w:shd w:val="clear" w:color="auto" w:fill="FFFFFF"/>
        </w:rPr>
        <w:t>作风双</w:t>
      </w:r>
      <w:proofErr w:type="gramEnd"/>
      <w:r>
        <w:rPr>
          <w:rFonts w:ascii="仿宋_GB2312" w:eastAsia="仿宋_GB2312" w:hAnsi="仿宋_GB2312" w:cs="仿宋_GB2312" w:hint="eastAsia"/>
          <w:color w:val="000000"/>
          <w:sz w:val="32"/>
          <w:szCs w:val="32"/>
          <w:shd w:val="clear" w:color="auto" w:fill="FFFFFF"/>
        </w:rPr>
        <w:t>提升。</w:t>
      </w:r>
    </w:p>
    <w:p w14:paraId="598399A6" w14:textId="77777777" w:rsidR="005429DA" w:rsidRDefault="00A63F14">
      <w:pPr>
        <w:spacing w:line="580" w:lineRule="exact"/>
        <w:ind w:firstLineChars="200" w:firstLine="643"/>
        <w:jc w:val="left"/>
        <w:rPr>
          <w:rFonts w:ascii="仿宋_GB2312" w:eastAsia="仿宋_GB2312" w:hAnsi="仿宋_GB2312" w:cs="仿宋_GB2312"/>
          <w:sz w:val="32"/>
          <w:szCs w:val="32"/>
        </w:rPr>
      </w:pPr>
      <w:r>
        <w:rPr>
          <w:rStyle w:val="aa"/>
          <w:rFonts w:ascii="仿宋_GB2312" w:eastAsia="仿宋_GB2312" w:hAnsi="仿宋_GB2312" w:cs="仿宋_GB2312" w:hint="eastAsia"/>
          <w:sz w:val="32"/>
          <w:szCs w:val="32"/>
          <w:shd w:val="clear" w:color="auto" w:fill="FFFFFF"/>
        </w:rPr>
        <w:t>10.加强数据分析，深度发掘数据价值。</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完成自然资源部统计报表及分析，包含成交金额、成交数量、成交面积、同比、环比等。</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做好登记数据公开，包含不动产登记各项业务数据。</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编制市中心城区房地产市场运行报告，包含土地交易、房屋交易、投资总额、预售等数据，结合房地产调控政策，进行分析和</w:t>
      </w:r>
      <w:proofErr w:type="gramStart"/>
      <w:r>
        <w:rPr>
          <w:rFonts w:ascii="仿宋_GB2312" w:eastAsia="仿宋_GB2312" w:hAnsi="仿宋_GB2312" w:cs="仿宋_GB2312" w:hint="eastAsia"/>
          <w:sz w:val="32"/>
          <w:szCs w:val="32"/>
        </w:rPr>
        <w:t>研判</w:t>
      </w:r>
      <w:proofErr w:type="gramEnd"/>
      <w:r>
        <w:rPr>
          <w:rFonts w:ascii="仿宋_GB2312" w:eastAsia="仿宋_GB2312" w:hAnsi="仿宋_GB2312" w:cs="仿宋_GB2312" w:hint="eastAsia"/>
          <w:sz w:val="32"/>
          <w:szCs w:val="32"/>
        </w:rPr>
        <w:t>，以季报、半年报、年报方式报送市委、市政府主要领导。</w:t>
      </w:r>
    </w:p>
    <w:p w14:paraId="6361E0F4" w14:textId="77777777" w:rsidR="005429DA" w:rsidRDefault="00A63F14">
      <w:pPr>
        <w:pStyle w:val="ab"/>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14:paraId="32E3D4FF" w14:textId="77777777" w:rsidR="005429DA" w:rsidRDefault="00A63F14">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（一）预算编制有待加强，预算编制的精确性有待进一步提高，整体和专项绩效目标</w:t>
      </w:r>
      <w:r>
        <w:rPr>
          <w:rFonts w:ascii="仿宋_GB2312" w:eastAsia="仿宋_GB2312" w:hAnsi="仿宋_GB2312" w:cs="仿宋_GB2312" w:hint="eastAsia"/>
          <w:sz w:val="32"/>
          <w:szCs w:val="32"/>
        </w:rPr>
        <w:t>填报</w:t>
      </w:r>
      <w:r>
        <w:rPr>
          <w:rFonts w:ascii="仿宋_GB2312" w:eastAsia="仿宋_GB2312" w:hAnsi="仿宋_GB2312" w:cs="仿宋_GB2312"/>
          <w:sz w:val="32"/>
          <w:szCs w:val="32"/>
        </w:rPr>
        <w:t>的指标应进一步量化、</w:t>
      </w:r>
      <w:r>
        <w:rPr>
          <w:rFonts w:ascii="仿宋_GB2312" w:eastAsia="仿宋_GB2312" w:hAnsi="仿宋_GB2312" w:cs="仿宋_GB2312" w:hint="eastAsia"/>
          <w:sz w:val="32"/>
          <w:szCs w:val="32"/>
        </w:rPr>
        <w:t>细</w:t>
      </w:r>
      <w:r>
        <w:rPr>
          <w:rFonts w:ascii="仿宋_GB2312" w:eastAsia="仿宋_GB2312" w:hAnsi="仿宋_GB2312" w:cs="仿宋_GB2312"/>
          <w:sz w:val="32"/>
          <w:szCs w:val="32"/>
        </w:rPr>
        <w:t>化。</w:t>
      </w:r>
    </w:p>
    <w:p w14:paraId="24A68667" w14:textId="77777777" w:rsidR="005429DA" w:rsidRDefault="00A63F14">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（二）绩效管理的运用意识有待提高。针对这些不足，我单位将积极采取改进措施，持续改进，不断规范和强化管理。</w:t>
      </w:r>
    </w:p>
    <w:p w14:paraId="6AA4EECA" w14:textId="77777777" w:rsidR="005429DA" w:rsidRDefault="00A63F14">
      <w:pPr>
        <w:widowControl/>
        <w:numPr>
          <w:ilvl w:val="0"/>
          <w:numId w:val="2"/>
        </w:num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下一步改进措施</w:t>
      </w:r>
    </w:p>
    <w:p w14:paraId="51657BC4" w14:textId="77777777" w:rsidR="005429DA" w:rsidRDefault="00A63F14">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（一）严格按照《中华人民共和国预算法》及相关制度，根据本单位实际情况并结合以前年度支出情况，综合</w:t>
      </w:r>
      <w:r>
        <w:rPr>
          <w:rFonts w:ascii="仿宋_GB2312" w:eastAsia="仿宋_GB2312" w:hAnsi="仿宋_GB2312" w:cs="仿宋_GB2312" w:hint="eastAsia"/>
          <w:color w:val="000000" w:themeColor="text1"/>
          <w:sz w:val="32"/>
          <w:szCs w:val="32"/>
        </w:rPr>
        <w:lastRenderedPageBreak/>
        <w:t>考虑相关因素，申报年初预算，提高单位预算编制水平。</w:t>
      </w:r>
    </w:p>
    <w:p w14:paraId="19D7778C" w14:textId="77777777" w:rsidR="005429DA" w:rsidRDefault="00A63F14">
      <w:pPr>
        <w:widowControl/>
        <w:spacing w:line="6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（二）定期对绩效目标执行进度进行监控，及时掌握资金支付进度，确保财政资金发挥效益。</w:t>
      </w:r>
    </w:p>
    <w:p w14:paraId="6E0905EE" w14:textId="77777777" w:rsidR="005429DA" w:rsidRDefault="00A63F14">
      <w:pPr>
        <w:widowControl/>
        <w:spacing w:line="6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（三）进一步提升业务能力，优化工作流程，</w:t>
      </w:r>
      <w:r>
        <w:rPr>
          <w:rFonts w:ascii="仿宋_GB2312" w:eastAsia="仿宋_GB2312" w:hAnsi="仿宋_GB2312" w:cs="仿宋_GB2312" w:hint="eastAsia"/>
          <w:sz w:val="32"/>
          <w:szCs w:val="32"/>
        </w:rPr>
        <w:t>继续开展登记数据清理整合，夯实数据质量，深化信息互通共享，更好地发挥登记数据在经济社会发展和部门监管中的作用，提升不动产登记便利度、效率，提升不动产登记现代化水平，为企业群众节约时间成本和经济成本。</w:t>
      </w:r>
    </w:p>
    <w:p w14:paraId="76592871" w14:textId="77777777" w:rsidR="005429DA" w:rsidRDefault="00A63F14">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九、</w:t>
      </w:r>
      <w:r>
        <w:rPr>
          <w:rFonts w:ascii="Times New Roman" w:eastAsia="黑体" w:hAnsi="Times New Roman" w:hint="eastAsia"/>
          <w:sz w:val="32"/>
          <w:szCs w:val="32"/>
        </w:rPr>
        <w:t>单位</w:t>
      </w:r>
      <w:r>
        <w:rPr>
          <w:rFonts w:ascii="Times New Roman" w:eastAsia="黑体" w:hAnsi="Times New Roman"/>
          <w:sz w:val="32"/>
          <w:szCs w:val="32"/>
        </w:rPr>
        <w:t>整体支出绩效自评结果拟应用和公开情况</w:t>
      </w:r>
    </w:p>
    <w:p w14:paraId="74EB8D01" w14:textId="77777777" w:rsidR="005429DA" w:rsidRDefault="00A63F14">
      <w:pPr>
        <w:pStyle w:val="a5"/>
        <w:ind w:firstLineChars="200" w:firstLine="640"/>
        <w:rPr>
          <w:lang w:eastAsia="zh-CN"/>
        </w:rPr>
      </w:pPr>
      <w:r>
        <w:rPr>
          <w:rFonts w:ascii="仿宋_GB2312" w:eastAsia="仿宋_GB2312" w:hAnsi="仿宋_GB2312" w:cs="仿宋_GB2312" w:hint="eastAsia"/>
          <w:sz w:val="32"/>
          <w:szCs w:val="32"/>
          <w:lang w:eastAsia="zh-CN"/>
        </w:rPr>
        <w:t>本单位绩效自评结果为良好等级。下一步将根据财政检查绩效自评发现的问题等进行改善，并按政务公开的相关规定，及时将部门整体支出及项目绩效自评报告，通过门户网站向社会公开。</w:t>
      </w:r>
    </w:p>
    <w:p w14:paraId="5F95B8CF" w14:textId="77777777" w:rsidR="005429DA" w:rsidRDefault="00A63F14">
      <w:pPr>
        <w:widowControl/>
        <w:spacing w:line="6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sz w:val="32"/>
          <w:szCs w:val="32"/>
        </w:rPr>
        <w:t>其他需要说明的情况</w:t>
      </w:r>
    </w:p>
    <w:p w14:paraId="5A27B19A" w14:textId="57CD13C0" w:rsidR="005429DA" w:rsidRDefault="00A63F14" w:rsidP="0062298A">
      <w:pPr>
        <w:pStyle w:val="a5"/>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无。</w:t>
      </w:r>
    </w:p>
    <w:p w14:paraId="620BFB40" w14:textId="77777777" w:rsidR="00873D17" w:rsidRPr="00873D17" w:rsidRDefault="00873D17" w:rsidP="00873D17">
      <w:pPr>
        <w:pStyle w:val="5"/>
        <w:ind w:left="2240"/>
      </w:pPr>
    </w:p>
    <w:p w14:paraId="5BD5348D" w14:textId="77777777" w:rsidR="005429DA" w:rsidRDefault="00A63F14">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报告需要以下附件：</w:t>
      </w:r>
    </w:p>
    <w:p w14:paraId="5ADB6194" w14:textId="77777777" w:rsidR="005429DA" w:rsidRDefault="00A63F14">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1.部门整体支出绩效评价基础数据表</w:t>
      </w:r>
    </w:p>
    <w:p w14:paraId="05B31BBE" w14:textId="77777777" w:rsidR="005429DA" w:rsidRDefault="00A63F14">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2.部门整体支出绩效自评表</w:t>
      </w:r>
    </w:p>
    <w:p w14:paraId="00F7880D" w14:textId="77777777" w:rsidR="005429DA" w:rsidRDefault="00A63F14">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3.项目支出绩效自评表（一个</w:t>
      </w:r>
      <w:proofErr w:type="gramStart"/>
      <w:r>
        <w:rPr>
          <w:rFonts w:ascii="仿宋_GB2312" w:eastAsia="仿宋_GB2312" w:hAnsi="仿宋_GB2312" w:cs="仿宋_GB2312" w:hint="eastAsia"/>
          <w:sz w:val="32"/>
          <w:szCs w:val="32"/>
        </w:rPr>
        <w:t>一级项目</w:t>
      </w:r>
      <w:proofErr w:type="gramEnd"/>
      <w:r>
        <w:rPr>
          <w:rFonts w:ascii="仿宋_GB2312" w:eastAsia="仿宋_GB2312" w:hAnsi="仿宋_GB2312" w:cs="仿宋_GB2312" w:hint="eastAsia"/>
          <w:sz w:val="32"/>
          <w:szCs w:val="32"/>
        </w:rPr>
        <w:t>支出一张表）</w:t>
      </w:r>
    </w:p>
    <w:p w14:paraId="6C7E4CC2" w14:textId="77777777" w:rsidR="005429DA" w:rsidRDefault="00A63F14">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4.政府性基金预算支出情况表</w:t>
      </w:r>
    </w:p>
    <w:p w14:paraId="6D42DC44" w14:textId="77777777" w:rsidR="005429DA" w:rsidRDefault="00A63F14">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5.国有资本经营预算支出情况表</w:t>
      </w:r>
    </w:p>
    <w:p w14:paraId="37BD5841" w14:textId="717B99C5" w:rsidR="005429DA" w:rsidRDefault="00A63F14" w:rsidP="0062298A">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6.社会保险基金预算支出情况表</w:t>
      </w:r>
    </w:p>
    <w:p w14:paraId="213C1656"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1931A714"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20E368D5"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4F39808E"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6C05A4DF"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2F92DE52"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3067CB6D"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18F3F40F"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61E6A6A8"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6894789C"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22E3E2FF"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1B8820D0"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505F8CAD"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7CA49CC4"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521EF5D3"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08C98BC7"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370408E4"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30D5E420"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189D7C8A"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36EB97B9" w14:textId="77777777" w:rsidR="00D74350" w:rsidRDefault="00D74350" w:rsidP="00D74350">
      <w:pPr>
        <w:spacing w:afterLines="50" w:after="156" w:line="600" w:lineRule="exact"/>
        <w:rPr>
          <w:rFonts w:ascii="黑体" w:eastAsia="黑体" w:hAnsi="黑体" w:cs="黑体"/>
          <w:sz w:val="32"/>
          <w:szCs w:val="32"/>
        </w:rPr>
      </w:pPr>
      <w:r>
        <w:rPr>
          <w:rFonts w:ascii="黑体" w:eastAsia="黑体" w:hAnsi="黑体" w:cs="黑体" w:hint="eastAsia"/>
          <w:sz w:val="32"/>
          <w:szCs w:val="32"/>
        </w:rPr>
        <w:lastRenderedPageBreak/>
        <w:t>附件1</w:t>
      </w:r>
    </w:p>
    <w:p w14:paraId="0728571F" w14:textId="77777777" w:rsidR="00D74350" w:rsidRDefault="00D74350" w:rsidP="00D74350">
      <w:pPr>
        <w:spacing w:afterLines="50" w:after="156" w:line="600" w:lineRule="exact"/>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36"/>
          <w:szCs w:val="36"/>
        </w:rPr>
        <w:t>2024年度部门整体支出绩效评价基础数据表</w:t>
      </w:r>
    </w:p>
    <w:tbl>
      <w:tblPr>
        <w:tblW w:w="9673" w:type="dxa"/>
        <w:jc w:val="center"/>
        <w:tblLayout w:type="fixed"/>
        <w:tblLook w:val="04A0" w:firstRow="1" w:lastRow="0" w:firstColumn="1" w:lastColumn="0" w:noHBand="0" w:noVBand="1"/>
      </w:tblPr>
      <w:tblGrid>
        <w:gridCol w:w="3354"/>
        <w:gridCol w:w="1189"/>
        <w:gridCol w:w="849"/>
        <w:gridCol w:w="1129"/>
        <w:gridCol w:w="1111"/>
        <w:gridCol w:w="1081"/>
        <w:gridCol w:w="960"/>
      </w:tblGrid>
      <w:tr w:rsidR="00D74350" w14:paraId="7C86ACBD" w14:textId="77777777" w:rsidTr="0053535C">
        <w:trPr>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14:paraId="31A2FB9B"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财政供养人员情况（人）</w:t>
            </w:r>
          </w:p>
        </w:tc>
        <w:tc>
          <w:tcPr>
            <w:tcW w:w="2038" w:type="dxa"/>
            <w:gridSpan w:val="2"/>
            <w:tcBorders>
              <w:top w:val="single" w:sz="4" w:space="0" w:color="auto"/>
              <w:left w:val="nil"/>
              <w:bottom w:val="single" w:sz="4" w:space="0" w:color="auto"/>
              <w:right w:val="single" w:sz="4" w:space="0" w:color="auto"/>
            </w:tcBorders>
            <w:vAlign w:val="center"/>
          </w:tcPr>
          <w:p w14:paraId="549B3DC0" w14:textId="77777777" w:rsidR="00D74350" w:rsidRDefault="00D74350" w:rsidP="0053535C">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编制数</w:t>
            </w:r>
          </w:p>
        </w:tc>
        <w:tc>
          <w:tcPr>
            <w:tcW w:w="2240" w:type="dxa"/>
            <w:gridSpan w:val="2"/>
            <w:tcBorders>
              <w:top w:val="single" w:sz="4" w:space="0" w:color="auto"/>
              <w:left w:val="nil"/>
              <w:bottom w:val="single" w:sz="4" w:space="0" w:color="auto"/>
              <w:right w:val="single" w:sz="4" w:space="0" w:color="auto"/>
            </w:tcBorders>
            <w:vAlign w:val="center"/>
          </w:tcPr>
          <w:p w14:paraId="629CE3C9" w14:textId="77777777" w:rsidR="00D74350" w:rsidRDefault="00D74350" w:rsidP="0053535C">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2024年实际在职人数</w:t>
            </w:r>
          </w:p>
        </w:tc>
        <w:tc>
          <w:tcPr>
            <w:tcW w:w="2041" w:type="dxa"/>
            <w:gridSpan w:val="2"/>
            <w:tcBorders>
              <w:top w:val="single" w:sz="4" w:space="0" w:color="auto"/>
              <w:left w:val="nil"/>
              <w:bottom w:val="single" w:sz="4" w:space="0" w:color="auto"/>
              <w:right w:val="single" w:sz="4" w:space="0" w:color="auto"/>
            </w:tcBorders>
            <w:vAlign w:val="center"/>
          </w:tcPr>
          <w:p w14:paraId="37DB8B95" w14:textId="77777777" w:rsidR="00D74350" w:rsidRDefault="00D74350" w:rsidP="0053535C">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控制率</w:t>
            </w:r>
          </w:p>
        </w:tc>
      </w:tr>
      <w:tr w:rsidR="00D74350" w14:paraId="3FB9BE15" w14:textId="77777777" w:rsidTr="0053535C">
        <w:trPr>
          <w:jc w:val="center"/>
        </w:trPr>
        <w:tc>
          <w:tcPr>
            <w:tcW w:w="3354" w:type="dxa"/>
            <w:vMerge/>
            <w:tcBorders>
              <w:top w:val="single" w:sz="4" w:space="0" w:color="auto"/>
              <w:left w:val="single" w:sz="4" w:space="0" w:color="auto"/>
              <w:bottom w:val="single" w:sz="4" w:space="0" w:color="auto"/>
              <w:right w:val="single" w:sz="4" w:space="0" w:color="auto"/>
            </w:tcBorders>
            <w:vAlign w:val="center"/>
          </w:tcPr>
          <w:p w14:paraId="559DD827" w14:textId="77777777" w:rsidR="00D74350" w:rsidRDefault="00D74350" w:rsidP="0053535C">
            <w:pPr>
              <w:widowControl/>
              <w:spacing w:line="360" w:lineRule="exact"/>
              <w:jc w:val="left"/>
              <w:rPr>
                <w:rFonts w:ascii="仿宋_GB2312" w:eastAsia="仿宋_GB2312" w:hAnsi="仿宋_GB2312" w:cs="仿宋_GB2312"/>
                <w:sz w:val="20"/>
                <w:szCs w:val="20"/>
              </w:rPr>
            </w:pPr>
          </w:p>
        </w:tc>
        <w:tc>
          <w:tcPr>
            <w:tcW w:w="2038" w:type="dxa"/>
            <w:gridSpan w:val="2"/>
            <w:tcBorders>
              <w:top w:val="single" w:sz="4" w:space="0" w:color="auto"/>
              <w:left w:val="nil"/>
              <w:bottom w:val="single" w:sz="4" w:space="0" w:color="auto"/>
              <w:right w:val="single" w:sz="4" w:space="0" w:color="auto"/>
            </w:tcBorders>
            <w:vAlign w:val="center"/>
          </w:tcPr>
          <w:p w14:paraId="237A35FF"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115</w:t>
            </w:r>
          </w:p>
        </w:tc>
        <w:tc>
          <w:tcPr>
            <w:tcW w:w="2240" w:type="dxa"/>
            <w:gridSpan w:val="2"/>
            <w:tcBorders>
              <w:top w:val="single" w:sz="4" w:space="0" w:color="auto"/>
              <w:left w:val="nil"/>
              <w:bottom w:val="single" w:sz="4" w:space="0" w:color="auto"/>
              <w:right w:val="single" w:sz="4" w:space="0" w:color="auto"/>
            </w:tcBorders>
            <w:vAlign w:val="center"/>
          </w:tcPr>
          <w:p w14:paraId="22764BB5"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106</w:t>
            </w:r>
          </w:p>
        </w:tc>
        <w:tc>
          <w:tcPr>
            <w:tcW w:w="2041" w:type="dxa"/>
            <w:gridSpan w:val="2"/>
            <w:tcBorders>
              <w:top w:val="single" w:sz="4" w:space="0" w:color="auto"/>
              <w:left w:val="nil"/>
              <w:bottom w:val="single" w:sz="4" w:space="0" w:color="auto"/>
              <w:right w:val="single" w:sz="4" w:space="0" w:color="auto"/>
            </w:tcBorders>
            <w:vAlign w:val="center"/>
          </w:tcPr>
          <w:p w14:paraId="2F4330F4"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92.17%</w:t>
            </w:r>
          </w:p>
        </w:tc>
      </w:tr>
      <w:tr w:rsidR="00D74350" w14:paraId="64127F55"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53BE035E"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经费控制情况（万元）</w:t>
            </w:r>
          </w:p>
        </w:tc>
        <w:tc>
          <w:tcPr>
            <w:tcW w:w="2038" w:type="dxa"/>
            <w:gridSpan w:val="2"/>
            <w:tcBorders>
              <w:top w:val="single" w:sz="4" w:space="0" w:color="auto"/>
              <w:left w:val="nil"/>
              <w:bottom w:val="single" w:sz="4" w:space="0" w:color="auto"/>
              <w:right w:val="single" w:sz="4" w:space="0" w:color="000000"/>
            </w:tcBorders>
            <w:vAlign w:val="center"/>
          </w:tcPr>
          <w:p w14:paraId="3B9421E3" w14:textId="77777777" w:rsidR="00D74350" w:rsidRDefault="00D74350" w:rsidP="0053535C">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2023年决算数</w:t>
            </w:r>
          </w:p>
        </w:tc>
        <w:tc>
          <w:tcPr>
            <w:tcW w:w="2240" w:type="dxa"/>
            <w:gridSpan w:val="2"/>
            <w:tcBorders>
              <w:top w:val="single" w:sz="4" w:space="0" w:color="auto"/>
              <w:left w:val="nil"/>
              <w:bottom w:val="single" w:sz="4" w:space="0" w:color="auto"/>
              <w:right w:val="single" w:sz="4" w:space="0" w:color="000000"/>
            </w:tcBorders>
            <w:vAlign w:val="center"/>
          </w:tcPr>
          <w:p w14:paraId="3CE4DB28" w14:textId="77777777" w:rsidR="00D74350" w:rsidRDefault="00D74350" w:rsidP="0053535C">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2024年预算数</w:t>
            </w:r>
          </w:p>
        </w:tc>
        <w:tc>
          <w:tcPr>
            <w:tcW w:w="2041" w:type="dxa"/>
            <w:gridSpan w:val="2"/>
            <w:tcBorders>
              <w:top w:val="single" w:sz="4" w:space="0" w:color="auto"/>
              <w:left w:val="nil"/>
              <w:bottom w:val="single" w:sz="4" w:space="0" w:color="auto"/>
              <w:right w:val="single" w:sz="4" w:space="0" w:color="000000"/>
            </w:tcBorders>
            <w:vAlign w:val="center"/>
          </w:tcPr>
          <w:p w14:paraId="32B85144" w14:textId="77777777" w:rsidR="00D74350" w:rsidRDefault="00D74350" w:rsidP="0053535C">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2024年决算数</w:t>
            </w:r>
          </w:p>
        </w:tc>
      </w:tr>
      <w:tr w:rsidR="00D74350" w14:paraId="0743E2F6"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34ABD3B8"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三</w:t>
            </w:r>
            <w:proofErr w:type="gramStart"/>
            <w:r>
              <w:rPr>
                <w:rFonts w:ascii="仿宋_GB2312" w:eastAsia="仿宋_GB2312" w:hAnsi="仿宋_GB2312" w:cs="仿宋_GB2312" w:hint="eastAsia"/>
                <w:sz w:val="20"/>
                <w:szCs w:val="20"/>
              </w:rPr>
              <w:t>公经费</w:t>
            </w:r>
            <w:proofErr w:type="gramEnd"/>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3EE60CA4"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1.02</w:t>
            </w:r>
          </w:p>
        </w:tc>
        <w:tc>
          <w:tcPr>
            <w:tcW w:w="2240" w:type="dxa"/>
            <w:gridSpan w:val="2"/>
            <w:tcBorders>
              <w:top w:val="single" w:sz="4" w:space="0" w:color="auto"/>
              <w:left w:val="nil"/>
              <w:bottom w:val="single" w:sz="4" w:space="0" w:color="auto"/>
              <w:right w:val="single" w:sz="4" w:space="0" w:color="000000"/>
            </w:tcBorders>
            <w:vAlign w:val="center"/>
          </w:tcPr>
          <w:p w14:paraId="1A7FBE68"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3.50</w:t>
            </w:r>
          </w:p>
        </w:tc>
        <w:tc>
          <w:tcPr>
            <w:tcW w:w="2041" w:type="dxa"/>
            <w:gridSpan w:val="2"/>
            <w:tcBorders>
              <w:top w:val="single" w:sz="4" w:space="0" w:color="auto"/>
              <w:left w:val="nil"/>
              <w:bottom w:val="single" w:sz="4" w:space="0" w:color="auto"/>
              <w:right w:val="single" w:sz="4" w:space="0" w:color="000000"/>
            </w:tcBorders>
            <w:vAlign w:val="center"/>
          </w:tcPr>
          <w:p w14:paraId="31B8528E"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1.33</w:t>
            </w:r>
          </w:p>
        </w:tc>
      </w:tr>
      <w:tr w:rsidR="00D74350" w14:paraId="34136C7D"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5266B4E2"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1、公务用车购置和维护经费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493620D0"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0.78</w:t>
            </w:r>
          </w:p>
        </w:tc>
        <w:tc>
          <w:tcPr>
            <w:tcW w:w="2240" w:type="dxa"/>
            <w:gridSpan w:val="2"/>
            <w:tcBorders>
              <w:top w:val="single" w:sz="4" w:space="0" w:color="auto"/>
              <w:left w:val="nil"/>
              <w:bottom w:val="single" w:sz="4" w:space="0" w:color="auto"/>
              <w:right w:val="single" w:sz="4" w:space="0" w:color="000000"/>
            </w:tcBorders>
            <w:vAlign w:val="center"/>
          </w:tcPr>
          <w:p w14:paraId="3C9595D1"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3.00</w:t>
            </w:r>
          </w:p>
        </w:tc>
        <w:tc>
          <w:tcPr>
            <w:tcW w:w="2041" w:type="dxa"/>
            <w:gridSpan w:val="2"/>
            <w:tcBorders>
              <w:top w:val="single" w:sz="4" w:space="0" w:color="auto"/>
              <w:left w:val="nil"/>
              <w:bottom w:val="single" w:sz="4" w:space="0" w:color="auto"/>
              <w:right w:val="single" w:sz="4" w:space="0" w:color="000000"/>
            </w:tcBorders>
            <w:vAlign w:val="center"/>
          </w:tcPr>
          <w:p w14:paraId="51A14CFD"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1.33</w:t>
            </w:r>
          </w:p>
        </w:tc>
      </w:tr>
      <w:tr w:rsidR="00D74350" w14:paraId="360AC798" w14:textId="77777777" w:rsidTr="0053535C">
        <w:trPr>
          <w:trHeight w:val="377"/>
          <w:jc w:val="center"/>
        </w:trPr>
        <w:tc>
          <w:tcPr>
            <w:tcW w:w="3354" w:type="dxa"/>
            <w:tcBorders>
              <w:top w:val="nil"/>
              <w:left w:val="single" w:sz="4" w:space="0" w:color="auto"/>
              <w:bottom w:val="single" w:sz="4" w:space="0" w:color="auto"/>
              <w:right w:val="single" w:sz="4" w:space="0" w:color="auto"/>
            </w:tcBorders>
            <w:vAlign w:val="center"/>
          </w:tcPr>
          <w:p w14:paraId="6835C46F"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其中：公车购置</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71BDCC09" w14:textId="77777777" w:rsidR="00D74350" w:rsidRDefault="00D74350" w:rsidP="0053535C">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vAlign w:val="center"/>
          </w:tcPr>
          <w:p w14:paraId="19495CD3" w14:textId="77777777" w:rsidR="00D74350" w:rsidRDefault="00D74350" w:rsidP="0053535C">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vAlign w:val="center"/>
          </w:tcPr>
          <w:p w14:paraId="2E7ABF54" w14:textId="77777777" w:rsidR="00D74350" w:rsidRDefault="00D74350" w:rsidP="0053535C">
            <w:pPr>
              <w:widowControl/>
              <w:spacing w:line="360" w:lineRule="exact"/>
              <w:jc w:val="center"/>
              <w:rPr>
                <w:rFonts w:ascii="仿宋_GB2312" w:eastAsia="仿宋_GB2312" w:hAnsi="仿宋_GB2312" w:cs="仿宋_GB2312"/>
                <w:sz w:val="20"/>
                <w:szCs w:val="20"/>
              </w:rPr>
            </w:pPr>
          </w:p>
        </w:tc>
      </w:tr>
      <w:tr w:rsidR="00D74350" w14:paraId="34BB6BF1"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5697D009"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公车运行维护</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1914BD7E"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0.78</w:t>
            </w:r>
          </w:p>
        </w:tc>
        <w:tc>
          <w:tcPr>
            <w:tcW w:w="2240" w:type="dxa"/>
            <w:gridSpan w:val="2"/>
            <w:tcBorders>
              <w:top w:val="single" w:sz="4" w:space="0" w:color="auto"/>
              <w:left w:val="nil"/>
              <w:bottom w:val="single" w:sz="4" w:space="0" w:color="auto"/>
              <w:right w:val="single" w:sz="4" w:space="0" w:color="000000"/>
            </w:tcBorders>
            <w:vAlign w:val="center"/>
          </w:tcPr>
          <w:p w14:paraId="4BB6448B"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3.00</w:t>
            </w:r>
          </w:p>
        </w:tc>
        <w:tc>
          <w:tcPr>
            <w:tcW w:w="2041" w:type="dxa"/>
            <w:gridSpan w:val="2"/>
            <w:tcBorders>
              <w:top w:val="single" w:sz="4" w:space="0" w:color="auto"/>
              <w:left w:val="nil"/>
              <w:bottom w:val="single" w:sz="4" w:space="0" w:color="auto"/>
              <w:right w:val="single" w:sz="4" w:space="0" w:color="000000"/>
            </w:tcBorders>
            <w:vAlign w:val="center"/>
          </w:tcPr>
          <w:p w14:paraId="2A70640F"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1.33</w:t>
            </w:r>
          </w:p>
        </w:tc>
      </w:tr>
      <w:tr w:rsidR="00D74350" w14:paraId="4E3DC632"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1528C3E3"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2、出国经费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57EF8BF1" w14:textId="77777777" w:rsidR="00D74350" w:rsidRDefault="00D74350" w:rsidP="0053535C">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vAlign w:val="center"/>
          </w:tcPr>
          <w:p w14:paraId="1BD88A66" w14:textId="77777777" w:rsidR="00D74350" w:rsidRDefault="00D74350" w:rsidP="0053535C">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vAlign w:val="center"/>
          </w:tcPr>
          <w:p w14:paraId="5D422978" w14:textId="77777777" w:rsidR="00D74350" w:rsidRDefault="00D74350" w:rsidP="0053535C">
            <w:pPr>
              <w:widowControl/>
              <w:spacing w:line="360" w:lineRule="exact"/>
              <w:jc w:val="center"/>
              <w:rPr>
                <w:rFonts w:ascii="仿宋_GB2312" w:eastAsia="仿宋_GB2312" w:hAnsi="仿宋_GB2312" w:cs="仿宋_GB2312"/>
                <w:sz w:val="20"/>
                <w:szCs w:val="20"/>
              </w:rPr>
            </w:pPr>
          </w:p>
        </w:tc>
      </w:tr>
      <w:tr w:rsidR="00D74350" w14:paraId="6E941A13"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32E951B1"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3、公务接待</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3BEFD1DC"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0.24</w:t>
            </w:r>
          </w:p>
        </w:tc>
        <w:tc>
          <w:tcPr>
            <w:tcW w:w="2240" w:type="dxa"/>
            <w:gridSpan w:val="2"/>
            <w:tcBorders>
              <w:top w:val="single" w:sz="4" w:space="0" w:color="auto"/>
              <w:left w:val="nil"/>
              <w:bottom w:val="single" w:sz="4" w:space="0" w:color="auto"/>
              <w:right w:val="single" w:sz="4" w:space="0" w:color="000000"/>
            </w:tcBorders>
            <w:vAlign w:val="center"/>
          </w:tcPr>
          <w:p w14:paraId="7A52C799"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0.50</w:t>
            </w:r>
          </w:p>
        </w:tc>
        <w:tc>
          <w:tcPr>
            <w:tcW w:w="2041" w:type="dxa"/>
            <w:gridSpan w:val="2"/>
            <w:tcBorders>
              <w:top w:val="single" w:sz="4" w:space="0" w:color="auto"/>
              <w:left w:val="nil"/>
              <w:bottom w:val="single" w:sz="4" w:space="0" w:color="auto"/>
              <w:right w:val="single" w:sz="4" w:space="0" w:color="000000"/>
            </w:tcBorders>
            <w:vAlign w:val="center"/>
          </w:tcPr>
          <w:p w14:paraId="54C04140" w14:textId="77777777" w:rsidR="00D74350" w:rsidRDefault="00D74350" w:rsidP="0053535C">
            <w:pPr>
              <w:widowControl/>
              <w:spacing w:line="360" w:lineRule="exact"/>
              <w:jc w:val="center"/>
              <w:rPr>
                <w:rFonts w:ascii="仿宋_GB2312" w:eastAsia="仿宋_GB2312" w:hAnsi="仿宋_GB2312" w:cs="仿宋_GB2312"/>
                <w:sz w:val="20"/>
                <w:szCs w:val="20"/>
              </w:rPr>
            </w:pPr>
          </w:p>
        </w:tc>
      </w:tr>
      <w:tr w:rsidR="00D74350" w14:paraId="27EA55BC"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42B94556"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项目支出：</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58A5C696"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159.34</w:t>
            </w:r>
          </w:p>
        </w:tc>
        <w:tc>
          <w:tcPr>
            <w:tcW w:w="2240" w:type="dxa"/>
            <w:gridSpan w:val="2"/>
            <w:tcBorders>
              <w:top w:val="single" w:sz="4" w:space="0" w:color="auto"/>
              <w:left w:val="nil"/>
              <w:bottom w:val="single" w:sz="4" w:space="0" w:color="auto"/>
              <w:right w:val="single" w:sz="4" w:space="0" w:color="000000"/>
            </w:tcBorders>
            <w:vAlign w:val="center"/>
          </w:tcPr>
          <w:p w14:paraId="6AC05A3B"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15.75</w:t>
            </w:r>
          </w:p>
        </w:tc>
        <w:tc>
          <w:tcPr>
            <w:tcW w:w="2041" w:type="dxa"/>
            <w:gridSpan w:val="2"/>
            <w:tcBorders>
              <w:top w:val="single" w:sz="4" w:space="0" w:color="auto"/>
              <w:left w:val="nil"/>
              <w:bottom w:val="single" w:sz="4" w:space="0" w:color="auto"/>
              <w:right w:val="single" w:sz="4" w:space="0" w:color="000000"/>
            </w:tcBorders>
            <w:vAlign w:val="center"/>
          </w:tcPr>
          <w:p w14:paraId="70527F4B"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261.77</w:t>
            </w:r>
          </w:p>
        </w:tc>
      </w:tr>
      <w:tr w:rsidR="00D74350" w14:paraId="403653D9"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63E7DFF1"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1、非税收入征收成本（不动产登记费）</w:t>
            </w:r>
          </w:p>
        </w:tc>
        <w:tc>
          <w:tcPr>
            <w:tcW w:w="2038" w:type="dxa"/>
            <w:gridSpan w:val="2"/>
            <w:tcBorders>
              <w:top w:val="single" w:sz="4" w:space="0" w:color="auto"/>
              <w:left w:val="nil"/>
              <w:bottom w:val="single" w:sz="4" w:space="0" w:color="auto"/>
              <w:right w:val="single" w:sz="4" w:space="0" w:color="000000"/>
            </w:tcBorders>
            <w:vAlign w:val="center"/>
          </w:tcPr>
          <w:p w14:paraId="518707CD" w14:textId="77777777" w:rsidR="00D74350" w:rsidRDefault="00D74350" w:rsidP="0053535C">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vAlign w:val="center"/>
          </w:tcPr>
          <w:p w14:paraId="444328DA"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15.75</w:t>
            </w:r>
          </w:p>
        </w:tc>
        <w:tc>
          <w:tcPr>
            <w:tcW w:w="2041" w:type="dxa"/>
            <w:gridSpan w:val="2"/>
            <w:tcBorders>
              <w:top w:val="single" w:sz="4" w:space="0" w:color="auto"/>
              <w:left w:val="nil"/>
              <w:bottom w:val="single" w:sz="4" w:space="0" w:color="auto"/>
              <w:right w:val="single" w:sz="4" w:space="0" w:color="000000"/>
            </w:tcBorders>
            <w:vAlign w:val="center"/>
          </w:tcPr>
          <w:p w14:paraId="5F8303D1" w14:textId="77777777" w:rsidR="00D74350" w:rsidRDefault="00D74350" w:rsidP="0053535C">
            <w:pPr>
              <w:widowControl/>
              <w:spacing w:line="360" w:lineRule="exact"/>
              <w:jc w:val="center"/>
              <w:rPr>
                <w:rFonts w:ascii="仿宋_GB2312" w:eastAsia="仿宋_GB2312" w:hAnsi="仿宋_GB2312" w:cs="仿宋_GB2312"/>
                <w:sz w:val="20"/>
                <w:szCs w:val="20"/>
              </w:rPr>
            </w:pPr>
          </w:p>
        </w:tc>
      </w:tr>
      <w:tr w:rsidR="00D74350" w14:paraId="3731B505"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7F3B8D63"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2、市级专项资金（一个专项一行）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14:paraId="2AABFBD6"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159.34</w:t>
            </w:r>
          </w:p>
        </w:tc>
        <w:tc>
          <w:tcPr>
            <w:tcW w:w="2240" w:type="dxa"/>
            <w:gridSpan w:val="2"/>
            <w:tcBorders>
              <w:top w:val="single" w:sz="4" w:space="0" w:color="auto"/>
              <w:left w:val="nil"/>
              <w:bottom w:val="single" w:sz="4" w:space="0" w:color="auto"/>
              <w:right w:val="single" w:sz="4" w:space="0" w:color="000000"/>
            </w:tcBorders>
            <w:vAlign w:val="center"/>
          </w:tcPr>
          <w:p w14:paraId="22E917BC" w14:textId="77777777" w:rsidR="00D74350" w:rsidRDefault="00D74350" w:rsidP="0053535C">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vAlign w:val="center"/>
          </w:tcPr>
          <w:p w14:paraId="63405CB7"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261.77</w:t>
            </w:r>
          </w:p>
        </w:tc>
      </w:tr>
      <w:tr w:rsidR="00D74350" w14:paraId="296FAB8D"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08FA40CF"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bookmarkStart w:id="1" w:name="OLE_LINK5"/>
            <w:r>
              <w:rPr>
                <w:rFonts w:ascii="仿宋_GB2312" w:eastAsia="仿宋_GB2312" w:hAnsi="仿宋_GB2312" w:cs="仿宋_GB2312" w:hint="eastAsia"/>
                <w:sz w:val="20"/>
                <w:szCs w:val="20"/>
              </w:rPr>
              <w:t xml:space="preserve">  中心城区房地产办证专项行动</w:t>
            </w:r>
            <w:bookmarkEnd w:id="1"/>
          </w:p>
        </w:tc>
        <w:tc>
          <w:tcPr>
            <w:tcW w:w="2038" w:type="dxa"/>
            <w:gridSpan w:val="2"/>
            <w:tcBorders>
              <w:top w:val="single" w:sz="4" w:space="0" w:color="auto"/>
              <w:left w:val="nil"/>
              <w:bottom w:val="single" w:sz="4" w:space="0" w:color="auto"/>
              <w:right w:val="single" w:sz="4" w:space="0" w:color="000000"/>
            </w:tcBorders>
            <w:vAlign w:val="center"/>
          </w:tcPr>
          <w:p w14:paraId="0394FD53"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159.34</w:t>
            </w:r>
          </w:p>
        </w:tc>
        <w:tc>
          <w:tcPr>
            <w:tcW w:w="2240" w:type="dxa"/>
            <w:gridSpan w:val="2"/>
            <w:tcBorders>
              <w:top w:val="single" w:sz="4" w:space="0" w:color="auto"/>
              <w:left w:val="nil"/>
              <w:bottom w:val="single" w:sz="4" w:space="0" w:color="auto"/>
              <w:right w:val="single" w:sz="4" w:space="0" w:color="000000"/>
            </w:tcBorders>
            <w:vAlign w:val="center"/>
          </w:tcPr>
          <w:p w14:paraId="05C70E81" w14:textId="77777777" w:rsidR="00D74350" w:rsidRDefault="00D74350" w:rsidP="0053535C">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vAlign w:val="center"/>
          </w:tcPr>
          <w:p w14:paraId="40842AED" w14:textId="77777777" w:rsidR="00D74350" w:rsidRDefault="00D74350" w:rsidP="0053535C">
            <w:pPr>
              <w:widowControl/>
              <w:spacing w:line="360" w:lineRule="exact"/>
              <w:jc w:val="center"/>
              <w:rPr>
                <w:rFonts w:ascii="仿宋_GB2312" w:eastAsia="仿宋_GB2312" w:hAnsi="仿宋_GB2312" w:cs="仿宋_GB2312"/>
                <w:sz w:val="20"/>
                <w:szCs w:val="20"/>
              </w:rPr>
            </w:pPr>
            <w:bookmarkStart w:id="2" w:name="OLE_LINK7"/>
            <w:r>
              <w:rPr>
                <w:rFonts w:ascii="仿宋_GB2312" w:eastAsia="仿宋_GB2312" w:hAnsi="仿宋_GB2312" w:cs="仿宋_GB2312" w:hint="eastAsia"/>
                <w:sz w:val="20"/>
                <w:szCs w:val="20"/>
              </w:rPr>
              <w:t>261.77</w:t>
            </w:r>
            <w:bookmarkEnd w:id="2"/>
          </w:p>
        </w:tc>
      </w:tr>
      <w:tr w:rsidR="00D74350" w14:paraId="2E31C8D7"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3C1517D0"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公用经费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103F6D5E"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526.54</w:t>
            </w:r>
          </w:p>
        </w:tc>
        <w:tc>
          <w:tcPr>
            <w:tcW w:w="2240" w:type="dxa"/>
            <w:gridSpan w:val="2"/>
            <w:tcBorders>
              <w:top w:val="single" w:sz="4" w:space="0" w:color="auto"/>
              <w:left w:val="nil"/>
              <w:bottom w:val="single" w:sz="4" w:space="0" w:color="auto"/>
              <w:right w:val="single" w:sz="4" w:space="0" w:color="000000"/>
            </w:tcBorders>
            <w:vAlign w:val="center"/>
          </w:tcPr>
          <w:p w14:paraId="6C536AB7"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174.60 </w:t>
            </w:r>
          </w:p>
        </w:tc>
        <w:tc>
          <w:tcPr>
            <w:tcW w:w="2041" w:type="dxa"/>
            <w:gridSpan w:val="2"/>
            <w:tcBorders>
              <w:top w:val="single" w:sz="4" w:space="0" w:color="auto"/>
              <w:left w:val="nil"/>
              <w:bottom w:val="single" w:sz="4" w:space="0" w:color="auto"/>
              <w:right w:val="single" w:sz="4" w:space="0" w:color="000000"/>
            </w:tcBorders>
            <w:vAlign w:val="center"/>
          </w:tcPr>
          <w:p w14:paraId="5731D7D4"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273.39 </w:t>
            </w:r>
          </w:p>
        </w:tc>
      </w:tr>
      <w:tr w:rsidR="00D74350" w14:paraId="23A01E0A"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46F2BE5D"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其中：办公经费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697DE2F4" w14:textId="77777777" w:rsidR="00D74350" w:rsidRDefault="00D74350" w:rsidP="0053535C">
            <w:pPr>
              <w:widowControl/>
              <w:jc w:val="center"/>
              <w:textAlignment w:val="center"/>
              <w:rPr>
                <w:rFonts w:ascii="宋体" w:hAnsi="宋体" w:cs="宋体"/>
                <w:color w:val="000000"/>
                <w:sz w:val="22"/>
                <w:szCs w:val="22"/>
              </w:rPr>
            </w:pPr>
            <w:r>
              <w:rPr>
                <w:rFonts w:ascii="仿宋_GB2312" w:eastAsia="仿宋_GB2312" w:hAnsi="仿宋_GB2312" w:cs="仿宋_GB2312" w:hint="eastAsia"/>
                <w:sz w:val="20"/>
                <w:szCs w:val="20"/>
              </w:rPr>
              <w:t>193.96</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14:paraId="1D789D6F"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149.65 </w:t>
            </w:r>
          </w:p>
        </w:tc>
        <w:tc>
          <w:tcPr>
            <w:tcW w:w="2041" w:type="dxa"/>
            <w:gridSpan w:val="2"/>
            <w:tcBorders>
              <w:top w:val="single" w:sz="4" w:space="0" w:color="auto"/>
              <w:left w:val="nil"/>
              <w:bottom w:val="single" w:sz="4" w:space="0" w:color="auto"/>
              <w:right w:val="single" w:sz="4" w:space="0" w:color="000000"/>
            </w:tcBorders>
            <w:shd w:val="clear" w:color="auto" w:fill="auto"/>
            <w:vAlign w:val="center"/>
          </w:tcPr>
          <w:p w14:paraId="373C694A"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153.58 </w:t>
            </w:r>
          </w:p>
        </w:tc>
      </w:tr>
      <w:tr w:rsidR="00D74350" w14:paraId="0998EFE5"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50AD3D86"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水费、电费、差旅费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211E19FE"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8.70</w:t>
            </w:r>
          </w:p>
        </w:tc>
        <w:tc>
          <w:tcPr>
            <w:tcW w:w="2240" w:type="dxa"/>
            <w:gridSpan w:val="2"/>
            <w:tcBorders>
              <w:top w:val="single" w:sz="4" w:space="0" w:color="auto"/>
              <w:left w:val="nil"/>
              <w:bottom w:val="single" w:sz="4" w:space="0" w:color="auto"/>
              <w:right w:val="single" w:sz="4" w:space="0" w:color="000000"/>
            </w:tcBorders>
            <w:vAlign w:val="center"/>
          </w:tcPr>
          <w:p w14:paraId="1AD7F6B9"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5.00 </w:t>
            </w:r>
          </w:p>
        </w:tc>
        <w:tc>
          <w:tcPr>
            <w:tcW w:w="2041" w:type="dxa"/>
            <w:gridSpan w:val="2"/>
            <w:tcBorders>
              <w:top w:val="single" w:sz="4" w:space="0" w:color="auto"/>
              <w:left w:val="nil"/>
              <w:bottom w:val="single" w:sz="4" w:space="0" w:color="auto"/>
              <w:right w:val="single" w:sz="4" w:space="0" w:color="000000"/>
            </w:tcBorders>
            <w:vAlign w:val="center"/>
          </w:tcPr>
          <w:p w14:paraId="6A20DBB0"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5.20 </w:t>
            </w:r>
          </w:p>
        </w:tc>
      </w:tr>
      <w:tr w:rsidR="00D74350" w14:paraId="1206667A"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4B37C875"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会议费、培训费</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3612070C"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0.67</w:t>
            </w:r>
          </w:p>
        </w:tc>
        <w:tc>
          <w:tcPr>
            <w:tcW w:w="2240" w:type="dxa"/>
            <w:gridSpan w:val="2"/>
            <w:tcBorders>
              <w:top w:val="single" w:sz="4" w:space="0" w:color="auto"/>
              <w:left w:val="nil"/>
              <w:bottom w:val="single" w:sz="4" w:space="0" w:color="auto"/>
              <w:right w:val="single" w:sz="4" w:space="0" w:color="000000"/>
            </w:tcBorders>
            <w:vAlign w:val="center"/>
          </w:tcPr>
          <w:p w14:paraId="6CA52954"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   </w:t>
            </w:r>
          </w:p>
        </w:tc>
        <w:tc>
          <w:tcPr>
            <w:tcW w:w="2041" w:type="dxa"/>
            <w:gridSpan w:val="2"/>
            <w:tcBorders>
              <w:top w:val="single" w:sz="4" w:space="0" w:color="auto"/>
              <w:left w:val="nil"/>
              <w:bottom w:val="single" w:sz="4" w:space="0" w:color="auto"/>
              <w:right w:val="single" w:sz="4" w:space="0" w:color="000000"/>
            </w:tcBorders>
            <w:vAlign w:val="center"/>
          </w:tcPr>
          <w:p w14:paraId="172F70C8"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0.46 </w:t>
            </w:r>
          </w:p>
        </w:tc>
      </w:tr>
      <w:tr w:rsidR="00D74350" w14:paraId="012449A6"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1A96042E"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政府采购金额</w:t>
            </w:r>
          </w:p>
        </w:tc>
        <w:tc>
          <w:tcPr>
            <w:tcW w:w="2038" w:type="dxa"/>
            <w:gridSpan w:val="2"/>
            <w:tcBorders>
              <w:top w:val="single" w:sz="4" w:space="0" w:color="auto"/>
              <w:left w:val="nil"/>
              <w:bottom w:val="single" w:sz="4" w:space="0" w:color="auto"/>
              <w:right w:val="single" w:sz="4" w:space="0" w:color="000000"/>
            </w:tcBorders>
            <w:shd w:val="clear" w:color="auto" w:fill="auto"/>
            <w:vAlign w:val="center"/>
          </w:tcPr>
          <w:p w14:paraId="082B127C"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241.99</w:t>
            </w:r>
          </w:p>
        </w:tc>
        <w:tc>
          <w:tcPr>
            <w:tcW w:w="2240" w:type="dxa"/>
            <w:gridSpan w:val="2"/>
            <w:tcBorders>
              <w:top w:val="single" w:sz="4" w:space="0" w:color="auto"/>
              <w:left w:val="nil"/>
              <w:bottom w:val="single" w:sz="4" w:space="0" w:color="auto"/>
              <w:right w:val="single" w:sz="4" w:space="0" w:color="000000"/>
            </w:tcBorders>
            <w:vAlign w:val="center"/>
          </w:tcPr>
          <w:p w14:paraId="7770D43E"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590.7</w:t>
            </w:r>
          </w:p>
        </w:tc>
        <w:tc>
          <w:tcPr>
            <w:tcW w:w="2041" w:type="dxa"/>
            <w:gridSpan w:val="2"/>
            <w:tcBorders>
              <w:top w:val="single" w:sz="4" w:space="0" w:color="auto"/>
              <w:left w:val="nil"/>
              <w:bottom w:val="single" w:sz="4" w:space="0" w:color="auto"/>
              <w:right w:val="single" w:sz="4" w:space="0" w:color="000000"/>
            </w:tcBorders>
            <w:vAlign w:val="center"/>
          </w:tcPr>
          <w:p w14:paraId="3E8B4D61"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sz w:val="20"/>
                <w:szCs w:val="20"/>
              </w:rPr>
              <w:t>314.70</w:t>
            </w:r>
          </w:p>
        </w:tc>
      </w:tr>
      <w:tr w:rsidR="00D74350" w14:paraId="1F0CE1F6"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682A1CC0" w14:textId="77777777" w:rsidR="00D74350" w:rsidRDefault="00D74350" w:rsidP="0053535C">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部门基本支出预算调整 </w:t>
            </w:r>
          </w:p>
        </w:tc>
        <w:tc>
          <w:tcPr>
            <w:tcW w:w="2038" w:type="dxa"/>
            <w:gridSpan w:val="2"/>
            <w:tcBorders>
              <w:top w:val="single" w:sz="4" w:space="0" w:color="auto"/>
              <w:left w:val="nil"/>
              <w:bottom w:val="single" w:sz="4" w:space="0" w:color="auto"/>
              <w:right w:val="single" w:sz="4" w:space="0" w:color="000000"/>
            </w:tcBorders>
            <w:vAlign w:val="center"/>
          </w:tcPr>
          <w:p w14:paraId="329DDB7A"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vAlign w:val="center"/>
          </w:tcPr>
          <w:p w14:paraId="6CF9A192"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sz w:val="20"/>
                <w:szCs w:val="20"/>
              </w:rPr>
              <w:t>101.95</w:t>
            </w:r>
          </w:p>
        </w:tc>
        <w:tc>
          <w:tcPr>
            <w:tcW w:w="2041" w:type="dxa"/>
            <w:gridSpan w:val="2"/>
            <w:tcBorders>
              <w:top w:val="single" w:sz="4" w:space="0" w:color="auto"/>
              <w:left w:val="nil"/>
              <w:bottom w:val="single" w:sz="4" w:space="0" w:color="auto"/>
              <w:right w:val="single" w:sz="4" w:space="0" w:color="000000"/>
            </w:tcBorders>
            <w:vAlign w:val="center"/>
          </w:tcPr>
          <w:p w14:paraId="3FB85E77" w14:textId="77777777" w:rsidR="00D74350" w:rsidRDefault="00D74350" w:rsidP="0053535C">
            <w:pPr>
              <w:widowControl/>
              <w:spacing w:line="360" w:lineRule="exact"/>
              <w:jc w:val="center"/>
              <w:rPr>
                <w:rFonts w:ascii="仿宋_GB2312" w:eastAsia="仿宋_GB2312" w:hAnsi="仿宋_GB2312" w:cs="仿宋_GB2312"/>
                <w:sz w:val="20"/>
                <w:szCs w:val="20"/>
              </w:rPr>
            </w:pPr>
          </w:p>
        </w:tc>
      </w:tr>
      <w:tr w:rsidR="00D74350" w14:paraId="451D2DC1" w14:textId="77777777" w:rsidTr="0053535C">
        <w:trPr>
          <w:jc w:val="center"/>
        </w:trPr>
        <w:tc>
          <w:tcPr>
            <w:tcW w:w="3354" w:type="dxa"/>
            <w:vMerge w:val="restart"/>
            <w:tcBorders>
              <w:top w:val="nil"/>
              <w:left w:val="single" w:sz="4" w:space="0" w:color="auto"/>
              <w:bottom w:val="single" w:sz="4" w:space="0" w:color="auto"/>
              <w:right w:val="single" w:sz="4" w:space="0" w:color="auto"/>
            </w:tcBorders>
            <w:vAlign w:val="center"/>
          </w:tcPr>
          <w:p w14:paraId="4C454EF7"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楼堂馆所控制情况</w:t>
            </w:r>
            <w:r>
              <w:rPr>
                <w:rFonts w:ascii="仿宋_GB2312" w:eastAsia="仿宋_GB2312" w:hAnsi="仿宋_GB2312" w:cs="仿宋_GB2312" w:hint="eastAsia"/>
                <w:sz w:val="20"/>
                <w:szCs w:val="20"/>
              </w:rPr>
              <w:br/>
              <w:t>（2024年完工项目）</w:t>
            </w:r>
          </w:p>
        </w:tc>
        <w:tc>
          <w:tcPr>
            <w:tcW w:w="1189" w:type="dxa"/>
            <w:tcBorders>
              <w:top w:val="nil"/>
              <w:left w:val="nil"/>
              <w:bottom w:val="single" w:sz="4" w:space="0" w:color="auto"/>
              <w:right w:val="single" w:sz="4" w:space="0" w:color="auto"/>
            </w:tcBorders>
            <w:vAlign w:val="center"/>
          </w:tcPr>
          <w:p w14:paraId="19F34734" w14:textId="77777777" w:rsidR="00D74350" w:rsidRDefault="00D74350" w:rsidP="0053535C">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批复规模</w:t>
            </w:r>
            <w:r>
              <w:rPr>
                <w:rFonts w:ascii="仿宋_GB2312" w:eastAsia="仿宋_GB2312" w:hAnsi="仿宋_GB2312" w:cs="仿宋_GB2312" w:hint="eastAsia"/>
                <w:bCs/>
                <w:sz w:val="20"/>
                <w:szCs w:val="20"/>
              </w:rPr>
              <w:br/>
              <w:t>（㎡）</w:t>
            </w:r>
          </w:p>
        </w:tc>
        <w:tc>
          <w:tcPr>
            <w:tcW w:w="849" w:type="dxa"/>
            <w:tcBorders>
              <w:top w:val="nil"/>
              <w:left w:val="nil"/>
              <w:bottom w:val="single" w:sz="4" w:space="0" w:color="auto"/>
              <w:right w:val="single" w:sz="4" w:space="0" w:color="auto"/>
            </w:tcBorders>
            <w:vAlign w:val="center"/>
          </w:tcPr>
          <w:p w14:paraId="24FF57D4" w14:textId="77777777" w:rsidR="00D74350" w:rsidRDefault="00D74350" w:rsidP="0053535C">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实际规模（㎡）</w:t>
            </w:r>
          </w:p>
        </w:tc>
        <w:tc>
          <w:tcPr>
            <w:tcW w:w="1129" w:type="dxa"/>
            <w:tcBorders>
              <w:top w:val="nil"/>
              <w:left w:val="nil"/>
              <w:bottom w:val="single" w:sz="4" w:space="0" w:color="auto"/>
              <w:right w:val="single" w:sz="4" w:space="0" w:color="auto"/>
            </w:tcBorders>
            <w:vAlign w:val="center"/>
          </w:tcPr>
          <w:p w14:paraId="72D933DC" w14:textId="77777777" w:rsidR="00D74350" w:rsidRDefault="00D74350" w:rsidP="0053535C">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规模控制率</w:t>
            </w:r>
          </w:p>
        </w:tc>
        <w:tc>
          <w:tcPr>
            <w:tcW w:w="1111" w:type="dxa"/>
            <w:tcBorders>
              <w:top w:val="nil"/>
              <w:left w:val="nil"/>
              <w:bottom w:val="single" w:sz="4" w:space="0" w:color="auto"/>
              <w:right w:val="single" w:sz="4" w:space="0" w:color="auto"/>
            </w:tcBorders>
            <w:vAlign w:val="center"/>
          </w:tcPr>
          <w:p w14:paraId="11A76294" w14:textId="77777777" w:rsidR="00D74350" w:rsidRDefault="00D74350" w:rsidP="0053535C">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预算投资（万元）</w:t>
            </w:r>
          </w:p>
        </w:tc>
        <w:tc>
          <w:tcPr>
            <w:tcW w:w="1081" w:type="dxa"/>
            <w:tcBorders>
              <w:top w:val="nil"/>
              <w:left w:val="nil"/>
              <w:bottom w:val="single" w:sz="4" w:space="0" w:color="auto"/>
              <w:right w:val="single" w:sz="4" w:space="0" w:color="auto"/>
            </w:tcBorders>
            <w:vAlign w:val="center"/>
          </w:tcPr>
          <w:p w14:paraId="5D7D91B8" w14:textId="77777777" w:rsidR="00D74350" w:rsidRDefault="00D74350" w:rsidP="0053535C">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实际投资（万元）</w:t>
            </w:r>
          </w:p>
        </w:tc>
        <w:tc>
          <w:tcPr>
            <w:tcW w:w="960" w:type="dxa"/>
            <w:tcBorders>
              <w:top w:val="nil"/>
              <w:left w:val="nil"/>
              <w:bottom w:val="single" w:sz="4" w:space="0" w:color="auto"/>
              <w:right w:val="single" w:sz="4" w:space="0" w:color="auto"/>
            </w:tcBorders>
            <w:vAlign w:val="center"/>
          </w:tcPr>
          <w:p w14:paraId="354C2466" w14:textId="77777777" w:rsidR="00D74350" w:rsidRDefault="00D74350" w:rsidP="0053535C">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投资概算控制率</w:t>
            </w:r>
          </w:p>
        </w:tc>
      </w:tr>
      <w:tr w:rsidR="00D74350" w14:paraId="31A5B934" w14:textId="77777777" w:rsidTr="0053535C">
        <w:trPr>
          <w:jc w:val="center"/>
        </w:trPr>
        <w:tc>
          <w:tcPr>
            <w:tcW w:w="3354" w:type="dxa"/>
            <w:vMerge/>
            <w:tcBorders>
              <w:top w:val="nil"/>
              <w:left w:val="single" w:sz="4" w:space="0" w:color="auto"/>
              <w:bottom w:val="single" w:sz="4" w:space="0" w:color="auto"/>
              <w:right w:val="single" w:sz="4" w:space="0" w:color="auto"/>
            </w:tcBorders>
            <w:vAlign w:val="center"/>
          </w:tcPr>
          <w:p w14:paraId="0B7110A5" w14:textId="77777777" w:rsidR="00D74350" w:rsidRDefault="00D74350" w:rsidP="0053535C">
            <w:pPr>
              <w:widowControl/>
              <w:spacing w:line="360" w:lineRule="exact"/>
              <w:jc w:val="left"/>
              <w:rPr>
                <w:rFonts w:ascii="仿宋_GB2312" w:eastAsia="仿宋_GB2312" w:hAnsi="仿宋_GB2312" w:cs="仿宋_GB2312"/>
                <w:sz w:val="20"/>
                <w:szCs w:val="20"/>
              </w:rPr>
            </w:pPr>
          </w:p>
        </w:tc>
        <w:tc>
          <w:tcPr>
            <w:tcW w:w="1189" w:type="dxa"/>
            <w:tcBorders>
              <w:top w:val="nil"/>
              <w:left w:val="nil"/>
              <w:bottom w:val="single" w:sz="4" w:space="0" w:color="auto"/>
              <w:right w:val="single" w:sz="4" w:space="0" w:color="auto"/>
            </w:tcBorders>
            <w:vAlign w:val="center"/>
          </w:tcPr>
          <w:p w14:paraId="0B984104"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849" w:type="dxa"/>
            <w:tcBorders>
              <w:top w:val="nil"/>
              <w:left w:val="nil"/>
              <w:bottom w:val="single" w:sz="4" w:space="0" w:color="auto"/>
              <w:right w:val="single" w:sz="4" w:space="0" w:color="auto"/>
            </w:tcBorders>
            <w:vAlign w:val="center"/>
          </w:tcPr>
          <w:p w14:paraId="6B02FD55"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129" w:type="dxa"/>
            <w:tcBorders>
              <w:top w:val="nil"/>
              <w:left w:val="nil"/>
              <w:bottom w:val="single" w:sz="4" w:space="0" w:color="auto"/>
              <w:right w:val="single" w:sz="4" w:space="0" w:color="auto"/>
            </w:tcBorders>
            <w:vAlign w:val="center"/>
          </w:tcPr>
          <w:p w14:paraId="6CBD9FA3"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111" w:type="dxa"/>
            <w:tcBorders>
              <w:top w:val="nil"/>
              <w:left w:val="nil"/>
              <w:bottom w:val="single" w:sz="4" w:space="0" w:color="auto"/>
              <w:right w:val="single" w:sz="4" w:space="0" w:color="auto"/>
            </w:tcBorders>
            <w:vAlign w:val="center"/>
          </w:tcPr>
          <w:p w14:paraId="41A2107F"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1081" w:type="dxa"/>
            <w:tcBorders>
              <w:top w:val="nil"/>
              <w:left w:val="nil"/>
              <w:bottom w:val="single" w:sz="4" w:space="0" w:color="auto"/>
              <w:right w:val="single" w:sz="4" w:space="0" w:color="auto"/>
            </w:tcBorders>
            <w:vAlign w:val="center"/>
          </w:tcPr>
          <w:p w14:paraId="015FC1B7"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c>
          <w:tcPr>
            <w:tcW w:w="960" w:type="dxa"/>
            <w:tcBorders>
              <w:top w:val="nil"/>
              <w:left w:val="nil"/>
              <w:bottom w:val="single" w:sz="4" w:space="0" w:color="auto"/>
              <w:right w:val="single" w:sz="4" w:space="0" w:color="auto"/>
            </w:tcBorders>
            <w:vAlign w:val="center"/>
          </w:tcPr>
          <w:p w14:paraId="51973A55"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w:t>
            </w:r>
          </w:p>
        </w:tc>
      </w:tr>
      <w:tr w:rsidR="00D74350" w14:paraId="278B7D13" w14:textId="77777777" w:rsidTr="0053535C">
        <w:trPr>
          <w:jc w:val="center"/>
        </w:trPr>
        <w:tc>
          <w:tcPr>
            <w:tcW w:w="3354" w:type="dxa"/>
            <w:tcBorders>
              <w:top w:val="nil"/>
              <w:left w:val="single" w:sz="4" w:space="0" w:color="auto"/>
              <w:bottom w:val="single" w:sz="4" w:space="0" w:color="auto"/>
              <w:right w:val="single" w:sz="4" w:space="0" w:color="auto"/>
            </w:tcBorders>
            <w:vAlign w:val="center"/>
          </w:tcPr>
          <w:p w14:paraId="3DBEDB87"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厉行节约保障措施</w:t>
            </w:r>
          </w:p>
        </w:tc>
        <w:tc>
          <w:tcPr>
            <w:tcW w:w="6319" w:type="dxa"/>
            <w:gridSpan w:val="6"/>
            <w:tcBorders>
              <w:top w:val="single" w:sz="4" w:space="0" w:color="auto"/>
              <w:left w:val="nil"/>
              <w:bottom w:val="single" w:sz="4" w:space="0" w:color="auto"/>
              <w:right w:val="single" w:sz="4" w:space="0" w:color="000000"/>
            </w:tcBorders>
            <w:vAlign w:val="center"/>
          </w:tcPr>
          <w:p w14:paraId="5DF8A980" w14:textId="77777777" w:rsidR="00D74350" w:rsidRDefault="00D74350" w:rsidP="0053535C">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1、注重</w:t>
            </w:r>
            <w:r>
              <w:rPr>
                <w:rFonts w:ascii="仿宋_GB2312" w:eastAsia="仿宋_GB2312" w:hAnsi="仿宋_GB2312" w:cs="仿宋_GB2312"/>
                <w:sz w:val="20"/>
                <w:szCs w:val="20"/>
              </w:rPr>
              <w:t>节约意识的培养</w:t>
            </w:r>
            <w:r>
              <w:rPr>
                <w:rFonts w:ascii="仿宋_GB2312" w:eastAsia="仿宋_GB2312" w:hAnsi="仿宋_GB2312" w:cs="仿宋_GB2312" w:hint="eastAsia"/>
                <w:sz w:val="20"/>
                <w:szCs w:val="20"/>
              </w:rPr>
              <w:t>；2、注重</w:t>
            </w:r>
            <w:r>
              <w:rPr>
                <w:rFonts w:ascii="仿宋_GB2312" w:eastAsia="仿宋_GB2312" w:hAnsi="仿宋_GB2312" w:cs="仿宋_GB2312"/>
                <w:sz w:val="20"/>
                <w:szCs w:val="20"/>
              </w:rPr>
              <w:t>节约内容的全面性</w:t>
            </w:r>
            <w:r>
              <w:rPr>
                <w:rFonts w:ascii="仿宋_GB2312" w:eastAsia="仿宋_GB2312" w:hAnsi="仿宋_GB2312" w:cs="仿宋_GB2312" w:hint="eastAsia"/>
                <w:sz w:val="20"/>
                <w:szCs w:val="20"/>
              </w:rPr>
              <w:t>；3注重</w:t>
            </w:r>
            <w:r>
              <w:rPr>
                <w:rFonts w:ascii="仿宋_GB2312" w:eastAsia="仿宋_GB2312" w:hAnsi="仿宋_GB2312" w:cs="仿宋_GB2312"/>
                <w:sz w:val="20"/>
                <w:szCs w:val="20"/>
              </w:rPr>
              <w:t>节约</w:t>
            </w:r>
            <w:r>
              <w:rPr>
                <w:rFonts w:ascii="仿宋_GB2312" w:eastAsia="仿宋_GB2312" w:hAnsi="仿宋_GB2312" w:cs="仿宋_GB2312" w:hint="eastAsia"/>
                <w:sz w:val="20"/>
                <w:szCs w:val="20"/>
              </w:rPr>
              <w:t>机构</w:t>
            </w:r>
            <w:r>
              <w:rPr>
                <w:rFonts w:ascii="仿宋_GB2312" w:eastAsia="仿宋_GB2312" w:hAnsi="仿宋_GB2312" w:cs="仿宋_GB2312"/>
                <w:sz w:val="20"/>
                <w:szCs w:val="20"/>
              </w:rPr>
              <w:t>长效性；</w:t>
            </w:r>
            <w:r>
              <w:rPr>
                <w:rFonts w:ascii="仿宋_GB2312" w:eastAsia="仿宋_GB2312" w:hAnsi="仿宋_GB2312" w:cs="仿宋_GB2312" w:hint="eastAsia"/>
                <w:sz w:val="20"/>
                <w:szCs w:val="20"/>
              </w:rPr>
              <w:t>4注重</w:t>
            </w:r>
            <w:r>
              <w:rPr>
                <w:rFonts w:ascii="仿宋_GB2312" w:eastAsia="仿宋_GB2312" w:hAnsi="仿宋_GB2312" w:cs="仿宋_GB2312"/>
                <w:sz w:val="20"/>
                <w:szCs w:val="20"/>
              </w:rPr>
              <w:t>监管的</w:t>
            </w:r>
            <w:r>
              <w:rPr>
                <w:rFonts w:ascii="仿宋_GB2312" w:eastAsia="仿宋_GB2312" w:hAnsi="仿宋_GB2312" w:cs="仿宋_GB2312" w:hint="eastAsia"/>
                <w:sz w:val="20"/>
                <w:szCs w:val="20"/>
              </w:rPr>
              <w:t>经常</w:t>
            </w:r>
            <w:r>
              <w:rPr>
                <w:rFonts w:ascii="仿宋_GB2312" w:eastAsia="仿宋_GB2312" w:hAnsi="仿宋_GB2312" w:cs="仿宋_GB2312"/>
                <w:sz w:val="20"/>
                <w:szCs w:val="20"/>
              </w:rPr>
              <w:t>性</w:t>
            </w:r>
            <w:r>
              <w:rPr>
                <w:rFonts w:ascii="仿宋_GB2312" w:eastAsia="仿宋_GB2312" w:hAnsi="仿宋_GB2312" w:cs="仿宋_GB2312" w:hint="eastAsia"/>
                <w:sz w:val="20"/>
                <w:szCs w:val="20"/>
              </w:rPr>
              <w:t>。</w:t>
            </w:r>
          </w:p>
        </w:tc>
      </w:tr>
    </w:tbl>
    <w:p w14:paraId="2D4A191F" w14:textId="77777777" w:rsidR="00D74350" w:rsidRDefault="00D74350" w:rsidP="00D74350">
      <w:pPr>
        <w:widowControl/>
        <w:spacing w:line="400" w:lineRule="exact"/>
        <w:jc w:val="left"/>
        <w:rPr>
          <w:rFonts w:ascii="Times New Roman" w:eastAsia="仿宋_GB2312" w:hAnsi="Times New Roman"/>
          <w:sz w:val="22"/>
        </w:rPr>
      </w:pPr>
      <w:r>
        <w:rPr>
          <w:rFonts w:ascii="Times New Roman" w:eastAsia="仿宋_GB2312" w:hAnsi="Times New Roman"/>
          <w:sz w:val="22"/>
        </w:rPr>
        <w:t>说明：</w:t>
      </w:r>
      <w:r>
        <w:rPr>
          <w:rFonts w:ascii="Times New Roman" w:eastAsia="仿宋_GB2312" w:hAnsi="Times New Roman"/>
          <w:sz w:val="22"/>
        </w:rPr>
        <w:t>“</w:t>
      </w:r>
      <w:r>
        <w:rPr>
          <w:rFonts w:ascii="Times New Roman" w:eastAsia="仿宋_GB2312" w:hAnsi="Times New Roman"/>
          <w:sz w:val="22"/>
        </w:rPr>
        <w:t>项目支出</w:t>
      </w:r>
      <w:r>
        <w:rPr>
          <w:rFonts w:ascii="Times New Roman" w:eastAsia="仿宋_GB2312" w:hAnsi="Times New Roman"/>
          <w:sz w:val="22"/>
        </w:rPr>
        <w:t>”</w:t>
      </w:r>
      <w:r>
        <w:rPr>
          <w:rFonts w:ascii="Times New Roman" w:eastAsia="仿宋_GB2312" w:hAnsi="Times New Roman"/>
          <w:sz w:val="22"/>
        </w:rPr>
        <w:t>需要填报基本支出以外的所有项目支出情况，</w:t>
      </w:r>
      <w:r>
        <w:rPr>
          <w:rFonts w:ascii="Times New Roman" w:eastAsia="仿宋_GB2312" w:hAnsi="Times New Roman"/>
          <w:sz w:val="22"/>
        </w:rPr>
        <w:t>“</w:t>
      </w:r>
      <w:r>
        <w:rPr>
          <w:rFonts w:ascii="Times New Roman" w:eastAsia="仿宋_GB2312" w:hAnsi="Times New Roman"/>
          <w:sz w:val="22"/>
        </w:rPr>
        <w:t>公用经费</w:t>
      </w:r>
      <w:r>
        <w:rPr>
          <w:rFonts w:ascii="Times New Roman" w:eastAsia="仿宋_GB2312" w:hAnsi="Times New Roman"/>
          <w:sz w:val="22"/>
        </w:rPr>
        <w:t>”</w:t>
      </w:r>
      <w:r>
        <w:rPr>
          <w:rFonts w:ascii="Times New Roman" w:eastAsia="仿宋_GB2312" w:hAnsi="Times New Roman"/>
          <w:sz w:val="22"/>
        </w:rPr>
        <w:t>填报基本支出中的一般商品和服务支出。</w:t>
      </w:r>
    </w:p>
    <w:p w14:paraId="0EB27E3A" w14:textId="77777777" w:rsidR="00D74350" w:rsidRDefault="00D74350" w:rsidP="00D74350">
      <w:pPr>
        <w:widowControl/>
        <w:spacing w:line="400" w:lineRule="exact"/>
        <w:jc w:val="left"/>
        <w:rPr>
          <w:rFonts w:ascii="Times New Roman" w:eastAsia="仿宋_GB2312" w:hAnsi="Times New Roman"/>
          <w:sz w:val="22"/>
        </w:rPr>
      </w:pPr>
    </w:p>
    <w:p w14:paraId="70A120E1" w14:textId="77777777" w:rsidR="00D74350" w:rsidRDefault="00D74350" w:rsidP="00D74350">
      <w:r>
        <w:rPr>
          <w:rFonts w:ascii="Times New Roman" w:eastAsia="仿宋_GB2312" w:hAnsi="Times New Roman"/>
          <w:sz w:val="22"/>
        </w:rPr>
        <w:t>填表人：</w:t>
      </w:r>
      <w:r>
        <w:rPr>
          <w:rFonts w:ascii="Times New Roman" w:eastAsia="仿宋_GB2312" w:hAnsi="Times New Roman"/>
          <w:sz w:val="22"/>
        </w:rPr>
        <w:t xml:space="preserve">        </w:t>
      </w:r>
      <w:r>
        <w:rPr>
          <w:rFonts w:ascii="Times New Roman" w:eastAsia="仿宋_GB2312" w:hAnsi="Times New Roman"/>
          <w:sz w:val="22"/>
        </w:rPr>
        <w:t>填报日期：</w:t>
      </w:r>
      <w:r>
        <w:rPr>
          <w:rFonts w:ascii="Times New Roman" w:eastAsia="仿宋_GB2312" w:hAnsi="Times New Roman"/>
          <w:sz w:val="22"/>
        </w:rPr>
        <w:t xml:space="preserve">          </w:t>
      </w:r>
      <w:r>
        <w:rPr>
          <w:rFonts w:ascii="Times New Roman" w:eastAsia="仿宋_GB2312" w:hAnsi="Times New Roman"/>
          <w:sz w:val="22"/>
        </w:rPr>
        <w:t>联系电话：</w:t>
      </w:r>
      <w:r>
        <w:rPr>
          <w:rFonts w:ascii="Times New Roman" w:eastAsia="仿宋_GB2312" w:hAnsi="Times New Roman"/>
          <w:sz w:val="22"/>
        </w:rPr>
        <w:t xml:space="preserve">            </w:t>
      </w:r>
      <w:r>
        <w:rPr>
          <w:rFonts w:ascii="Times New Roman" w:eastAsia="仿宋_GB2312" w:hAnsi="Times New Roman"/>
          <w:sz w:val="22"/>
        </w:rPr>
        <w:t>单位负责人签字：</w:t>
      </w:r>
    </w:p>
    <w:p w14:paraId="10736B64" w14:textId="77777777" w:rsidR="00D74350" w:rsidRDefault="00D74350" w:rsidP="0062298A">
      <w:pPr>
        <w:widowControl/>
        <w:spacing w:line="640" w:lineRule="exact"/>
        <w:ind w:firstLineChars="200" w:firstLine="640"/>
        <w:rPr>
          <w:rFonts w:ascii="仿宋_GB2312" w:eastAsia="仿宋_GB2312" w:hAnsi="仿宋_GB2312" w:cs="仿宋_GB2312"/>
          <w:sz w:val="32"/>
          <w:szCs w:val="32"/>
        </w:rPr>
      </w:pPr>
    </w:p>
    <w:p w14:paraId="4A4CC85D" w14:textId="77777777" w:rsidR="00823AC2" w:rsidRDefault="00823AC2" w:rsidP="00823AC2">
      <w:pPr>
        <w:widowControl/>
        <w:spacing w:line="400" w:lineRule="exact"/>
        <w:jc w:val="left"/>
        <w:rPr>
          <w:rFonts w:ascii="黑体" w:eastAsia="黑体" w:hAnsi="黑体" w:cs="黑体"/>
          <w:sz w:val="32"/>
          <w:szCs w:val="32"/>
        </w:rPr>
      </w:pPr>
      <w:r>
        <w:rPr>
          <w:rFonts w:ascii="黑体" w:eastAsia="黑体" w:hAnsi="黑体" w:cs="黑体" w:hint="eastAsia"/>
          <w:sz w:val="32"/>
          <w:szCs w:val="32"/>
        </w:rPr>
        <w:lastRenderedPageBreak/>
        <w:t>附件2</w:t>
      </w:r>
    </w:p>
    <w:p w14:paraId="7EAF7D62" w14:textId="77777777" w:rsidR="00823AC2" w:rsidRDefault="00823AC2" w:rsidP="00823AC2">
      <w:pPr>
        <w:widowControl/>
        <w:spacing w:afterLines="50" w:after="156"/>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2024年度部门整体支出绩效自评表</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097"/>
        <w:gridCol w:w="1137"/>
        <w:gridCol w:w="1134"/>
        <w:gridCol w:w="1306"/>
        <w:gridCol w:w="1264"/>
        <w:gridCol w:w="714"/>
        <w:gridCol w:w="916"/>
        <w:gridCol w:w="1436"/>
      </w:tblGrid>
      <w:tr w:rsidR="00823AC2" w14:paraId="0D0F836F" w14:textId="77777777" w:rsidTr="0053535C">
        <w:trPr>
          <w:jc w:val="center"/>
        </w:trPr>
        <w:tc>
          <w:tcPr>
            <w:tcW w:w="1075" w:type="dxa"/>
            <w:vAlign w:val="center"/>
          </w:tcPr>
          <w:p w14:paraId="2D6A247F"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市级预算部门名称</w:t>
            </w:r>
          </w:p>
        </w:tc>
        <w:tc>
          <w:tcPr>
            <w:tcW w:w="9004" w:type="dxa"/>
            <w:gridSpan w:val="8"/>
            <w:vAlign w:val="center"/>
          </w:tcPr>
          <w:p w14:paraId="5C06D468"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岳阳市不动产登记中心</w:t>
            </w:r>
          </w:p>
        </w:tc>
      </w:tr>
      <w:tr w:rsidR="00823AC2" w14:paraId="0174005A" w14:textId="77777777" w:rsidTr="0053535C">
        <w:trPr>
          <w:jc w:val="center"/>
        </w:trPr>
        <w:tc>
          <w:tcPr>
            <w:tcW w:w="1075" w:type="dxa"/>
            <w:vMerge w:val="restart"/>
            <w:vAlign w:val="center"/>
          </w:tcPr>
          <w:p w14:paraId="2731F126"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年度预</w:t>
            </w:r>
          </w:p>
          <w:p w14:paraId="41FCFEA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算申请</w:t>
            </w:r>
            <w:proofErr w:type="gramEnd"/>
            <w:r>
              <w:rPr>
                <w:rFonts w:ascii="仿宋_GB2312" w:eastAsia="仿宋_GB2312" w:hAnsi="仿宋_GB2312" w:cs="仿宋_GB2312" w:hint="eastAsia"/>
                <w:color w:val="000000"/>
                <w:sz w:val="20"/>
                <w:szCs w:val="20"/>
              </w:rPr>
              <w:br/>
              <w:t>（万元）</w:t>
            </w:r>
          </w:p>
        </w:tc>
        <w:tc>
          <w:tcPr>
            <w:tcW w:w="2234" w:type="dxa"/>
            <w:gridSpan w:val="2"/>
            <w:vAlign w:val="center"/>
          </w:tcPr>
          <w:p w14:paraId="21C1D07E" w14:textId="77777777" w:rsidR="00823AC2" w:rsidRDefault="00823AC2" w:rsidP="0053535C">
            <w:pPr>
              <w:spacing w:line="240" w:lineRule="exact"/>
              <w:jc w:val="center"/>
              <w:rPr>
                <w:rFonts w:ascii="仿宋_GB2312" w:eastAsia="仿宋_GB2312" w:hAnsi="仿宋_GB2312" w:cs="仿宋_GB2312"/>
                <w:sz w:val="20"/>
                <w:szCs w:val="20"/>
              </w:rPr>
            </w:pPr>
          </w:p>
        </w:tc>
        <w:tc>
          <w:tcPr>
            <w:tcW w:w="1134" w:type="dxa"/>
            <w:vAlign w:val="center"/>
          </w:tcPr>
          <w:p w14:paraId="23682F5E"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年初预算数</w:t>
            </w:r>
          </w:p>
        </w:tc>
        <w:tc>
          <w:tcPr>
            <w:tcW w:w="1306" w:type="dxa"/>
            <w:vAlign w:val="center"/>
          </w:tcPr>
          <w:p w14:paraId="6EEDE876"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全年预算数</w:t>
            </w:r>
          </w:p>
        </w:tc>
        <w:tc>
          <w:tcPr>
            <w:tcW w:w="1264" w:type="dxa"/>
            <w:vAlign w:val="center"/>
          </w:tcPr>
          <w:p w14:paraId="37FBE35D"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全年执行数</w:t>
            </w:r>
          </w:p>
        </w:tc>
        <w:tc>
          <w:tcPr>
            <w:tcW w:w="714" w:type="dxa"/>
            <w:vAlign w:val="center"/>
          </w:tcPr>
          <w:p w14:paraId="554E4139"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916" w:type="dxa"/>
            <w:vAlign w:val="center"/>
          </w:tcPr>
          <w:p w14:paraId="36290AC3"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36" w:type="dxa"/>
            <w:vAlign w:val="center"/>
          </w:tcPr>
          <w:p w14:paraId="5F8EB99F"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823AC2" w14:paraId="503C4943" w14:textId="77777777" w:rsidTr="0053535C">
        <w:trPr>
          <w:jc w:val="center"/>
        </w:trPr>
        <w:tc>
          <w:tcPr>
            <w:tcW w:w="1075" w:type="dxa"/>
            <w:vMerge/>
            <w:vAlign w:val="center"/>
          </w:tcPr>
          <w:p w14:paraId="5A3E2C46"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p>
        </w:tc>
        <w:tc>
          <w:tcPr>
            <w:tcW w:w="2234" w:type="dxa"/>
            <w:gridSpan w:val="2"/>
            <w:vAlign w:val="center"/>
          </w:tcPr>
          <w:p w14:paraId="1E356062"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年度资金总额</w:t>
            </w:r>
          </w:p>
        </w:tc>
        <w:tc>
          <w:tcPr>
            <w:tcW w:w="1134" w:type="dxa"/>
            <w:vAlign w:val="center"/>
          </w:tcPr>
          <w:p w14:paraId="00BF6493"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1815.90</w:t>
            </w:r>
          </w:p>
        </w:tc>
        <w:tc>
          <w:tcPr>
            <w:tcW w:w="1306" w:type="dxa"/>
            <w:vAlign w:val="center"/>
          </w:tcPr>
          <w:p w14:paraId="49820E21"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2457.92</w:t>
            </w:r>
          </w:p>
        </w:tc>
        <w:tc>
          <w:tcPr>
            <w:tcW w:w="1264" w:type="dxa"/>
            <w:vAlign w:val="center"/>
          </w:tcPr>
          <w:p w14:paraId="1D64E0B5"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2355.96</w:t>
            </w:r>
          </w:p>
        </w:tc>
        <w:tc>
          <w:tcPr>
            <w:tcW w:w="714" w:type="dxa"/>
            <w:vAlign w:val="center"/>
          </w:tcPr>
          <w:p w14:paraId="420D4117"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916" w:type="dxa"/>
            <w:vAlign w:val="center"/>
          </w:tcPr>
          <w:p w14:paraId="1186F82F"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95.</w:t>
            </w:r>
            <w:r>
              <w:rPr>
                <w:rFonts w:ascii="仿宋_GB2312" w:eastAsia="仿宋_GB2312" w:hAnsi="仿宋_GB2312" w:cs="仿宋_GB2312"/>
                <w:sz w:val="20"/>
                <w:szCs w:val="20"/>
              </w:rPr>
              <w:t>85</w:t>
            </w:r>
            <w:r>
              <w:rPr>
                <w:rFonts w:ascii="仿宋_GB2312" w:eastAsia="仿宋_GB2312" w:hAnsi="仿宋_GB2312" w:cs="仿宋_GB2312" w:hint="eastAsia"/>
                <w:sz w:val="20"/>
                <w:szCs w:val="20"/>
              </w:rPr>
              <w:t>%</w:t>
            </w:r>
          </w:p>
        </w:tc>
        <w:tc>
          <w:tcPr>
            <w:tcW w:w="1436" w:type="dxa"/>
            <w:vAlign w:val="center"/>
          </w:tcPr>
          <w:p w14:paraId="01EBDAFA" w14:textId="77777777" w:rsidR="00823AC2" w:rsidRDefault="00823AC2" w:rsidP="0053535C">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r>
      <w:tr w:rsidR="00823AC2" w14:paraId="65198974" w14:textId="77777777" w:rsidTr="0053535C">
        <w:trPr>
          <w:jc w:val="center"/>
        </w:trPr>
        <w:tc>
          <w:tcPr>
            <w:tcW w:w="1075" w:type="dxa"/>
            <w:vMerge/>
            <w:vAlign w:val="center"/>
          </w:tcPr>
          <w:p w14:paraId="33D38222"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c>
          <w:tcPr>
            <w:tcW w:w="4674" w:type="dxa"/>
            <w:gridSpan w:val="4"/>
            <w:vAlign w:val="center"/>
          </w:tcPr>
          <w:p w14:paraId="54342752"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按收入性质分：</w:t>
            </w:r>
          </w:p>
        </w:tc>
        <w:tc>
          <w:tcPr>
            <w:tcW w:w="4330" w:type="dxa"/>
            <w:gridSpan w:val="4"/>
            <w:vAlign w:val="center"/>
          </w:tcPr>
          <w:p w14:paraId="6FD54DE0"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按支出性质分：</w:t>
            </w:r>
          </w:p>
        </w:tc>
      </w:tr>
      <w:tr w:rsidR="00823AC2" w14:paraId="0A035EFF" w14:textId="77777777" w:rsidTr="0053535C">
        <w:trPr>
          <w:jc w:val="center"/>
        </w:trPr>
        <w:tc>
          <w:tcPr>
            <w:tcW w:w="1075" w:type="dxa"/>
            <w:vMerge/>
            <w:vAlign w:val="center"/>
          </w:tcPr>
          <w:p w14:paraId="1FBB0361"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c>
          <w:tcPr>
            <w:tcW w:w="4674" w:type="dxa"/>
            <w:gridSpan w:val="4"/>
            <w:vAlign w:val="center"/>
          </w:tcPr>
          <w:p w14:paraId="647D6AB7"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其中：  一般公共预算：2350.81</w:t>
            </w:r>
          </w:p>
        </w:tc>
        <w:tc>
          <w:tcPr>
            <w:tcW w:w="4330" w:type="dxa"/>
            <w:gridSpan w:val="4"/>
            <w:vAlign w:val="center"/>
          </w:tcPr>
          <w:p w14:paraId="3A73DD73"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其中：基本支出：2094.20</w:t>
            </w:r>
          </w:p>
        </w:tc>
      </w:tr>
      <w:tr w:rsidR="00823AC2" w14:paraId="3C0A5489" w14:textId="77777777" w:rsidTr="0053535C">
        <w:trPr>
          <w:jc w:val="center"/>
        </w:trPr>
        <w:tc>
          <w:tcPr>
            <w:tcW w:w="1075" w:type="dxa"/>
            <w:vMerge/>
            <w:vAlign w:val="center"/>
          </w:tcPr>
          <w:p w14:paraId="3E60046D"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c>
          <w:tcPr>
            <w:tcW w:w="4674" w:type="dxa"/>
            <w:gridSpan w:val="4"/>
            <w:vAlign w:val="center"/>
          </w:tcPr>
          <w:p w14:paraId="04968E63" w14:textId="77777777" w:rsidR="00823AC2" w:rsidRDefault="00823AC2" w:rsidP="0053535C">
            <w:pPr>
              <w:widowControl/>
              <w:spacing w:line="240" w:lineRule="exact"/>
              <w:ind w:firstLineChars="400" w:firstLine="8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政府性基金拨款：</w:t>
            </w:r>
          </w:p>
        </w:tc>
        <w:tc>
          <w:tcPr>
            <w:tcW w:w="4330" w:type="dxa"/>
            <w:gridSpan w:val="4"/>
            <w:vAlign w:val="center"/>
          </w:tcPr>
          <w:p w14:paraId="1EE115B4" w14:textId="77777777" w:rsidR="00823AC2" w:rsidRDefault="00823AC2" w:rsidP="0053535C">
            <w:pPr>
              <w:widowControl/>
              <w:spacing w:line="24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项目支出：261.77</w:t>
            </w:r>
          </w:p>
        </w:tc>
      </w:tr>
      <w:tr w:rsidR="00823AC2" w14:paraId="12C2D286" w14:textId="77777777" w:rsidTr="0053535C">
        <w:trPr>
          <w:jc w:val="center"/>
        </w:trPr>
        <w:tc>
          <w:tcPr>
            <w:tcW w:w="1075" w:type="dxa"/>
            <w:vMerge/>
            <w:vAlign w:val="center"/>
          </w:tcPr>
          <w:p w14:paraId="7359E3CF"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c>
          <w:tcPr>
            <w:tcW w:w="4674" w:type="dxa"/>
            <w:gridSpan w:val="4"/>
            <w:vAlign w:val="center"/>
          </w:tcPr>
          <w:p w14:paraId="5A856672"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纳入专户管理的非税收入拨款：</w:t>
            </w:r>
          </w:p>
        </w:tc>
        <w:tc>
          <w:tcPr>
            <w:tcW w:w="4330" w:type="dxa"/>
            <w:gridSpan w:val="4"/>
            <w:vAlign w:val="center"/>
          </w:tcPr>
          <w:p w14:paraId="4AB81322"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r>
      <w:tr w:rsidR="00823AC2" w14:paraId="5F7F76DC" w14:textId="77777777" w:rsidTr="0053535C">
        <w:trPr>
          <w:jc w:val="center"/>
        </w:trPr>
        <w:tc>
          <w:tcPr>
            <w:tcW w:w="1075" w:type="dxa"/>
            <w:vMerge/>
            <w:vAlign w:val="center"/>
          </w:tcPr>
          <w:p w14:paraId="571329FB"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c>
          <w:tcPr>
            <w:tcW w:w="4674" w:type="dxa"/>
            <w:gridSpan w:val="4"/>
            <w:vAlign w:val="center"/>
          </w:tcPr>
          <w:p w14:paraId="153E7115" w14:textId="77777777" w:rsidR="00823AC2" w:rsidRDefault="00823AC2" w:rsidP="0053535C">
            <w:pPr>
              <w:widowControl/>
              <w:spacing w:line="240" w:lineRule="exact"/>
              <w:ind w:firstLineChars="700" w:firstLine="14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其他资金：5.15</w:t>
            </w:r>
          </w:p>
        </w:tc>
        <w:tc>
          <w:tcPr>
            <w:tcW w:w="4330" w:type="dxa"/>
            <w:gridSpan w:val="4"/>
            <w:vAlign w:val="center"/>
          </w:tcPr>
          <w:p w14:paraId="1784DF84"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r>
      <w:tr w:rsidR="00823AC2" w14:paraId="1A93D03D" w14:textId="77777777" w:rsidTr="0053535C">
        <w:trPr>
          <w:jc w:val="center"/>
        </w:trPr>
        <w:tc>
          <w:tcPr>
            <w:tcW w:w="1075" w:type="dxa"/>
            <w:vMerge w:val="restart"/>
            <w:vAlign w:val="center"/>
          </w:tcPr>
          <w:p w14:paraId="37FFC0B2"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674" w:type="dxa"/>
            <w:gridSpan w:val="4"/>
            <w:vAlign w:val="center"/>
          </w:tcPr>
          <w:p w14:paraId="69904048"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330" w:type="dxa"/>
            <w:gridSpan w:val="4"/>
            <w:vAlign w:val="center"/>
          </w:tcPr>
          <w:p w14:paraId="5DFEFF4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823AC2" w14:paraId="1BF2B45F" w14:textId="77777777" w:rsidTr="0053535C">
        <w:trPr>
          <w:jc w:val="center"/>
        </w:trPr>
        <w:tc>
          <w:tcPr>
            <w:tcW w:w="1075" w:type="dxa"/>
            <w:vMerge/>
            <w:vAlign w:val="center"/>
          </w:tcPr>
          <w:p w14:paraId="33A8634B"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c>
          <w:tcPr>
            <w:tcW w:w="4674" w:type="dxa"/>
            <w:gridSpan w:val="4"/>
            <w:vAlign w:val="center"/>
          </w:tcPr>
          <w:p w14:paraId="5DF5F163"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目标 1：全力推进不动产登记高效便民服务,做好不动产登记各项工作。</w:t>
            </w:r>
          </w:p>
          <w:p w14:paraId="3F3A4532"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目标 2：严格按政策完成非税收入 350万元。</w:t>
            </w:r>
          </w:p>
        </w:tc>
        <w:tc>
          <w:tcPr>
            <w:tcW w:w="4330" w:type="dxa"/>
            <w:gridSpan w:val="4"/>
            <w:vAlign w:val="center"/>
          </w:tcPr>
          <w:p w14:paraId="397D6E06"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已全部完成。</w:t>
            </w:r>
          </w:p>
        </w:tc>
      </w:tr>
      <w:tr w:rsidR="00823AC2" w14:paraId="379AC309" w14:textId="77777777" w:rsidTr="0053535C">
        <w:trPr>
          <w:jc w:val="center"/>
        </w:trPr>
        <w:tc>
          <w:tcPr>
            <w:tcW w:w="1075" w:type="dxa"/>
            <w:vMerge w:val="restart"/>
            <w:vAlign w:val="center"/>
          </w:tcPr>
          <w:p w14:paraId="48FE725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绩</w:t>
            </w:r>
            <w:proofErr w:type="gramEnd"/>
          </w:p>
          <w:p w14:paraId="64750E34"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效</w:t>
            </w:r>
            <w:proofErr w:type="gramEnd"/>
          </w:p>
          <w:p w14:paraId="79AECD3C"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14:paraId="420469AA"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p w14:paraId="3E5663C4"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p>
        </w:tc>
        <w:tc>
          <w:tcPr>
            <w:tcW w:w="1097" w:type="dxa"/>
            <w:vAlign w:val="center"/>
          </w:tcPr>
          <w:p w14:paraId="133E3B36"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137" w:type="dxa"/>
            <w:vAlign w:val="center"/>
          </w:tcPr>
          <w:p w14:paraId="55723466"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134" w:type="dxa"/>
            <w:vAlign w:val="center"/>
          </w:tcPr>
          <w:p w14:paraId="19510639"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306" w:type="dxa"/>
            <w:vAlign w:val="center"/>
          </w:tcPr>
          <w:p w14:paraId="54687207" w14:textId="77777777" w:rsidR="00823AC2" w:rsidRDefault="00823AC2" w:rsidP="0053535C">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年度指标值</w:t>
            </w:r>
          </w:p>
        </w:tc>
        <w:tc>
          <w:tcPr>
            <w:tcW w:w="1264" w:type="dxa"/>
            <w:vAlign w:val="center"/>
          </w:tcPr>
          <w:p w14:paraId="45EB4EA9" w14:textId="77777777" w:rsidR="00823AC2" w:rsidRDefault="00823AC2" w:rsidP="0053535C">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实际完成值</w:t>
            </w:r>
          </w:p>
        </w:tc>
        <w:tc>
          <w:tcPr>
            <w:tcW w:w="714" w:type="dxa"/>
            <w:vAlign w:val="center"/>
          </w:tcPr>
          <w:p w14:paraId="6F35743F"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916" w:type="dxa"/>
            <w:vAlign w:val="center"/>
          </w:tcPr>
          <w:p w14:paraId="70B9805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36" w:type="dxa"/>
            <w:vAlign w:val="center"/>
          </w:tcPr>
          <w:p w14:paraId="177D2901" w14:textId="77777777" w:rsidR="00823AC2" w:rsidRDefault="00823AC2" w:rsidP="0053535C">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823AC2" w14:paraId="0A6F01F1" w14:textId="77777777" w:rsidTr="0053535C">
        <w:trPr>
          <w:jc w:val="center"/>
        </w:trPr>
        <w:tc>
          <w:tcPr>
            <w:tcW w:w="1075" w:type="dxa"/>
            <w:vMerge/>
            <w:vAlign w:val="center"/>
          </w:tcPr>
          <w:p w14:paraId="47390889"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Merge w:val="restart"/>
            <w:vAlign w:val="center"/>
          </w:tcPr>
          <w:p w14:paraId="7209488F"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14:paraId="69317927"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p>
          <w:p w14:paraId="2A01B9E4"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(25分)</w:t>
            </w:r>
          </w:p>
        </w:tc>
        <w:tc>
          <w:tcPr>
            <w:tcW w:w="1137" w:type="dxa"/>
            <w:vAlign w:val="center"/>
          </w:tcPr>
          <w:p w14:paraId="1F4528D0"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134" w:type="dxa"/>
            <w:vAlign w:val="center"/>
          </w:tcPr>
          <w:p w14:paraId="3B3B63E4"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颁发不动产登记证书证明</w:t>
            </w:r>
          </w:p>
        </w:tc>
        <w:tc>
          <w:tcPr>
            <w:tcW w:w="1306" w:type="dxa"/>
            <w:vAlign w:val="center"/>
          </w:tcPr>
          <w:p w14:paraId="707401BC"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bookmarkStart w:id="3" w:name="OLE_LINK3"/>
            <w:r>
              <w:rPr>
                <w:rFonts w:ascii="仿宋_GB2312" w:eastAsia="仿宋_GB2312" w:hAnsi="仿宋_GB2312" w:cs="仿宋_GB2312" w:hint="eastAsia"/>
                <w:color w:val="000000"/>
                <w:sz w:val="20"/>
                <w:szCs w:val="20"/>
              </w:rPr>
              <w:t>≥</w:t>
            </w:r>
            <w:bookmarkEnd w:id="3"/>
            <w:r>
              <w:rPr>
                <w:rFonts w:ascii="仿宋_GB2312" w:eastAsia="仿宋_GB2312" w:hAnsi="仿宋_GB2312" w:cs="仿宋_GB2312" w:hint="eastAsia"/>
                <w:color w:val="000000"/>
                <w:sz w:val="20"/>
                <w:szCs w:val="20"/>
              </w:rPr>
              <w:t>6000</w:t>
            </w:r>
          </w:p>
        </w:tc>
        <w:tc>
          <w:tcPr>
            <w:tcW w:w="1264" w:type="dxa"/>
            <w:vAlign w:val="center"/>
          </w:tcPr>
          <w:p w14:paraId="2D737652"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714" w:type="dxa"/>
            <w:vAlign w:val="center"/>
          </w:tcPr>
          <w:p w14:paraId="418EE65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916" w:type="dxa"/>
            <w:vAlign w:val="center"/>
          </w:tcPr>
          <w:p w14:paraId="2227FE3D"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36" w:type="dxa"/>
            <w:vAlign w:val="center"/>
          </w:tcPr>
          <w:p w14:paraId="73512114"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823AC2" w14:paraId="5AB32181" w14:textId="77777777" w:rsidTr="0053535C">
        <w:trPr>
          <w:jc w:val="center"/>
        </w:trPr>
        <w:tc>
          <w:tcPr>
            <w:tcW w:w="1075" w:type="dxa"/>
            <w:vMerge/>
            <w:vAlign w:val="center"/>
          </w:tcPr>
          <w:p w14:paraId="5FAA2FD3"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Merge/>
            <w:vAlign w:val="center"/>
          </w:tcPr>
          <w:p w14:paraId="1EF9911D"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137" w:type="dxa"/>
            <w:vAlign w:val="center"/>
          </w:tcPr>
          <w:p w14:paraId="6740C8BE"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134" w:type="dxa"/>
            <w:shd w:val="clear" w:color="auto" w:fill="auto"/>
            <w:vAlign w:val="center"/>
          </w:tcPr>
          <w:p w14:paraId="3B621E9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全力推进不动产登记工作，提质增效</w:t>
            </w:r>
          </w:p>
        </w:tc>
        <w:tc>
          <w:tcPr>
            <w:tcW w:w="1306" w:type="dxa"/>
            <w:shd w:val="clear" w:color="auto" w:fill="auto"/>
            <w:vAlign w:val="center"/>
          </w:tcPr>
          <w:p w14:paraId="3E3CE44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≥99%</w:t>
            </w:r>
          </w:p>
        </w:tc>
        <w:tc>
          <w:tcPr>
            <w:tcW w:w="1264" w:type="dxa"/>
            <w:shd w:val="clear" w:color="auto" w:fill="auto"/>
            <w:vAlign w:val="center"/>
          </w:tcPr>
          <w:p w14:paraId="410DFB3D"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714" w:type="dxa"/>
            <w:shd w:val="clear" w:color="auto" w:fill="auto"/>
            <w:vAlign w:val="center"/>
          </w:tcPr>
          <w:p w14:paraId="506C3AA3"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916" w:type="dxa"/>
            <w:shd w:val="clear" w:color="auto" w:fill="auto"/>
            <w:vAlign w:val="center"/>
          </w:tcPr>
          <w:p w14:paraId="63125322"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36" w:type="dxa"/>
            <w:vAlign w:val="center"/>
          </w:tcPr>
          <w:p w14:paraId="510C29F9"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r>
      <w:tr w:rsidR="00823AC2" w14:paraId="45B2DD6E" w14:textId="77777777" w:rsidTr="0053535C">
        <w:trPr>
          <w:jc w:val="center"/>
        </w:trPr>
        <w:tc>
          <w:tcPr>
            <w:tcW w:w="1075" w:type="dxa"/>
            <w:vMerge/>
            <w:vAlign w:val="center"/>
          </w:tcPr>
          <w:p w14:paraId="251928DB"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Merge/>
            <w:vAlign w:val="center"/>
          </w:tcPr>
          <w:p w14:paraId="51412EFA"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137" w:type="dxa"/>
            <w:vAlign w:val="center"/>
          </w:tcPr>
          <w:p w14:paraId="4CB4095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134" w:type="dxa"/>
            <w:shd w:val="clear" w:color="auto" w:fill="auto"/>
            <w:vAlign w:val="center"/>
          </w:tcPr>
          <w:p w14:paraId="31D7CE69"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登记完成时间</w:t>
            </w:r>
          </w:p>
        </w:tc>
        <w:tc>
          <w:tcPr>
            <w:tcW w:w="1306" w:type="dxa"/>
            <w:shd w:val="clear" w:color="auto" w:fill="auto"/>
            <w:vAlign w:val="center"/>
          </w:tcPr>
          <w:p w14:paraId="3F1670A1"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2个工作日</w:t>
            </w:r>
          </w:p>
        </w:tc>
        <w:tc>
          <w:tcPr>
            <w:tcW w:w="1264" w:type="dxa"/>
            <w:shd w:val="clear" w:color="auto" w:fill="auto"/>
            <w:vAlign w:val="center"/>
          </w:tcPr>
          <w:p w14:paraId="5AEBAC33"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714" w:type="dxa"/>
            <w:shd w:val="clear" w:color="auto" w:fill="auto"/>
            <w:vAlign w:val="center"/>
          </w:tcPr>
          <w:p w14:paraId="1E3A06F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916" w:type="dxa"/>
            <w:shd w:val="clear" w:color="auto" w:fill="auto"/>
            <w:vAlign w:val="center"/>
          </w:tcPr>
          <w:p w14:paraId="3329A418"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36" w:type="dxa"/>
            <w:vAlign w:val="center"/>
          </w:tcPr>
          <w:p w14:paraId="5F89044F"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p w14:paraId="26773181"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823AC2" w14:paraId="50FD4D99" w14:textId="77777777" w:rsidTr="0053535C">
        <w:trPr>
          <w:jc w:val="center"/>
        </w:trPr>
        <w:tc>
          <w:tcPr>
            <w:tcW w:w="1075" w:type="dxa"/>
            <w:vMerge/>
            <w:vAlign w:val="center"/>
          </w:tcPr>
          <w:p w14:paraId="79E5AE4F"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Merge w:val="restart"/>
            <w:vAlign w:val="center"/>
          </w:tcPr>
          <w:p w14:paraId="7B5CF55F"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14:paraId="383E3446"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p w14:paraId="45683786"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bookmarkStart w:id="4" w:name="OLE_LINK4"/>
            <w:r>
              <w:rPr>
                <w:rFonts w:ascii="仿宋_GB2312" w:eastAsia="仿宋_GB2312" w:hAnsi="仿宋_GB2312" w:cs="仿宋_GB2312" w:hint="eastAsia"/>
                <w:color w:val="000000"/>
                <w:sz w:val="20"/>
                <w:szCs w:val="20"/>
              </w:rPr>
              <w:t>（25分）</w:t>
            </w:r>
          </w:p>
          <w:bookmarkEnd w:id="4"/>
          <w:p w14:paraId="4A26DE34"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7" w:type="dxa"/>
            <w:vAlign w:val="center"/>
          </w:tcPr>
          <w:p w14:paraId="50275884"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经济效益指标</w:t>
            </w:r>
          </w:p>
        </w:tc>
        <w:tc>
          <w:tcPr>
            <w:tcW w:w="1134" w:type="dxa"/>
            <w:vAlign w:val="center"/>
          </w:tcPr>
          <w:p w14:paraId="107BA1D0"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完成非税收入 </w:t>
            </w:r>
          </w:p>
        </w:tc>
        <w:tc>
          <w:tcPr>
            <w:tcW w:w="1306" w:type="dxa"/>
            <w:vAlign w:val="center"/>
          </w:tcPr>
          <w:p w14:paraId="71FB6494"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350</w:t>
            </w:r>
          </w:p>
        </w:tc>
        <w:tc>
          <w:tcPr>
            <w:tcW w:w="1264" w:type="dxa"/>
            <w:vAlign w:val="center"/>
          </w:tcPr>
          <w:p w14:paraId="544E6E90"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经济平稳发展</w:t>
            </w:r>
          </w:p>
        </w:tc>
        <w:tc>
          <w:tcPr>
            <w:tcW w:w="714" w:type="dxa"/>
            <w:shd w:val="clear" w:color="auto" w:fill="auto"/>
            <w:vAlign w:val="center"/>
          </w:tcPr>
          <w:p w14:paraId="5FF45A42"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916" w:type="dxa"/>
            <w:vAlign w:val="center"/>
          </w:tcPr>
          <w:p w14:paraId="3C378EE9"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36" w:type="dxa"/>
            <w:vAlign w:val="center"/>
          </w:tcPr>
          <w:p w14:paraId="3A7260EE"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823AC2" w14:paraId="5450CCF6" w14:textId="77777777" w:rsidTr="0053535C">
        <w:trPr>
          <w:jc w:val="center"/>
        </w:trPr>
        <w:tc>
          <w:tcPr>
            <w:tcW w:w="1075" w:type="dxa"/>
            <w:vMerge/>
            <w:vAlign w:val="center"/>
          </w:tcPr>
          <w:p w14:paraId="2096B6D5"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Merge/>
            <w:vAlign w:val="center"/>
          </w:tcPr>
          <w:p w14:paraId="50F0D176"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137" w:type="dxa"/>
            <w:vAlign w:val="center"/>
          </w:tcPr>
          <w:p w14:paraId="41A06BA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社会效益指标</w:t>
            </w:r>
          </w:p>
        </w:tc>
        <w:tc>
          <w:tcPr>
            <w:tcW w:w="1134" w:type="dxa"/>
            <w:vAlign w:val="center"/>
          </w:tcPr>
          <w:p w14:paraId="424F43C1"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负责市城区范围不动产登记工作</w:t>
            </w:r>
          </w:p>
        </w:tc>
        <w:tc>
          <w:tcPr>
            <w:tcW w:w="1306" w:type="dxa"/>
            <w:vAlign w:val="center"/>
          </w:tcPr>
          <w:p w14:paraId="75E72BA3"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保障登记工作日常开展</w:t>
            </w:r>
          </w:p>
        </w:tc>
        <w:tc>
          <w:tcPr>
            <w:tcW w:w="1264" w:type="dxa"/>
            <w:vAlign w:val="center"/>
          </w:tcPr>
          <w:p w14:paraId="4081F4F7"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完成市城区范围不动产登记工</w:t>
            </w:r>
          </w:p>
        </w:tc>
        <w:tc>
          <w:tcPr>
            <w:tcW w:w="714" w:type="dxa"/>
            <w:shd w:val="clear" w:color="auto" w:fill="auto"/>
            <w:vAlign w:val="center"/>
          </w:tcPr>
          <w:p w14:paraId="549F7F2C"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916" w:type="dxa"/>
            <w:vAlign w:val="center"/>
          </w:tcPr>
          <w:p w14:paraId="05DE93DA"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36" w:type="dxa"/>
            <w:vAlign w:val="center"/>
          </w:tcPr>
          <w:p w14:paraId="46DAD601"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823AC2" w14:paraId="56C4E887" w14:textId="77777777" w:rsidTr="0053535C">
        <w:trPr>
          <w:jc w:val="center"/>
        </w:trPr>
        <w:tc>
          <w:tcPr>
            <w:tcW w:w="1075" w:type="dxa"/>
            <w:vMerge/>
            <w:vAlign w:val="center"/>
          </w:tcPr>
          <w:p w14:paraId="3AD3E916"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Merge/>
            <w:vAlign w:val="center"/>
          </w:tcPr>
          <w:p w14:paraId="6EA1C429"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137" w:type="dxa"/>
            <w:vAlign w:val="center"/>
          </w:tcPr>
          <w:p w14:paraId="4EEF4A8F"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生态效益指标</w:t>
            </w:r>
          </w:p>
        </w:tc>
        <w:tc>
          <w:tcPr>
            <w:tcW w:w="1134" w:type="dxa"/>
            <w:vAlign w:val="center"/>
          </w:tcPr>
          <w:p w14:paraId="4D0C3EE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1306" w:type="dxa"/>
            <w:vAlign w:val="center"/>
          </w:tcPr>
          <w:p w14:paraId="69D6979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bookmarkStart w:id="5" w:name="OLE_LINK1"/>
            <w:r>
              <w:rPr>
                <w:rFonts w:ascii="仿宋_GB2312" w:eastAsia="仿宋_GB2312" w:hAnsi="仿宋_GB2312" w:cs="仿宋_GB2312" w:hint="eastAsia"/>
                <w:color w:val="000000"/>
                <w:sz w:val="20"/>
                <w:szCs w:val="20"/>
              </w:rPr>
              <w:t>无负面影响</w:t>
            </w:r>
            <w:bookmarkEnd w:id="5"/>
          </w:p>
        </w:tc>
        <w:tc>
          <w:tcPr>
            <w:tcW w:w="1264" w:type="dxa"/>
            <w:vAlign w:val="center"/>
          </w:tcPr>
          <w:p w14:paraId="688223A4"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714" w:type="dxa"/>
            <w:shd w:val="clear" w:color="auto" w:fill="auto"/>
            <w:vAlign w:val="center"/>
          </w:tcPr>
          <w:p w14:paraId="639E35B9"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916" w:type="dxa"/>
            <w:vAlign w:val="center"/>
          </w:tcPr>
          <w:p w14:paraId="477FF0A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36" w:type="dxa"/>
            <w:vAlign w:val="center"/>
          </w:tcPr>
          <w:p w14:paraId="1240B0A2"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823AC2" w14:paraId="5EE4CB24" w14:textId="77777777" w:rsidTr="0053535C">
        <w:trPr>
          <w:trHeight w:val="290"/>
          <w:jc w:val="center"/>
        </w:trPr>
        <w:tc>
          <w:tcPr>
            <w:tcW w:w="1075" w:type="dxa"/>
            <w:vMerge/>
            <w:vAlign w:val="center"/>
          </w:tcPr>
          <w:p w14:paraId="5B196D4A"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bookmarkStart w:id="6" w:name="OLE_LINK6" w:colFirst="3" w:colLast="4"/>
            <w:bookmarkStart w:id="7" w:name="OLE_LINK2" w:colFirst="6" w:colLast="7"/>
          </w:p>
        </w:tc>
        <w:tc>
          <w:tcPr>
            <w:tcW w:w="1097" w:type="dxa"/>
            <w:vMerge/>
            <w:vAlign w:val="center"/>
          </w:tcPr>
          <w:p w14:paraId="79829F73"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c>
          <w:tcPr>
            <w:tcW w:w="1137" w:type="dxa"/>
            <w:vAlign w:val="center"/>
          </w:tcPr>
          <w:p w14:paraId="232BEA60"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134" w:type="dxa"/>
            <w:shd w:val="clear" w:color="auto" w:fill="auto"/>
            <w:vAlign w:val="center"/>
          </w:tcPr>
          <w:p w14:paraId="66CB386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1306" w:type="dxa"/>
            <w:shd w:val="clear" w:color="auto" w:fill="auto"/>
            <w:vAlign w:val="center"/>
          </w:tcPr>
          <w:p w14:paraId="1D404F0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1264" w:type="dxa"/>
            <w:shd w:val="clear" w:color="auto" w:fill="auto"/>
            <w:vAlign w:val="center"/>
          </w:tcPr>
          <w:p w14:paraId="472426BE"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714" w:type="dxa"/>
            <w:vAlign w:val="center"/>
          </w:tcPr>
          <w:p w14:paraId="50EF1C24"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916" w:type="dxa"/>
            <w:vAlign w:val="center"/>
          </w:tcPr>
          <w:p w14:paraId="0017781C"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36" w:type="dxa"/>
            <w:vAlign w:val="center"/>
          </w:tcPr>
          <w:p w14:paraId="1F677449"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bookmarkEnd w:id="6"/>
      <w:bookmarkEnd w:id="7"/>
      <w:tr w:rsidR="00823AC2" w14:paraId="2B2342EE" w14:textId="77777777" w:rsidTr="0053535C">
        <w:trPr>
          <w:trHeight w:val="330"/>
          <w:jc w:val="center"/>
        </w:trPr>
        <w:tc>
          <w:tcPr>
            <w:tcW w:w="1075" w:type="dxa"/>
            <w:vMerge/>
            <w:vAlign w:val="center"/>
          </w:tcPr>
          <w:p w14:paraId="0A521B84"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Merge w:val="restart"/>
            <w:vAlign w:val="center"/>
          </w:tcPr>
          <w:p w14:paraId="0AF65EF6"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p w14:paraId="28A5CC33"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14:paraId="7B978948"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p>
        </w:tc>
        <w:tc>
          <w:tcPr>
            <w:tcW w:w="1137" w:type="dxa"/>
            <w:vAlign w:val="center"/>
          </w:tcPr>
          <w:p w14:paraId="7F7A774E"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经济成本指标</w:t>
            </w:r>
          </w:p>
        </w:tc>
        <w:tc>
          <w:tcPr>
            <w:tcW w:w="1134" w:type="dxa"/>
            <w:vAlign w:val="center"/>
          </w:tcPr>
          <w:p w14:paraId="183FD7C3"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日常业务管理运转经费</w:t>
            </w:r>
          </w:p>
        </w:tc>
        <w:tc>
          <w:tcPr>
            <w:tcW w:w="1306" w:type="dxa"/>
            <w:vAlign w:val="center"/>
          </w:tcPr>
          <w:p w14:paraId="6445010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≤1800.48</w:t>
            </w:r>
          </w:p>
        </w:tc>
        <w:tc>
          <w:tcPr>
            <w:tcW w:w="1264" w:type="dxa"/>
            <w:vAlign w:val="center"/>
          </w:tcPr>
          <w:p w14:paraId="46450AF6" w14:textId="77777777" w:rsidR="00823AC2" w:rsidRDefault="00823AC2"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按预算</w:t>
            </w:r>
            <w:proofErr w:type="gramStart"/>
            <w:r>
              <w:rPr>
                <w:rFonts w:ascii="仿宋_GB2312" w:eastAsia="仿宋_GB2312" w:hAnsi="仿宋_GB2312" w:cs="仿宋_GB2312" w:hint="eastAsia"/>
                <w:color w:val="000000"/>
                <w:sz w:val="20"/>
                <w:szCs w:val="20"/>
              </w:rPr>
              <w:t>数执行</w:t>
            </w:r>
            <w:proofErr w:type="gramEnd"/>
          </w:p>
        </w:tc>
        <w:tc>
          <w:tcPr>
            <w:tcW w:w="714" w:type="dxa"/>
            <w:vAlign w:val="center"/>
          </w:tcPr>
          <w:p w14:paraId="61C259A7"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916" w:type="dxa"/>
            <w:vAlign w:val="center"/>
          </w:tcPr>
          <w:p w14:paraId="77F65726"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color w:val="000000"/>
                <w:sz w:val="20"/>
                <w:szCs w:val="20"/>
              </w:rPr>
              <w:t>9</w:t>
            </w:r>
          </w:p>
        </w:tc>
        <w:tc>
          <w:tcPr>
            <w:tcW w:w="1436" w:type="dxa"/>
            <w:vAlign w:val="center"/>
          </w:tcPr>
          <w:p w14:paraId="407A33D5"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r>
      <w:tr w:rsidR="00823AC2" w14:paraId="75BFC833" w14:textId="77777777" w:rsidTr="0053535C">
        <w:trPr>
          <w:trHeight w:val="330"/>
          <w:jc w:val="center"/>
        </w:trPr>
        <w:tc>
          <w:tcPr>
            <w:tcW w:w="1075" w:type="dxa"/>
            <w:vMerge/>
            <w:vAlign w:val="center"/>
          </w:tcPr>
          <w:p w14:paraId="02CB620E"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Merge/>
            <w:vAlign w:val="center"/>
          </w:tcPr>
          <w:p w14:paraId="4F7D7266"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p>
        </w:tc>
        <w:tc>
          <w:tcPr>
            <w:tcW w:w="1137" w:type="dxa"/>
            <w:vAlign w:val="center"/>
          </w:tcPr>
          <w:p w14:paraId="1A9A9F8E"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社会成本指标</w:t>
            </w:r>
          </w:p>
        </w:tc>
        <w:tc>
          <w:tcPr>
            <w:tcW w:w="1134" w:type="dxa"/>
            <w:vAlign w:val="center"/>
          </w:tcPr>
          <w:p w14:paraId="38E7D5AA"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1306" w:type="dxa"/>
            <w:vAlign w:val="center"/>
          </w:tcPr>
          <w:p w14:paraId="30FCB4BF"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1264" w:type="dxa"/>
            <w:vAlign w:val="center"/>
          </w:tcPr>
          <w:p w14:paraId="69AEE2FE" w14:textId="77777777" w:rsidR="00823AC2" w:rsidRDefault="00823AC2"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714" w:type="dxa"/>
            <w:vAlign w:val="center"/>
          </w:tcPr>
          <w:p w14:paraId="754721C8"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916" w:type="dxa"/>
            <w:vAlign w:val="center"/>
          </w:tcPr>
          <w:p w14:paraId="44E7EAFE"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36" w:type="dxa"/>
            <w:vAlign w:val="center"/>
          </w:tcPr>
          <w:p w14:paraId="102EFD80"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r>
      <w:tr w:rsidR="00823AC2" w14:paraId="5E59E1F2" w14:textId="77777777" w:rsidTr="0053535C">
        <w:trPr>
          <w:trHeight w:val="330"/>
          <w:jc w:val="center"/>
        </w:trPr>
        <w:tc>
          <w:tcPr>
            <w:tcW w:w="1075" w:type="dxa"/>
            <w:vMerge/>
            <w:vAlign w:val="center"/>
          </w:tcPr>
          <w:p w14:paraId="59704F47"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Merge/>
            <w:vAlign w:val="center"/>
          </w:tcPr>
          <w:p w14:paraId="449E2F49"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p>
        </w:tc>
        <w:tc>
          <w:tcPr>
            <w:tcW w:w="1137" w:type="dxa"/>
            <w:vAlign w:val="center"/>
          </w:tcPr>
          <w:p w14:paraId="0388CAD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生态环境成本指标</w:t>
            </w:r>
          </w:p>
        </w:tc>
        <w:tc>
          <w:tcPr>
            <w:tcW w:w="1134" w:type="dxa"/>
            <w:vAlign w:val="center"/>
          </w:tcPr>
          <w:p w14:paraId="31DAE40A"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1306" w:type="dxa"/>
            <w:vAlign w:val="center"/>
          </w:tcPr>
          <w:p w14:paraId="356B1B1E"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1264" w:type="dxa"/>
            <w:vAlign w:val="center"/>
          </w:tcPr>
          <w:p w14:paraId="68FC0C50" w14:textId="77777777" w:rsidR="00823AC2" w:rsidRDefault="00823AC2"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无负面影响</w:t>
            </w:r>
          </w:p>
        </w:tc>
        <w:tc>
          <w:tcPr>
            <w:tcW w:w="714" w:type="dxa"/>
            <w:vAlign w:val="center"/>
          </w:tcPr>
          <w:p w14:paraId="28713EA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916" w:type="dxa"/>
            <w:vAlign w:val="center"/>
          </w:tcPr>
          <w:p w14:paraId="1B7DE54A"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36" w:type="dxa"/>
            <w:vAlign w:val="center"/>
          </w:tcPr>
          <w:p w14:paraId="47D20014"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p>
        </w:tc>
      </w:tr>
      <w:tr w:rsidR="00823AC2" w14:paraId="4C01F35F" w14:textId="77777777" w:rsidTr="0053535C">
        <w:trPr>
          <w:trHeight w:val="610"/>
          <w:jc w:val="center"/>
        </w:trPr>
        <w:tc>
          <w:tcPr>
            <w:tcW w:w="1075" w:type="dxa"/>
            <w:vMerge/>
            <w:vAlign w:val="center"/>
          </w:tcPr>
          <w:p w14:paraId="393DE339" w14:textId="77777777" w:rsidR="00823AC2" w:rsidRDefault="00823AC2" w:rsidP="0053535C">
            <w:pPr>
              <w:spacing w:line="240" w:lineRule="exact"/>
              <w:jc w:val="left"/>
              <w:rPr>
                <w:rFonts w:ascii="仿宋_GB2312" w:eastAsia="仿宋_GB2312" w:hAnsi="仿宋_GB2312" w:cs="仿宋_GB2312"/>
                <w:color w:val="000000"/>
                <w:sz w:val="20"/>
                <w:szCs w:val="20"/>
              </w:rPr>
            </w:pPr>
          </w:p>
        </w:tc>
        <w:tc>
          <w:tcPr>
            <w:tcW w:w="1097" w:type="dxa"/>
            <w:vAlign w:val="center"/>
          </w:tcPr>
          <w:p w14:paraId="1642C12D"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14:paraId="19F9890E"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14:paraId="150BB049"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137" w:type="dxa"/>
            <w:vAlign w:val="center"/>
          </w:tcPr>
          <w:p w14:paraId="7C769DF5"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134" w:type="dxa"/>
            <w:vAlign w:val="center"/>
          </w:tcPr>
          <w:p w14:paraId="6D96BE1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社会公众或服务对象满意</w:t>
            </w:r>
          </w:p>
        </w:tc>
        <w:tc>
          <w:tcPr>
            <w:tcW w:w="1306" w:type="dxa"/>
            <w:vAlign w:val="center"/>
          </w:tcPr>
          <w:p w14:paraId="4B08069F"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≥90%</w:t>
            </w:r>
          </w:p>
        </w:tc>
        <w:tc>
          <w:tcPr>
            <w:tcW w:w="1264" w:type="dxa"/>
            <w:vAlign w:val="center"/>
          </w:tcPr>
          <w:p w14:paraId="0DF2E27F" w14:textId="77777777" w:rsidR="00823AC2" w:rsidRDefault="00823AC2"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95%</w:t>
            </w:r>
          </w:p>
        </w:tc>
        <w:tc>
          <w:tcPr>
            <w:tcW w:w="714" w:type="dxa"/>
            <w:vAlign w:val="center"/>
          </w:tcPr>
          <w:p w14:paraId="39E7E8B8"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916" w:type="dxa"/>
            <w:vAlign w:val="center"/>
          </w:tcPr>
          <w:p w14:paraId="10D7B8BB"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36" w:type="dxa"/>
            <w:vAlign w:val="center"/>
          </w:tcPr>
          <w:p w14:paraId="3ED6A843"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823AC2" w14:paraId="03A4F2E9" w14:textId="77777777" w:rsidTr="0053535C">
        <w:trPr>
          <w:trHeight w:val="270"/>
          <w:jc w:val="center"/>
        </w:trPr>
        <w:tc>
          <w:tcPr>
            <w:tcW w:w="7013" w:type="dxa"/>
            <w:gridSpan w:val="6"/>
            <w:vAlign w:val="center"/>
          </w:tcPr>
          <w:p w14:paraId="01E265F9"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714" w:type="dxa"/>
            <w:vAlign w:val="center"/>
          </w:tcPr>
          <w:p w14:paraId="656EA87E"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916" w:type="dxa"/>
            <w:vAlign w:val="center"/>
          </w:tcPr>
          <w:p w14:paraId="6142DBF7" w14:textId="77777777" w:rsidR="00823AC2" w:rsidRDefault="00823AC2" w:rsidP="0053535C">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98</w:t>
            </w:r>
          </w:p>
        </w:tc>
        <w:tc>
          <w:tcPr>
            <w:tcW w:w="1436" w:type="dxa"/>
            <w:vAlign w:val="center"/>
          </w:tcPr>
          <w:p w14:paraId="5CFD7CAD" w14:textId="77777777" w:rsidR="00823AC2" w:rsidRDefault="00823AC2" w:rsidP="0053535C">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14:paraId="6A0783FF" w14:textId="77777777" w:rsidR="00823AC2" w:rsidRDefault="00823AC2" w:rsidP="00823AC2">
      <w:r>
        <w:rPr>
          <w:rFonts w:ascii="Times New Roman" w:eastAsia="仿宋_GB2312" w:hAnsi="Times New Roman"/>
          <w:sz w:val="22"/>
          <w:szCs w:val="22"/>
        </w:rPr>
        <w:t>填表人：</w:t>
      </w:r>
      <w:r>
        <w:rPr>
          <w:rFonts w:ascii="Times New Roman" w:eastAsia="仿宋_GB2312" w:hAnsi="Times New Roman"/>
          <w:sz w:val="22"/>
          <w:szCs w:val="22"/>
        </w:rPr>
        <w:t xml:space="preserve">      </w:t>
      </w:r>
      <w:r>
        <w:rPr>
          <w:rFonts w:ascii="Times New Roman" w:eastAsia="仿宋_GB2312" w:hAnsi="Times New Roman"/>
          <w:sz w:val="22"/>
          <w:szCs w:val="22"/>
        </w:rPr>
        <w:t>填报日期：</w:t>
      </w:r>
      <w:r>
        <w:rPr>
          <w:rFonts w:ascii="Times New Roman" w:eastAsia="仿宋_GB2312" w:hAnsi="Times New Roman"/>
          <w:sz w:val="22"/>
          <w:szCs w:val="22"/>
        </w:rPr>
        <w:t xml:space="preserve">         </w:t>
      </w:r>
      <w:r>
        <w:rPr>
          <w:rFonts w:ascii="Times New Roman" w:eastAsia="仿宋_GB2312" w:hAnsi="Times New Roman"/>
          <w:sz w:val="22"/>
          <w:szCs w:val="22"/>
        </w:rPr>
        <w:t>联系电话：</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单位负责人签字：</w:t>
      </w:r>
    </w:p>
    <w:p w14:paraId="08734C8F" w14:textId="77777777" w:rsidR="00823AC2" w:rsidRDefault="00823AC2" w:rsidP="0062298A">
      <w:pPr>
        <w:widowControl/>
        <w:spacing w:line="640" w:lineRule="exact"/>
        <w:ind w:firstLineChars="200" w:firstLine="640"/>
        <w:rPr>
          <w:rFonts w:ascii="仿宋_GB2312" w:eastAsia="仿宋_GB2312" w:hAnsi="仿宋_GB2312" w:cs="仿宋_GB2312"/>
          <w:sz w:val="32"/>
          <w:szCs w:val="32"/>
        </w:rPr>
      </w:pPr>
    </w:p>
    <w:p w14:paraId="0DF22FA4" w14:textId="77777777" w:rsidR="00D24710" w:rsidRDefault="00D24710" w:rsidP="00D24710">
      <w:pPr>
        <w:widowControl/>
        <w:spacing w:line="600" w:lineRule="exact"/>
        <w:jc w:val="left"/>
        <w:rPr>
          <w:rFonts w:ascii="Times New Roman" w:eastAsia="黑体" w:hAnsi="Times New Roman"/>
          <w:sz w:val="32"/>
          <w:szCs w:val="32"/>
        </w:rPr>
      </w:pPr>
      <w:r>
        <w:rPr>
          <w:rFonts w:ascii="黑体" w:eastAsia="黑体" w:hAnsi="黑体" w:cs="黑体" w:hint="eastAsia"/>
          <w:sz w:val="32"/>
          <w:szCs w:val="32"/>
        </w:rPr>
        <w:lastRenderedPageBreak/>
        <w:t>附件3</w:t>
      </w:r>
    </w:p>
    <w:p w14:paraId="1F1A582F" w14:textId="77777777" w:rsidR="00D24710" w:rsidRDefault="00D24710" w:rsidP="00D24710">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2024年度项目支出绩效自评表</w:t>
      </w:r>
    </w:p>
    <w:tbl>
      <w:tblPr>
        <w:tblW w:w="9851" w:type="dxa"/>
        <w:jc w:val="center"/>
        <w:tblLayout w:type="fixed"/>
        <w:tblLook w:val="04A0" w:firstRow="1" w:lastRow="0" w:firstColumn="1" w:lastColumn="0" w:noHBand="0" w:noVBand="1"/>
      </w:tblPr>
      <w:tblGrid>
        <w:gridCol w:w="1058"/>
        <w:gridCol w:w="1065"/>
        <w:gridCol w:w="1053"/>
        <w:gridCol w:w="1344"/>
        <w:gridCol w:w="1068"/>
        <w:gridCol w:w="1216"/>
        <w:gridCol w:w="814"/>
        <w:gridCol w:w="861"/>
        <w:gridCol w:w="1372"/>
      </w:tblGrid>
      <w:tr w:rsidR="00D24710" w14:paraId="121E6DE8" w14:textId="77777777" w:rsidTr="0053535C">
        <w:trPr>
          <w:jc w:val="center"/>
        </w:trPr>
        <w:tc>
          <w:tcPr>
            <w:tcW w:w="1058" w:type="dxa"/>
            <w:tcBorders>
              <w:top w:val="single" w:sz="4" w:space="0" w:color="auto"/>
              <w:left w:val="single" w:sz="4" w:space="0" w:color="auto"/>
              <w:bottom w:val="single" w:sz="4" w:space="0" w:color="auto"/>
              <w:right w:val="single" w:sz="4" w:space="0" w:color="auto"/>
            </w:tcBorders>
            <w:vAlign w:val="center"/>
          </w:tcPr>
          <w:p w14:paraId="50B5BFFD"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14:paraId="6793409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93" w:type="dxa"/>
            <w:gridSpan w:val="8"/>
            <w:tcBorders>
              <w:top w:val="single" w:sz="4" w:space="0" w:color="auto"/>
              <w:left w:val="nil"/>
              <w:bottom w:val="single" w:sz="4" w:space="0" w:color="auto"/>
              <w:right w:val="single" w:sz="4" w:space="0" w:color="auto"/>
            </w:tcBorders>
            <w:vAlign w:val="center"/>
          </w:tcPr>
          <w:p w14:paraId="172218CF"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中心城区房地产办证专项行动　</w:t>
            </w:r>
          </w:p>
        </w:tc>
      </w:tr>
      <w:tr w:rsidR="00D24710" w14:paraId="0A17A5C8" w14:textId="77777777" w:rsidTr="0053535C">
        <w:trPr>
          <w:jc w:val="center"/>
        </w:trPr>
        <w:tc>
          <w:tcPr>
            <w:tcW w:w="1058" w:type="dxa"/>
            <w:tcBorders>
              <w:top w:val="nil"/>
              <w:left w:val="single" w:sz="4" w:space="0" w:color="auto"/>
              <w:bottom w:val="single" w:sz="4" w:space="0" w:color="auto"/>
              <w:right w:val="single" w:sz="4" w:space="0" w:color="auto"/>
            </w:tcBorders>
            <w:vAlign w:val="center"/>
          </w:tcPr>
          <w:p w14:paraId="346B134E"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30" w:type="dxa"/>
            <w:gridSpan w:val="4"/>
            <w:tcBorders>
              <w:top w:val="single" w:sz="4" w:space="0" w:color="auto"/>
              <w:left w:val="nil"/>
              <w:bottom w:val="single" w:sz="4" w:space="0" w:color="auto"/>
              <w:right w:val="single" w:sz="4" w:space="0" w:color="auto"/>
            </w:tcBorders>
            <w:vAlign w:val="center"/>
          </w:tcPr>
          <w:p w14:paraId="0AD06FC1"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岳阳市自然资源和规划局</w:t>
            </w:r>
          </w:p>
        </w:tc>
        <w:tc>
          <w:tcPr>
            <w:tcW w:w="1216" w:type="dxa"/>
            <w:tcBorders>
              <w:top w:val="single" w:sz="4" w:space="0" w:color="auto"/>
              <w:left w:val="nil"/>
              <w:bottom w:val="single" w:sz="4" w:space="0" w:color="auto"/>
              <w:right w:val="single" w:sz="4" w:space="0" w:color="000000"/>
            </w:tcBorders>
            <w:vAlign w:val="center"/>
          </w:tcPr>
          <w:p w14:paraId="795BFF7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047" w:type="dxa"/>
            <w:gridSpan w:val="3"/>
            <w:tcBorders>
              <w:top w:val="single" w:sz="4" w:space="0" w:color="auto"/>
              <w:left w:val="nil"/>
              <w:bottom w:val="single" w:sz="4" w:space="0" w:color="auto"/>
              <w:right w:val="single" w:sz="4" w:space="0" w:color="auto"/>
            </w:tcBorders>
            <w:vAlign w:val="center"/>
          </w:tcPr>
          <w:p w14:paraId="5964C648"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岳阳市不动产登记中心</w:t>
            </w:r>
          </w:p>
        </w:tc>
      </w:tr>
      <w:tr w:rsidR="00D24710" w14:paraId="1A9843DA" w14:textId="77777777" w:rsidTr="0053535C">
        <w:trPr>
          <w:jc w:val="center"/>
        </w:trPr>
        <w:tc>
          <w:tcPr>
            <w:tcW w:w="1058" w:type="dxa"/>
            <w:vMerge w:val="restart"/>
            <w:tcBorders>
              <w:top w:val="nil"/>
              <w:left w:val="single" w:sz="4" w:space="0" w:color="auto"/>
              <w:bottom w:val="single" w:sz="4" w:space="0" w:color="000000"/>
              <w:right w:val="single" w:sz="4" w:space="0" w:color="auto"/>
            </w:tcBorders>
            <w:vAlign w:val="center"/>
          </w:tcPr>
          <w:p w14:paraId="483F932B"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r>
              <w:rPr>
                <w:rFonts w:ascii="仿宋_GB2312" w:eastAsia="仿宋_GB2312" w:hAnsi="仿宋_GB2312" w:cs="仿宋_GB2312" w:hint="eastAsia"/>
                <w:color w:val="000000"/>
                <w:sz w:val="20"/>
                <w:szCs w:val="20"/>
              </w:rPr>
              <w:br/>
              <w:t>（万元）</w:t>
            </w:r>
          </w:p>
        </w:tc>
        <w:tc>
          <w:tcPr>
            <w:tcW w:w="2118" w:type="dxa"/>
            <w:gridSpan w:val="2"/>
            <w:tcBorders>
              <w:top w:val="nil"/>
              <w:left w:val="nil"/>
              <w:bottom w:val="single" w:sz="4" w:space="0" w:color="auto"/>
              <w:right w:val="single" w:sz="4" w:space="0" w:color="auto"/>
            </w:tcBorders>
            <w:vAlign w:val="center"/>
          </w:tcPr>
          <w:p w14:paraId="49FDA439"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344" w:type="dxa"/>
            <w:tcBorders>
              <w:top w:val="nil"/>
              <w:left w:val="nil"/>
              <w:bottom w:val="single" w:sz="4" w:space="0" w:color="auto"/>
              <w:right w:val="single" w:sz="4" w:space="0" w:color="auto"/>
            </w:tcBorders>
            <w:vAlign w:val="center"/>
          </w:tcPr>
          <w:p w14:paraId="2292031D"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14:paraId="568E324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068" w:type="dxa"/>
            <w:tcBorders>
              <w:top w:val="nil"/>
              <w:left w:val="nil"/>
              <w:bottom w:val="single" w:sz="4" w:space="0" w:color="auto"/>
              <w:right w:val="single" w:sz="4" w:space="0" w:color="auto"/>
            </w:tcBorders>
            <w:vAlign w:val="center"/>
          </w:tcPr>
          <w:p w14:paraId="282C616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14:paraId="49A0A2ED"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216" w:type="dxa"/>
            <w:tcBorders>
              <w:top w:val="nil"/>
              <w:left w:val="nil"/>
              <w:bottom w:val="single" w:sz="4" w:space="0" w:color="auto"/>
              <w:right w:val="single" w:sz="4" w:space="0" w:color="auto"/>
            </w:tcBorders>
            <w:vAlign w:val="center"/>
          </w:tcPr>
          <w:p w14:paraId="32972C06" w14:textId="77777777" w:rsidR="00D24710" w:rsidRDefault="00D24710" w:rsidP="0053535C">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14:paraId="6C80B86B" w14:textId="77777777" w:rsidR="00D24710" w:rsidRDefault="00D24710" w:rsidP="0053535C">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14" w:type="dxa"/>
            <w:tcBorders>
              <w:top w:val="nil"/>
              <w:left w:val="nil"/>
              <w:bottom w:val="single" w:sz="4" w:space="0" w:color="auto"/>
              <w:right w:val="single" w:sz="4" w:space="0" w:color="auto"/>
            </w:tcBorders>
            <w:vAlign w:val="center"/>
          </w:tcPr>
          <w:p w14:paraId="212FE3B3" w14:textId="77777777" w:rsidR="00D24710" w:rsidRDefault="00D24710" w:rsidP="0053535C">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61" w:type="dxa"/>
            <w:tcBorders>
              <w:top w:val="nil"/>
              <w:left w:val="nil"/>
              <w:bottom w:val="single" w:sz="4" w:space="0" w:color="auto"/>
              <w:right w:val="single" w:sz="4" w:space="0" w:color="auto"/>
            </w:tcBorders>
            <w:vAlign w:val="center"/>
          </w:tcPr>
          <w:p w14:paraId="453F0333" w14:textId="77777777" w:rsidR="00D24710" w:rsidRDefault="00D24710" w:rsidP="0053535C">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372" w:type="dxa"/>
            <w:tcBorders>
              <w:top w:val="nil"/>
              <w:left w:val="nil"/>
              <w:bottom w:val="single" w:sz="4" w:space="0" w:color="auto"/>
              <w:right w:val="single" w:sz="4" w:space="0" w:color="auto"/>
            </w:tcBorders>
            <w:vAlign w:val="center"/>
          </w:tcPr>
          <w:p w14:paraId="1D6A85B5" w14:textId="77777777" w:rsidR="00D24710" w:rsidRDefault="00D24710" w:rsidP="0053535C">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D24710" w14:paraId="7027D590" w14:textId="77777777" w:rsidTr="0053535C">
        <w:trPr>
          <w:jc w:val="center"/>
        </w:trPr>
        <w:tc>
          <w:tcPr>
            <w:tcW w:w="1058" w:type="dxa"/>
            <w:vMerge/>
            <w:tcBorders>
              <w:top w:val="nil"/>
              <w:left w:val="single" w:sz="4" w:space="0" w:color="auto"/>
              <w:bottom w:val="single" w:sz="4" w:space="0" w:color="000000"/>
              <w:right w:val="single" w:sz="4" w:space="0" w:color="auto"/>
            </w:tcBorders>
            <w:vAlign w:val="center"/>
          </w:tcPr>
          <w:p w14:paraId="5E6FC687"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c>
          <w:tcPr>
            <w:tcW w:w="2118" w:type="dxa"/>
            <w:gridSpan w:val="2"/>
            <w:tcBorders>
              <w:top w:val="nil"/>
              <w:left w:val="nil"/>
              <w:bottom w:val="single" w:sz="4" w:space="0" w:color="auto"/>
              <w:right w:val="single" w:sz="4" w:space="0" w:color="auto"/>
            </w:tcBorders>
            <w:vAlign w:val="center"/>
          </w:tcPr>
          <w:p w14:paraId="01201C10"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344" w:type="dxa"/>
            <w:tcBorders>
              <w:top w:val="nil"/>
              <w:left w:val="nil"/>
              <w:bottom w:val="single" w:sz="4" w:space="0" w:color="auto"/>
              <w:right w:val="single" w:sz="4" w:space="0" w:color="auto"/>
            </w:tcBorders>
            <w:vAlign w:val="center"/>
          </w:tcPr>
          <w:p w14:paraId="47E13E5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0</w:t>
            </w:r>
          </w:p>
        </w:tc>
        <w:tc>
          <w:tcPr>
            <w:tcW w:w="1068" w:type="dxa"/>
            <w:tcBorders>
              <w:top w:val="nil"/>
              <w:left w:val="nil"/>
              <w:bottom w:val="single" w:sz="4" w:space="0" w:color="auto"/>
              <w:right w:val="single" w:sz="4" w:space="0" w:color="auto"/>
            </w:tcBorders>
            <w:vAlign w:val="center"/>
          </w:tcPr>
          <w:p w14:paraId="2720A596"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sz w:val="20"/>
                <w:szCs w:val="20"/>
              </w:rPr>
              <w:t>261.77</w:t>
            </w:r>
          </w:p>
        </w:tc>
        <w:tc>
          <w:tcPr>
            <w:tcW w:w="1216" w:type="dxa"/>
            <w:tcBorders>
              <w:top w:val="nil"/>
              <w:left w:val="nil"/>
              <w:bottom w:val="single" w:sz="4" w:space="0" w:color="auto"/>
              <w:right w:val="single" w:sz="4" w:space="0" w:color="auto"/>
            </w:tcBorders>
            <w:vAlign w:val="center"/>
          </w:tcPr>
          <w:p w14:paraId="2A7D299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sz w:val="20"/>
                <w:szCs w:val="20"/>
              </w:rPr>
              <w:t>261.77</w:t>
            </w:r>
          </w:p>
        </w:tc>
        <w:tc>
          <w:tcPr>
            <w:tcW w:w="814" w:type="dxa"/>
            <w:tcBorders>
              <w:top w:val="nil"/>
              <w:left w:val="nil"/>
              <w:bottom w:val="single" w:sz="4" w:space="0" w:color="auto"/>
              <w:right w:val="single" w:sz="4" w:space="0" w:color="auto"/>
            </w:tcBorders>
            <w:vAlign w:val="center"/>
          </w:tcPr>
          <w:p w14:paraId="1EB20F67"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61" w:type="dxa"/>
            <w:tcBorders>
              <w:top w:val="nil"/>
              <w:left w:val="nil"/>
              <w:bottom w:val="single" w:sz="4" w:space="0" w:color="auto"/>
              <w:right w:val="single" w:sz="4" w:space="0" w:color="auto"/>
            </w:tcBorders>
            <w:vAlign w:val="center"/>
          </w:tcPr>
          <w:p w14:paraId="3005B211"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372" w:type="dxa"/>
            <w:tcBorders>
              <w:top w:val="nil"/>
              <w:left w:val="nil"/>
              <w:bottom w:val="single" w:sz="4" w:space="0" w:color="auto"/>
              <w:right w:val="single" w:sz="4" w:space="0" w:color="auto"/>
            </w:tcBorders>
            <w:vAlign w:val="center"/>
          </w:tcPr>
          <w:p w14:paraId="658D133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r>
      <w:tr w:rsidR="00D24710" w14:paraId="6E7F21A0" w14:textId="77777777" w:rsidTr="0053535C">
        <w:trPr>
          <w:jc w:val="center"/>
        </w:trPr>
        <w:tc>
          <w:tcPr>
            <w:tcW w:w="1058" w:type="dxa"/>
            <w:vMerge/>
            <w:tcBorders>
              <w:top w:val="nil"/>
              <w:left w:val="single" w:sz="4" w:space="0" w:color="auto"/>
              <w:bottom w:val="single" w:sz="4" w:space="0" w:color="000000"/>
              <w:right w:val="single" w:sz="4" w:space="0" w:color="auto"/>
            </w:tcBorders>
            <w:vAlign w:val="center"/>
          </w:tcPr>
          <w:p w14:paraId="4338DD50"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c>
          <w:tcPr>
            <w:tcW w:w="2118" w:type="dxa"/>
            <w:gridSpan w:val="2"/>
            <w:tcBorders>
              <w:top w:val="nil"/>
              <w:left w:val="nil"/>
              <w:bottom w:val="single" w:sz="4" w:space="0" w:color="auto"/>
              <w:right w:val="single" w:sz="4" w:space="0" w:color="auto"/>
            </w:tcBorders>
            <w:vAlign w:val="center"/>
          </w:tcPr>
          <w:p w14:paraId="778F2465"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344" w:type="dxa"/>
            <w:tcBorders>
              <w:top w:val="nil"/>
              <w:left w:val="nil"/>
              <w:bottom w:val="single" w:sz="4" w:space="0" w:color="auto"/>
              <w:right w:val="single" w:sz="4" w:space="0" w:color="auto"/>
            </w:tcBorders>
            <w:vAlign w:val="center"/>
          </w:tcPr>
          <w:p w14:paraId="49742AD4"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0</w:t>
            </w:r>
          </w:p>
        </w:tc>
        <w:tc>
          <w:tcPr>
            <w:tcW w:w="1068" w:type="dxa"/>
            <w:tcBorders>
              <w:top w:val="nil"/>
              <w:left w:val="nil"/>
              <w:bottom w:val="single" w:sz="4" w:space="0" w:color="auto"/>
              <w:right w:val="single" w:sz="4" w:space="0" w:color="auto"/>
            </w:tcBorders>
            <w:vAlign w:val="center"/>
          </w:tcPr>
          <w:p w14:paraId="089BF5D7"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sz w:val="20"/>
                <w:szCs w:val="20"/>
              </w:rPr>
              <w:t>261.77</w:t>
            </w:r>
          </w:p>
        </w:tc>
        <w:tc>
          <w:tcPr>
            <w:tcW w:w="1216" w:type="dxa"/>
            <w:tcBorders>
              <w:top w:val="nil"/>
              <w:left w:val="nil"/>
              <w:bottom w:val="single" w:sz="4" w:space="0" w:color="auto"/>
              <w:right w:val="single" w:sz="4" w:space="0" w:color="auto"/>
            </w:tcBorders>
            <w:vAlign w:val="center"/>
          </w:tcPr>
          <w:p w14:paraId="6232DF04"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sz w:val="20"/>
                <w:szCs w:val="20"/>
              </w:rPr>
              <w:t>261.77</w:t>
            </w:r>
          </w:p>
        </w:tc>
        <w:tc>
          <w:tcPr>
            <w:tcW w:w="814" w:type="dxa"/>
            <w:tcBorders>
              <w:top w:val="nil"/>
              <w:left w:val="nil"/>
              <w:bottom w:val="single" w:sz="4" w:space="0" w:color="auto"/>
              <w:right w:val="single" w:sz="4" w:space="0" w:color="auto"/>
            </w:tcBorders>
            <w:vAlign w:val="center"/>
          </w:tcPr>
          <w:p w14:paraId="54A29935"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tc>
        <w:tc>
          <w:tcPr>
            <w:tcW w:w="861" w:type="dxa"/>
            <w:tcBorders>
              <w:top w:val="nil"/>
              <w:left w:val="nil"/>
              <w:bottom w:val="single" w:sz="4" w:space="0" w:color="auto"/>
              <w:right w:val="single" w:sz="4" w:space="0" w:color="auto"/>
            </w:tcBorders>
            <w:vAlign w:val="center"/>
          </w:tcPr>
          <w:p w14:paraId="7CDC70A6"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tc>
        <w:tc>
          <w:tcPr>
            <w:tcW w:w="1372" w:type="dxa"/>
            <w:tcBorders>
              <w:top w:val="nil"/>
              <w:left w:val="nil"/>
              <w:bottom w:val="single" w:sz="4" w:space="0" w:color="auto"/>
              <w:right w:val="single" w:sz="4" w:space="0" w:color="auto"/>
            </w:tcBorders>
            <w:vAlign w:val="center"/>
          </w:tcPr>
          <w:p w14:paraId="2FDA8DD0"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tc>
      </w:tr>
      <w:tr w:rsidR="00D24710" w14:paraId="66669841" w14:textId="77777777" w:rsidTr="0053535C">
        <w:trPr>
          <w:jc w:val="center"/>
        </w:trPr>
        <w:tc>
          <w:tcPr>
            <w:tcW w:w="1058" w:type="dxa"/>
            <w:vMerge/>
            <w:tcBorders>
              <w:top w:val="nil"/>
              <w:left w:val="single" w:sz="4" w:space="0" w:color="auto"/>
              <w:bottom w:val="single" w:sz="4" w:space="0" w:color="000000"/>
              <w:right w:val="single" w:sz="4" w:space="0" w:color="auto"/>
            </w:tcBorders>
            <w:vAlign w:val="center"/>
          </w:tcPr>
          <w:p w14:paraId="1E39F8C1"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c>
          <w:tcPr>
            <w:tcW w:w="2118" w:type="dxa"/>
            <w:gridSpan w:val="2"/>
            <w:tcBorders>
              <w:top w:val="nil"/>
              <w:left w:val="nil"/>
              <w:bottom w:val="single" w:sz="4" w:space="0" w:color="auto"/>
              <w:right w:val="single" w:sz="4" w:space="0" w:color="auto"/>
            </w:tcBorders>
            <w:vAlign w:val="center"/>
          </w:tcPr>
          <w:p w14:paraId="3108C0E2" w14:textId="77777777" w:rsidR="00D24710" w:rsidRDefault="00D24710" w:rsidP="0053535C">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344" w:type="dxa"/>
            <w:tcBorders>
              <w:top w:val="nil"/>
              <w:left w:val="nil"/>
              <w:bottom w:val="single" w:sz="4" w:space="0" w:color="auto"/>
              <w:right w:val="single" w:sz="4" w:space="0" w:color="auto"/>
            </w:tcBorders>
            <w:vAlign w:val="center"/>
          </w:tcPr>
          <w:p w14:paraId="37DC5D7E"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68" w:type="dxa"/>
            <w:tcBorders>
              <w:top w:val="nil"/>
              <w:left w:val="nil"/>
              <w:bottom w:val="single" w:sz="4" w:space="0" w:color="auto"/>
              <w:right w:val="single" w:sz="4" w:space="0" w:color="auto"/>
            </w:tcBorders>
            <w:vAlign w:val="center"/>
          </w:tcPr>
          <w:p w14:paraId="1BFB77E1"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16" w:type="dxa"/>
            <w:tcBorders>
              <w:top w:val="nil"/>
              <w:left w:val="nil"/>
              <w:bottom w:val="single" w:sz="4" w:space="0" w:color="auto"/>
              <w:right w:val="single" w:sz="4" w:space="0" w:color="auto"/>
            </w:tcBorders>
            <w:vAlign w:val="center"/>
          </w:tcPr>
          <w:p w14:paraId="1932A2B2"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14" w:type="dxa"/>
            <w:tcBorders>
              <w:top w:val="nil"/>
              <w:left w:val="nil"/>
              <w:bottom w:val="single" w:sz="4" w:space="0" w:color="auto"/>
              <w:right w:val="single" w:sz="4" w:space="0" w:color="auto"/>
            </w:tcBorders>
            <w:vAlign w:val="center"/>
          </w:tcPr>
          <w:p w14:paraId="469843BB"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61" w:type="dxa"/>
            <w:tcBorders>
              <w:top w:val="nil"/>
              <w:left w:val="nil"/>
              <w:bottom w:val="single" w:sz="4" w:space="0" w:color="auto"/>
              <w:right w:val="single" w:sz="4" w:space="0" w:color="auto"/>
            </w:tcBorders>
            <w:vAlign w:val="center"/>
          </w:tcPr>
          <w:p w14:paraId="5A6B3832"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372" w:type="dxa"/>
            <w:tcBorders>
              <w:top w:val="nil"/>
              <w:left w:val="nil"/>
              <w:bottom w:val="single" w:sz="4" w:space="0" w:color="auto"/>
              <w:right w:val="single" w:sz="4" w:space="0" w:color="auto"/>
            </w:tcBorders>
            <w:vAlign w:val="center"/>
          </w:tcPr>
          <w:p w14:paraId="5E57B925"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34082933" w14:textId="77777777" w:rsidTr="0053535C">
        <w:trPr>
          <w:jc w:val="center"/>
        </w:trPr>
        <w:tc>
          <w:tcPr>
            <w:tcW w:w="1058" w:type="dxa"/>
            <w:vMerge/>
            <w:tcBorders>
              <w:top w:val="nil"/>
              <w:left w:val="single" w:sz="4" w:space="0" w:color="auto"/>
              <w:bottom w:val="single" w:sz="4" w:space="0" w:color="000000"/>
              <w:right w:val="single" w:sz="4" w:space="0" w:color="auto"/>
            </w:tcBorders>
            <w:vAlign w:val="center"/>
          </w:tcPr>
          <w:p w14:paraId="08EBF153"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c>
          <w:tcPr>
            <w:tcW w:w="2118" w:type="dxa"/>
            <w:gridSpan w:val="2"/>
            <w:tcBorders>
              <w:top w:val="nil"/>
              <w:left w:val="nil"/>
              <w:bottom w:val="single" w:sz="4" w:space="0" w:color="auto"/>
              <w:right w:val="single" w:sz="4" w:space="0" w:color="auto"/>
            </w:tcBorders>
            <w:vAlign w:val="center"/>
          </w:tcPr>
          <w:p w14:paraId="5E95AC5B" w14:textId="77777777" w:rsidR="00D24710" w:rsidRDefault="00D24710" w:rsidP="0053535C">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344" w:type="dxa"/>
            <w:tcBorders>
              <w:top w:val="nil"/>
              <w:left w:val="nil"/>
              <w:bottom w:val="single" w:sz="4" w:space="0" w:color="auto"/>
              <w:right w:val="single" w:sz="4" w:space="0" w:color="auto"/>
            </w:tcBorders>
            <w:vAlign w:val="center"/>
          </w:tcPr>
          <w:p w14:paraId="2F020988"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68" w:type="dxa"/>
            <w:tcBorders>
              <w:top w:val="nil"/>
              <w:left w:val="nil"/>
              <w:bottom w:val="single" w:sz="4" w:space="0" w:color="auto"/>
              <w:right w:val="single" w:sz="4" w:space="0" w:color="auto"/>
            </w:tcBorders>
            <w:vAlign w:val="center"/>
          </w:tcPr>
          <w:p w14:paraId="7C348483"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16" w:type="dxa"/>
            <w:tcBorders>
              <w:top w:val="nil"/>
              <w:left w:val="nil"/>
              <w:bottom w:val="single" w:sz="4" w:space="0" w:color="auto"/>
              <w:right w:val="single" w:sz="4" w:space="0" w:color="auto"/>
            </w:tcBorders>
            <w:vAlign w:val="center"/>
          </w:tcPr>
          <w:p w14:paraId="05CC9B31"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14" w:type="dxa"/>
            <w:tcBorders>
              <w:top w:val="nil"/>
              <w:left w:val="nil"/>
              <w:bottom w:val="single" w:sz="4" w:space="0" w:color="auto"/>
              <w:right w:val="single" w:sz="4" w:space="0" w:color="auto"/>
            </w:tcBorders>
            <w:vAlign w:val="center"/>
          </w:tcPr>
          <w:p w14:paraId="156A552F"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61" w:type="dxa"/>
            <w:tcBorders>
              <w:top w:val="nil"/>
              <w:left w:val="nil"/>
              <w:bottom w:val="single" w:sz="4" w:space="0" w:color="auto"/>
              <w:right w:val="single" w:sz="4" w:space="0" w:color="auto"/>
            </w:tcBorders>
            <w:vAlign w:val="center"/>
          </w:tcPr>
          <w:p w14:paraId="2B52B043"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372" w:type="dxa"/>
            <w:tcBorders>
              <w:top w:val="nil"/>
              <w:left w:val="nil"/>
              <w:bottom w:val="single" w:sz="4" w:space="0" w:color="auto"/>
              <w:right w:val="single" w:sz="4" w:space="0" w:color="auto"/>
            </w:tcBorders>
            <w:vAlign w:val="center"/>
          </w:tcPr>
          <w:p w14:paraId="1E40B90F"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7FDB8F88" w14:textId="77777777" w:rsidTr="0053535C">
        <w:trPr>
          <w:jc w:val="center"/>
        </w:trPr>
        <w:tc>
          <w:tcPr>
            <w:tcW w:w="1058" w:type="dxa"/>
            <w:vMerge w:val="restart"/>
            <w:tcBorders>
              <w:top w:val="nil"/>
              <w:left w:val="single" w:sz="4" w:space="0" w:color="auto"/>
              <w:bottom w:val="single" w:sz="4" w:space="0" w:color="000000"/>
              <w:right w:val="single" w:sz="4" w:space="0" w:color="auto"/>
            </w:tcBorders>
            <w:vAlign w:val="center"/>
          </w:tcPr>
          <w:p w14:paraId="38215E9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30" w:type="dxa"/>
            <w:gridSpan w:val="4"/>
            <w:tcBorders>
              <w:top w:val="single" w:sz="4" w:space="0" w:color="auto"/>
              <w:left w:val="nil"/>
              <w:bottom w:val="single" w:sz="4" w:space="0" w:color="auto"/>
              <w:right w:val="single" w:sz="4" w:space="0" w:color="000000"/>
            </w:tcBorders>
            <w:vAlign w:val="center"/>
          </w:tcPr>
          <w:p w14:paraId="7335E718"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63" w:type="dxa"/>
            <w:gridSpan w:val="4"/>
            <w:tcBorders>
              <w:top w:val="single" w:sz="4" w:space="0" w:color="auto"/>
              <w:left w:val="nil"/>
              <w:bottom w:val="single" w:sz="4" w:space="0" w:color="auto"/>
              <w:right w:val="single" w:sz="4" w:space="0" w:color="auto"/>
            </w:tcBorders>
            <w:vAlign w:val="center"/>
          </w:tcPr>
          <w:p w14:paraId="75EF7EA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D24710" w14:paraId="339FAC80" w14:textId="77777777" w:rsidTr="0053535C">
        <w:trPr>
          <w:jc w:val="center"/>
        </w:trPr>
        <w:tc>
          <w:tcPr>
            <w:tcW w:w="1058" w:type="dxa"/>
            <w:vMerge/>
            <w:tcBorders>
              <w:top w:val="nil"/>
              <w:left w:val="single" w:sz="4" w:space="0" w:color="auto"/>
              <w:bottom w:val="single" w:sz="4" w:space="0" w:color="000000"/>
              <w:right w:val="single" w:sz="4" w:space="0" w:color="auto"/>
            </w:tcBorders>
            <w:vAlign w:val="center"/>
          </w:tcPr>
          <w:p w14:paraId="251E48C6"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c>
          <w:tcPr>
            <w:tcW w:w="4530" w:type="dxa"/>
            <w:gridSpan w:val="4"/>
            <w:tcBorders>
              <w:top w:val="single" w:sz="4" w:space="0" w:color="auto"/>
              <w:left w:val="nil"/>
              <w:bottom w:val="single" w:sz="4" w:space="0" w:color="auto"/>
              <w:right w:val="single" w:sz="4" w:space="0" w:color="000000"/>
            </w:tcBorders>
            <w:vAlign w:val="center"/>
          </w:tcPr>
          <w:p w14:paraId="15DA8ADB"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已经办理房屋</w:t>
            </w:r>
            <w:proofErr w:type="gramStart"/>
            <w:r>
              <w:rPr>
                <w:rFonts w:ascii="仿宋_GB2312" w:eastAsia="仿宋_GB2312" w:hAnsi="仿宋_GB2312" w:cs="仿宋_GB2312" w:hint="eastAsia"/>
                <w:color w:val="000000"/>
                <w:sz w:val="20"/>
                <w:szCs w:val="20"/>
              </w:rPr>
              <w:t>栋证但</w:t>
            </w:r>
            <w:proofErr w:type="gramEnd"/>
            <w:r>
              <w:rPr>
                <w:rFonts w:ascii="仿宋_GB2312" w:eastAsia="仿宋_GB2312" w:hAnsi="仿宋_GB2312" w:cs="仿宋_GB2312" w:hint="eastAsia"/>
                <w:color w:val="000000"/>
                <w:sz w:val="20"/>
                <w:szCs w:val="20"/>
              </w:rPr>
              <w:t>尚未办理分户证的新建商品房，督促办理房产证，制定2024年7月1日之前完成6000套，至2024年12月31日前共完成20000套的目标。</w:t>
            </w:r>
          </w:p>
        </w:tc>
        <w:tc>
          <w:tcPr>
            <w:tcW w:w="4263" w:type="dxa"/>
            <w:gridSpan w:val="4"/>
            <w:tcBorders>
              <w:top w:val="single" w:sz="4" w:space="0" w:color="auto"/>
              <w:left w:val="nil"/>
              <w:bottom w:val="single" w:sz="4" w:space="0" w:color="auto"/>
              <w:right w:val="single" w:sz="4" w:space="0" w:color="auto"/>
            </w:tcBorders>
            <w:vAlign w:val="center"/>
          </w:tcPr>
          <w:p w14:paraId="7C0DAC80" w14:textId="77777777" w:rsidR="00D24710" w:rsidRDefault="00D24710" w:rsidP="0053535C">
            <w:pPr>
              <w:widowControl/>
              <w:spacing w:line="260" w:lineRule="exact"/>
              <w:jc w:val="left"/>
              <w:rPr>
                <w:rFonts w:ascii="仿宋_GB2312" w:eastAsia="仿宋_GB2312" w:hAnsi="仿宋_GB2312" w:cs="仿宋_GB2312"/>
                <w:color w:val="000000"/>
                <w:sz w:val="20"/>
                <w:szCs w:val="20"/>
                <w:highlight w:val="yellow"/>
              </w:rPr>
            </w:pPr>
            <w:r w:rsidRPr="000F1929">
              <w:rPr>
                <w:rFonts w:ascii="仿宋_GB2312" w:eastAsia="仿宋_GB2312" w:hAnsi="仿宋_GB2312" w:cs="仿宋_GB2312" w:hint="eastAsia"/>
                <w:color w:val="000000"/>
                <w:sz w:val="20"/>
                <w:szCs w:val="20"/>
              </w:rPr>
              <w:t>自专项行动以来，全市各级各部门主动作为、紧密配合、攻</w:t>
            </w:r>
            <w:proofErr w:type="gramStart"/>
            <w:r w:rsidRPr="000F1929">
              <w:rPr>
                <w:rFonts w:ascii="仿宋_GB2312" w:eastAsia="仿宋_GB2312" w:hAnsi="仿宋_GB2312" w:cs="仿宋_GB2312" w:hint="eastAsia"/>
                <w:color w:val="000000"/>
                <w:sz w:val="20"/>
                <w:szCs w:val="20"/>
              </w:rPr>
              <w:t>艰</w:t>
            </w:r>
            <w:proofErr w:type="gramEnd"/>
            <w:r w:rsidRPr="000F1929">
              <w:rPr>
                <w:rFonts w:ascii="仿宋_GB2312" w:eastAsia="仿宋_GB2312" w:hAnsi="仿宋_GB2312" w:cs="仿宋_GB2312" w:hint="eastAsia"/>
                <w:color w:val="000000"/>
                <w:sz w:val="20"/>
                <w:szCs w:val="20"/>
              </w:rPr>
              <w:t>克难，截止2024年底已办结14044户，完成总任务</w:t>
            </w:r>
            <w:r>
              <w:rPr>
                <w:rFonts w:ascii="仿宋_GB2312" w:eastAsia="仿宋_GB2312" w:hAnsi="仿宋_GB2312" w:cs="仿宋_GB2312"/>
                <w:color w:val="000000"/>
                <w:sz w:val="20"/>
                <w:szCs w:val="20"/>
              </w:rPr>
              <w:t>70.22</w:t>
            </w:r>
            <w:r w:rsidRPr="000F1929">
              <w:rPr>
                <w:rFonts w:ascii="仿宋_GB2312" w:eastAsia="仿宋_GB2312" w:hAnsi="仿宋_GB2312" w:cs="仿宋_GB2312" w:hint="eastAsia"/>
                <w:color w:val="000000"/>
                <w:sz w:val="20"/>
                <w:szCs w:val="20"/>
              </w:rPr>
              <w:t>%</w:t>
            </w:r>
          </w:p>
        </w:tc>
      </w:tr>
      <w:tr w:rsidR="00D24710" w14:paraId="798226DF" w14:textId="77777777" w:rsidTr="0053535C">
        <w:trPr>
          <w:jc w:val="center"/>
        </w:trPr>
        <w:tc>
          <w:tcPr>
            <w:tcW w:w="1058" w:type="dxa"/>
            <w:vMerge w:val="restart"/>
            <w:tcBorders>
              <w:top w:val="nil"/>
              <w:left w:val="single" w:sz="4" w:space="0" w:color="auto"/>
              <w:right w:val="single" w:sz="4" w:space="0" w:color="auto"/>
            </w:tcBorders>
            <w:vAlign w:val="center"/>
          </w:tcPr>
          <w:p w14:paraId="0FA98A0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绩</w:t>
            </w:r>
            <w:proofErr w:type="gramEnd"/>
          </w:p>
          <w:p w14:paraId="7621457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效</w:t>
            </w:r>
            <w:proofErr w:type="gramEnd"/>
          </w:p>
          <w:p w14:paraId="75721FDF"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14:paraId="363D98C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1065" w:type="dxa"/>
            <w:tcBorders>
              <w:top w:val="nil"/>
              <w:left w:val="nil"/>
              <w:bottom w:val="single" w:sz="4" w:space="0" w:color="auto"/>
              <w:right w:val="single" w:sz="4" w:space="0" w:color="auto"/>
            </w:tcBorders>
            <w:vAlign w:val="center"/>
          </w:tcPr>
          <w:p w14:paraId="741B2AB6"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53" w:type="dxa"/>
            <w:tcBorders>
              <w:top w:val="nil"/>
              <w:left w:val="nil"/>
              <w:bottom w:val="single" w:sz="4" w:space="0" w:color="auto"/>
              <w:right w:val="single" w:sz="4" w:space="0" w:color="auto"/>
            </w:tcBorders>
            <w:vAlign w:val="center"/>
          </w:tcPr>
          <w:p w14:paraId="51428433"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344" w:type="dxa"/>
            <w:tcBorders>
              <w:top w:val="nil"/>
              <w:left w:val="nil"/>
              <w:bottom w:val="single" w:sz="4" w:space="0" w:color="auto"/>
              <w:right w:val="single" w:sz="4" w:space="0" w:color="auto"/>
            </w:tcBorders>
            <w:vAlign w:val="center"/>
          </w:tcPr>
          <w:p w14:paraId="7FD66A9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068" w:type="dxa"/>
            <w:tcBorders>
              <w:top w:val="nil"/>
              <w:left w:val="nil"/>
              <w:bottom w:val="single" w:sz="4" w:space="0" w:color="auto"/>
              <w:right w:val="single" w:sz="4" w:space="0" w:color="auto"/>
            </w:tcBorders>
            <w:vAlign w:val="center"/>
          </w:tcPr>
          <w:p w14:paraId="5FC35F45"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14:paraId="652ABA33"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216" w:type="dxa"/>
            <w:tcBorders>
              <w:top w:val="nil"/>
              <w:left w:val="nil"/>
              <w:bottom w:val="single" w:sz="4" w:space="0" w:color="auto"/>
              <w:right w:val="single" w:sz="4" w:space="0" w:color="auto"/>
            </w:tcBorders>
            <w:vAlign w:val="center"/>
          </w:tcPr>
          <w:p w14:paraId="33361217"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14:paraId="3C60D4D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14" w:type="dxa"/>
            <w:tcBorders>
              <w:top w:val="nil"/>
              <w:left w:val="nil"/>
              <w:bottom w:val="single" w:sz="4" w:space="0" w:color="auto"/>
              <w:right w:val="single" w:sz="4" w:space="0" w:color="auto"/>
            </w:tcBorders>
            <w:vAlign w:val="center"/>
          </w:tcPr>
          <w:p w14:paraId="69D2502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61" w:type="dxa"/>
            <w:tcBorders>
              <w:top w:val="nil"/>
              <w:left w:val="nil"/>
              <w:bottom w:val="single" w:sz="4" w:space="0" w:color="auto"/>
              <w:right w:val="single" w:sz="4" w:space="0" w:color="auto"/>
            </w:tcBorders>
            <w:vAlign w:val="center"/>
          </w:tcPr>
          <w:p w14:paraId="445A321A"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372" w:type="dxa"/>
            <w:tcBorders>
              <w:top w:val="nil"/>
              <w:left w:val="nil"/>
              <w:bottom w:val="single" w:sz="4" w:space="0" w:color="auto"/>
              <w:right w:val="single" w:sz="4" w:space="0" w:color="auto"/>
            </w:tcBorders>
            <w:vAlign w:val="center"/>
          </w:tcPr>
          <w:p w14:paraId="5340D6ED" w14:textId="77777777" w:rsidR="00D24710" w:rsidRDefault="00D24710" w:rsidP="0053535C">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D24710" w14:paraId="6D10DC1C" w14:textId="77777777" w:rsidTr="0053535C">
        <w:trPr>
          <w:jc w:val="center"/>
        </w:trPr>
        <w:tc>
          <w:tcPr>
            <w:tcW w:w="1058" w:type="dxa"/>
            <w:vMerge/>
            <w:tcBorders>
              <w:left w:val="single" w:sz="4" w:space="0" w:color="auto"/>
              <w:right w:val="single" w:sz="4" w:space="0" w:color="auto"/>
            </w:tcBorders>
            <w:vAlign w:val="center"/>
          </w:tcPr>
          <w:p w14:paraId="111A44FB"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37D5105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14:paraId="03E104E5"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p w14:paraId="6A85818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53" w:type="dxa"/>
            <w:vMerge w:val="restart"/>
            <w:tcBorders>
              <w:top w:val="single" w:sz="4" w:space="0" w:color="auto"/>
              <w:left w:val="single" w:sz="4" w:space="0" w:color="auto"/>
              <w:bottom w:val="single" w:sz="4" w:space="0" w:color="auto"/>
              <w:right w:val="single" w:sz="4" w:space="0" w:color="auto"/>
            </w:tcBorders>
            <w:vAlign w:val="center"/>
          </w:tcPr>
          <w:p w14:paraId="1EC63A8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344" w:type="dxa"/>
            <w:tcBorders>
              <w:top w:val="single" w:sz="4" w:space="0" w:color="auto"/>
              <w:left w:val="single" w:sz="4" w:space="0" w:color="auto"/>
              <w:bottom w:val="single" w:sz="4" w:space="0" w:color="auto"/>
              <w:right w:val="single" w:sz="4" w:space="0" w:color="auto"/>
            </w:tcBorders>
            <w:vAlign w:val="center"/>
          </w:tcPr>
          <w:p w14:paraId="35C0593C" w14:textId="77777777" w:rsidR="00D24710" w:rsidRDefault="00D24710" w:rsidP="0053535C">
            <w:pPr>
              <w:widowControl/>
              <w:spacing w:line="260" w:lineRule="exact"/>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办理分户证户数</w:t>
            </w:r>
          </w:p>
        </w:tc>
        <w:tc>
          <w:tcPr>
            <w:tcW w:w="1068" w:type="dxa"/>
            <w:tcBorders>
              <w:top w:val="single" w:sz="4" w:space="0" w:color="auto"/>
              <w:left w:val="single" w:sz="4" w:space="0" w:color="auto"/>
              <w:bottom w:val="single" w:sz="4" w:space="0" w:color="auto"/>
              <w:right w:val="single" w:sz="4" w:space="0" w:color="auto"/>
            </w:tcBorders>
            <w:vAlign w:val="center"/>
          </w:tcPr>
          <w:p w14:paraId="2F2C26DE"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20000户</w:t>
            </w:r>
          </w:p>
        </w:tc>
        <w:tc>
          <w:tcPr>
            <w:tcW w:w="1216" w:type="dxa"/>
            <w:tcBorders>
              <w:top w:val="single" w:sz="4" w:space="0" w:color="auto"/>
              <w:left w:val="single" w:sz="4" w:space="0" w:color="auto"/>
              <w:bottom w:val="single" w:sz="4" w:space="0" w:color="auto"/>
              <w:right w:val="single" w:sz="4" w:space="0" w:color="auto"/>
            </w:tcBorders>
            <w:vAlign w:val="center"/>
          </w:tcPr>
          <w:p w14:paraId="4BDBE4D8"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14044户</w:t>
            </w:r>
          </w:p>
        </w:tc>
        <w:tc>
          <w:tcPr>
            <w:tcW w:w="814" w:type="dxa"/>
            <w:tcBorders>
              <w:top w:val="single" w:sz="4" w:space="0" w:color="auto"/>
              <w:left w:val="single" w:sz="4" w:space="0" w:color="auto"/>
              <w:bottom w:val="single" w:sz="4" w:space="0" w:color="auto"/>
              <w:right w:val="single" w:sz="4" w:space="0" w:color="auto"/>
            </w:tcBorders>
            <w:vAlign w:val="center"/>
          </w:tcPr>
          <w:p w14:paraId="4DE71646"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61" w:type="dxa"/>
            <w:tcBorders>
              <w:top w:val="single" w:sz="4" w:space="0" w:color="auto"/>
              <w:left w:val="single" w:sz="4" w:space="0" w:color="auto"/>
              <w:bottom w:val="single" w:sz="4" w:space="0" w:color="auto"/>
              <w:right w:val="single" w:sz="4" w:space="0" w:color="auto"/>
            </w:tcBorders>
            <w:vAlign w:val="center"/>
          </w:tcPr>
          <w:p w14:paraId="354E532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w:t>
            </w:r>
          </w:p>
        </w:tc>
        <w:tc>
          <w:tcPr>
            <w:tcW w:w="1372" w:type="dxa"/>
            <w:tcBorders>
              <w:top w:val="single" w:sz="4" w:space="0" w:color="auto"/>
              <w:left w:val="single" w:sz="4" w:space="0" w:color="auto"/>
              <w:bottom w:val="single" w:sz="4" w:space="0" w:color="auto"/>
              <w:right w:val="single" w:sz="4" w:space="0" w:color="auto"/>
            </w:tcBorders>
            <w:vAlign w:val="center"/>
          </w:tcPr>
          <w:p w14:paraId="18D98D5D"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剩余未</w:t>
            </w:r>
            <w:r>
              <w:rPr>
                <w:rFonts w:ascii="仿宋_GB2312" w:eastAsia="仿宋_GB2312" w:hAnsi="仿宋_GB2312" w:cs="仿宋_GB2312"/>
                <w:color w:val="000000"/>
                <w:sz w:val="20"/>
                <w:szCs w:val="20"/>
              </w:rPr>
              <w:t>办</w:t>
            </w:r>
            <w:r>
              <w:rPr>
                <w:rFonts w:ascii="仿宋_GB2312" w:eastAsia="仿宋_GB2312" w:hAnsi="仿宋_GB2312" w:cs="仿宋_GB2312" w:hint="eastAsia"/>
                <w:color w:val="000000"/>
                <w:sz w:val="20"/>
                <w:szCs w:val="20"/>
              </w:rPr>
              <w:t>户数属于多种</w:t>
            </w:r>
            <w:r>
              <w:rPr>
                <w:rFonts w:ascii="仿宋_GB2312" w:eastAsia="仿宋_GB2312" w:hAnsi="仿宋_GB2312" w:cs="仿宋_GB2312"/>
                <w:color w:val="000000"/>
                <w:sz w:val="20"/>
                <w:szCs w:val="20"/>
              </w:rPr>
              <w:t>原因形成</w:t>
            </w:r>
            <w:r>
              <w:rPr>
                <w:rFonts w:ascii="仿宋_GB2312" w:eastAsia="仿宋_GB2312" w:hAnsi="仿宋_GB2312" w:cs="仿宋_GB2312" w:hint="eastAsia"/>
                <w:color w:val="000000"/>
                <w:sz w:val="20"/>
                <w:szCs w:val="20"/>
              </w:rPr>
              <w:t>的遗留问题。</w:t>
            </w:r>
            <w:r w:rsidRPr="00FF42DD">
              <w:rPr>
                <w:rFonts w:ascii="仿宋_GB2312" w:eastAsia="仿宋_GB2312" w:hAnsi="仿宋_GB2312" w:cs="仿宋_GB2312" w:hint="eastAsia"/>
                <w:color w:val="000000"/>
                <w:sz w:val="20"/>
                <w:szCs w:val="20"/>
              </w:rPr>
              <w:t>基于节约行政资源、数量</w:t>
            </w:r>
            <w:proofErr w:type="gramStart"/>
            <w:r w:rsidRPr="00FF42DD">
              <w:rPr>
                <w:rFonts w:ascii="仿宋_GB2312" w:eastAsia="仿宋_GB2312" w:hAnsi="仿宋_GB2312" w:cs="仿宋_GB2312" w:hint="eastAsia"/>
                <w:color w:val="000000"/>
                <w:sz w:val="20"/>
                <w:szCs w:val="20"/>
              </w:rPr>
              <w:t>不大因素</w:t>
            </w:r>
            <w:proofErr w:type="gramEnd"/>
            <w:r w:rsidRPr="00FF42DD">
              <w:rPr>
                <w:rFonts w:ascii="仿宋_GB2312" w:eastAsia="仿宋_GB2312" w:hAnsi="仿宋_GB2312" w:cs="仿宋_GB2312" w:hint="eastAsia"/>
                <w:color w:val="000000"/>
                <w:sz w:val="20"/>
                <w:szCs w:val="20"/>
              </w:rPr>
              <w:t>考虑</w:t>
            </w:r>
            <w:r>
              <w:rPr>
                <w:rFonts w:ascii="仿宋_GB2312" w:eastAsia="仿宋_GB2312" w:hAnsi="仿宋_GB2312" w:cs="仿宋_GB2312" w:hint="eastAsia"/>
                <w:color w:val="000000"/>
                <w:sz w:val="20"/>
                <w:szCs w:val="20"/>
              </w:rPr>
              <w:t>，</w:t>
            </w:r>
            <w:r w:rsidRPr="00FF42DD">
              <w:rPr>
                <w:rFonts w:ascii="仿宋_GB2312" w:eastAsia="仿宋_GB2312" w:hAnsi="仿宋_GB2312" w:cs="仿宋_GB2312" w:hint="eastAsia"/>
                <w:color w:val="000000"/>
                <w:sz w:val="20"/>
                <w:szCs w:val="20"/>
              </w:rPr>
              <w:t>建议停止房地产办证专项行动</w:t>
            </w:r>
          </w:p>
        </w:tc>
      </w:tr>
      <w:tr w:rsidR="00D24710" w14:paraId="7802894D" w14:textId="77777777" w:rsidTr="0053535C">
        <w:trPr>
          <w:jc w:val="center"/>
        </w:trPr>
        <w:tc>
          <w:tcPr>
            <w:tcW w:w="1058" w:type="dxa"/>
            <w:vMerge/>
            <w:tcBorders>
              <w:left w:val="single" w:sz="4" w:space="0" w:color="auto"/>
              <w:right w:val="single" w:sz="4" w:space="0" w:color="auto"/>
            </w:tcBorders>
            <w:vAlign w:val="center"/>
          </w:tcPr>
          <w:p w14:paraId="3AD90845"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331F20B3"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vAlign w:val="center"/>
          </w:tcPr>
          <w:p w14:paraId="4C364081" w14:textId="77777777" w:rsidR="00D24710" w:rsidRDefault="00D24710" w:rsidP="0053535C">
            <w:pPr>
              <w:spacing w:line="260" w:lineRule="exact"/>
              <w:jc w:val="center"/>
              <w:rPr>
                <w:rFonts w:ascii="仿宋_GB2312" w:eastAsia="仿宋_GB2312" w:hAnsi="仿宋_GB2312" w:cs="仿宋_GB2312"/>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14:paraId="585567A8" w14:textId="77777777" w:rsidR="00D24710" w:rsidRDefault="00D24710" w:rsidP="0053535C">
            <w:pPr>
              <w:widowControl/>
              <w:spacing w:line="260" w:lineRule="exact"/>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专项经费按标准</w:t>
            </w:r>
          </w:p>
        </w:tc>
        <w:tc>
          <w:tcPr>
            <w:tcW w:w="1068" w:type="dxa"/>
            <w:tcBorders>
              <w:top w:val="single" w:sz="4" w:space="0" w:color="auto"/>
              <w:left w:val="single" w:sz="4" w:space="0" w:color="auto"/>
              <w:bottom w:val="single" w:sz="4" w:space="0" w:color="auto"/>
              <w:right w:val="single" w:sz="4" w:space="0" w:color="auto"/>
            </w:tcBorders>
            <w:vAlign w:val="center"/>
          </w:tcPr>
          <w:p w14:paraId="5F768D38"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1000元/套</w:t>
            </w:r>
          </w:p>
        </w:tc>
        <w:tc>
          <w:tcPr>
            <w:tcW w:w="1216" w:type="dxa"/>
            <w:tcBorders>
              <w:top w:val="single" w:sz="4" w:space="0" w:color="auto"/>
              <w:left w:val="single" w:sz="4" w:space="0" w:color="auto"/>
              <w:bottom w:val="single" w:sz="4" w:space="0" w:color="auto"/>
              <w:right w:val="single" w:sz="4" w:space="0" w:color="auto"/>
            </w:tcBorders>
            <w:vAlign w:val="center"/>
          </w:tcPr>
          <w:p w14:paraId="62147A7A"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14" w:type="dxa"/>
            <w:tcBorders>
              <w:top w:val="single" w:sz="4" w:space="0" w:color="auto"/>
              <w:left w:val="single" w:sz="4" w:space="0" w:color="auto"/>
              <w:bottom w:val="single" w:sz="4" w:space="0" w:color="auto"/>
              <w:right w:val="single" w:sz="4" w:space="0" w:color="auto"/>
            </w:tcBorders>
            <w:vAlign w:val="center"/>
          </w:tcPr>
          <w:p w14:paraId="46AB920E"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3F0F06F7"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3E8B1071"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r>
      <w:tr w:rsidR="00D24710" w14:paraId="2735E6AC" w14:textId="77777777" w:rsidTr="0053535C">
        <w:trPr>
          <w:jc w:val="center"/>
        </w:trPr>
        <w:tc>
          <w:tcPr>
            <w:tcW w:w="1058" w:type="dxa"/>
            <w:vMerge/>
            <w:tcBorders>
              <w:left w:val="single" w:sz="4" w:space="0" w:color="auto"/>
              <w:right w:val="single" w:sz="4" w:space="0" w:color="auto"/>
            </w:tcBorders>
            <w:vAlign w:val="center"/>
          </w:tcPr>
          <w:p w14:paraId="145A4F67"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67A4E2C7"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vAlign w:val="center"/>
          </w:tcPr>
          <w:p w14:paraId="3B9CED9F" w14:textId="77777777" w:rsidR="00D24710" w:rsidRDefault="00D24710" w:rsidP="0053535C">
            <w:pPr>
              <w:spacing w:line="260" w:lineRule="exact"/>
              <w:jc w:val="center"/>
              <w:rPr>
                <w:rFonts w:ascii="仿宋_GB2312" w:eastAsia="仿宋_GB2312" w:hAnsi="仿宋_GB2312" w:cs="仿宋_GB2312"/>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14:paraId="0E54B3DF" w14:textId="77777777" w:rsidR="00D24710" w:rsidRDefault="00D24710" w:rsidP="0053535C">
            <w:pPr>
              <w:widowControl/>
              <w:spacing w:line="260" w:lineRule="exact"/>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摸清办证底数</w:t>
            </w:r>
          </w:p>
        </w:tc>
        <w:tc>
          <w:tcPr>
            <w:tcW w:w="1068" w:type="dxa"/>
            <w:tcBorders>
              <w:top w:val="single" w:sz="4" w:space="0" w:color="auto"/>
              <w:left w:val="single" w:sz="4" w:space="0" w:color="auto"/>
              <w:bottom w:val="single" w:sz="4" w:space="0" w:color="auto"/>
              <w:right w:val="single" w:sz="4" w:space="0" w:color="auto"/>
            </w:tcBorders>
            <w:vAlign w:val="center"/>
          </w:tcPr>
          <w:p w14:paraId="628533F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2B26C520"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14" w:type="dxa"/>
            <w:tcBorders>
              <w:top w:val="single" w:sz="4" w:space="0" w:color="auto"/>
              <w:left w:val="single" w:sz="4" w:space="0" w:color="auto"/>
              <w:bottom w:val="single" w:sz="4" w:space="0" w:color="auto"/>
              <w:right w:val="single" w:sz="4" w:space="0" w:color="auto"/>
            </w:tcBorders>
            <w:vAlign w:val="center"/>
          </w:tcPr>
          <w:p w14:paraId="096519E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06A0162E"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467F92F7"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30185E63" w14:textId="77777777" w:rsidTr="0053535C">
        <w:trPr>
          <w:jc w:val="center"/>
        </w:trPr>
        <w:tc>
          <w:tcPr>
            <w:tcW w:w="1058" w:type="dxa"/>
            <w:vMerge/>
            <w:tcBorders>
              <w:left w:val="single" w:sz="4" w:space="0" w:color="auto"/>
              <w:right w:val="single" w:sz="4" w:space="0" w:color="auto"/>
            </w:tcBorders>
            <w:vAlign w:val="center"/>
          </w:tcPr>
          <w:p w14:paraId="59DF1F43"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5FBF31D1"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vMerge w:val="restart"/>
            <w:tcBorders>
              <w:top w:val="single" w:sz="4" w:space="0" w:color="auto"/>
              <w:left w:val="single" w:sz="4" w:space="0" w:color="auto"/>
              <w:right w:val="single" w:sz="4" w:space="0" w:color="auto"/>
            </w:tcBorders>
            <w:vAlign w:val="center"/>
          </w:tcPr>
          <w:p w14:paraId="44E70F05"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344" w:type="dxa"/>
            <w:tcBorders>
              <w:top w:val="single" w:sz="4" w:space="0" w:color="auto"/>
              <w:left w:val="single" w:sz="4" w:space="0" w:color="auto"/>
              <w:bottom w:val="single" w:sz="4" w:space="0" w:color="auto"/>
              <w:right w:val="single" w:sz="4" w:space="0" w:color="auto"/>
            </w:tcBorders>
            <w:vAlign w:val="center"/>
          </w:tcPr>
          <w:p w14:paraId="6F380276" w14:textId="77777777" w:rsidR="00D24710" w:rsidRDefault="00D24710" w:rsidP="0053535C">
            <w:pPr>
              <w:widowControl/>
              <w:spacing w:line="260" w:lineRule="exact"/>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办证效率</w:t>
            </w:r>
          </w:p>
        </w:tc>
        <w:tc>
          <w:tcPr>
            <w:tcW w:w="1068" w:type="dxa"/>
            <w:tcBorders>
              <w:top w:val="single" w:sz="4" w:space="0" w:color="auto"/>
              <w:left w:val="single" w:sz="4" w:space="0" w:color="auto"/>
              <w:bottom w:val="single" w:sz="4" w:space="0" w:color="auto"/>
              <w:right w:val="single" w:sz="4" w:space="0" w:color="auto"/>
            </w:tcBorders>
            <w:vAlign w:val="center"/>
          </w:tcPr>
          <w:p w14:paraId="52C36C4A" w14:textId="77777777" w:rsidR="00D24710" w:rsidRDefault="00D24710" w:rsidP="0053535C">
            <w:pPr>
              <w:widowControl/>
              <w:spacing w:line="260" w:lineRule="exact"/>
              <w:jc w:val="center"/>
              <w:rPr>
                <w:rFonts w:ascii="仿宋_GB2312" w:eastAsia="仿宋_GB2312" w:hAnsi="宋体" w:cs="仿宋_GB2312"/>
                <w:color w:val="000000"/>
                <w:sz w:val="20"/>
                <w:szCs w:val="20"/>
                <w:lang w:bidi="ar"/>
              </w:rPr>
            </w:pPr>
            <w:r>
              <w:rPr>
                <w:rFonts w:ascii="仿宋_GB2312" w:eastAsia="仿宋_GB2312" w:hAnsi="仿宋_GB2312" w:cs="仿宋_GB2312" w:hint="eastAsia"/>
                <w:color w:val="000000"/>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2E1E43CD" w14:textId="77777777" w:rsidR="00D24710" w:rsidRDefault="00D24710" w:rsidP="0053535C">
            <w:pPr>
              <w:widowControl/>
              <w:spacing w:line="260" w:lineRule="exact"/>
              <w:jc w:val="left"/>
              <w:rPr>
                <w:rFonts w:ascii="仿宋_GB2312" w:eastAsia="仿宋_GB2312" w:hAnsi="宋体" w:cs="仿宋_GB2312"/>
                <w:color w:val="000000"/>
                <w:sz w:val="20"/>
                <w:szCs w:val="20"/>
                <w:lang w:bidi="ar"/>
              </w:rPr>
            </w:pPr>
            <w:r>
              <w:rPr>
                <w:rFonts w:ascii="仿宋_GB2312" w:eastAsia="仿宋_GB2312" w:hAnsi="仿宋_GB2312" w:cs="仿宋_GB2312" w:hint="eastAsia"/>
                <w:color w:val="000000"/>
                <w:sz w:val="20"/>
                <w:szCs w:val="20"/>
              </w:rPr>
              <w:t>已完成</w:t>
            </w:r>
          </w:p>
        </w:tc>
        <w:tc>
          <w:tcPr>
            <w:tcW w:w="814" w:type="dxa"/>
            <w:tcBorders>
              <w:top w:val="single" w:sz="4" w:space="0" w:color="auto"/>
              <w:left w:val="single" w:sz="4" w:space="0" w:color="auto"/>
              <w:bottom w:val="single" w:sz="4" w:space="0" w:color="auto"/>
              <w:right w:val="single" w:sz="4" w:space="0" w:color="auto"/>
            </w:tcBorders>
            <w:vAlign w:val="center"/>
          </w:tcPr>
          <w:p w14:paraId="5A1BDF0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7A48A573"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500021AA"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r>
      <w:tr w:rsidR="00D24710" w14:paraId="11DD8DB9" w14:textId="77777777" w:rsidTr="0053535C">
        <w:trPr>
          <w:jc w:val="center"/>
        </w:trPr>
        <w:tc>
          <w:tcPr>
            <w:tcW w:w="1058" w:type="dxa"/>
            <w:vMerge/>
            <w:tcBorders>
              <w:left w:val="single" w:sz="4" w:space="0" w:color="auto"/>
              <w:right w:val="single" w:sz="4" w:space="0" w:color="auto"/>
            </w:tcBorders>
            <w:vAlign w:val="center"/>
          </w:tcPr>
          <w:p w14:paraId="31E9B776"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6E2FE5E2"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vMerge/>
            <w:tcBorders>
              <w:left w:val="single" w:sz="4" w:space="0" w:color="auto"/>
              <w:right w:val="single" w:sz="4" w:space="0" w:color="auto"/>
            </w:tcBorders>
            <w:vAlign w:val="center"/>
          </w:tcPr>
          <w:p w14:paraId="3E92FBE6"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14:paraId="27D67681" w14:textId="77777777" w:rsidR="00D24710" w:rsidRDefault="00D24710" w:rsidP="0053535C">
            <w:pPr>
              <w:widowControl/>
              <w:spacing w:line="260" w:lineRule="exact"/>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资金分配合理性</w:t>
            </w:r>
          </w:p>
        </w:tc>
        <w:tc>
          <w:tcPr>
            <w:tcW w:w="1068" w:type="dxa"/>
            <w:tcBorders>
              <w:top w:val="single" w:sz="4" w:space="0" w:color="auto"/>
              <w:left w:val="single" w:sz="4" w:space="0" w:color="auto"/>
              <w:bottom w:val="single" w:sz="4" w:space="0" w:color="auto"/>
              <w:right w:val="single" w:sz="4" w:space="0" w:color="auto"/>
            </w:tcBorders>
            <w:vAlign w:val="center"/>
          </w:tcPr>
          <w:p w14:paraId="698D056F" w14:textId="77777777" w:rsidR="00D24710" w:rsidRDefault="00D24710" w:rsidP="0053535C">
            <w:pPr>
              <w:widowControl/>
              <w:spacing w:line="260" w:lineRule="exact"/>
              <w:jc w:val="center"/>
              <w:rPr>
                <w:rFonts w:ascii="仿宋_GB2312" w:eastAsia="仿宋_GB2312" w:hAnsi="宋体" w:cs="仿宋_GB2312"/>
                <w:color w:val="000000"/>
                <w:sz w:val="20"/>
                <w:szCs w:val="20"/>
                <w:lang w:bidi="ar"/>
              </w:rPr>
            </w:pPr>
            <w:r>
              <w:rPr>
                <w:rFonts w:ascii="仿宋_GB2312" w:eastAsia="仿宋_GB2312" w:hAnsi="仿宋_GB2312" w:cs="仿宋_GB2312" w:hint="eastAsia"/>
                <w:color w:val="000000"/>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6216539B" w14:textId="77777777" w:rsidR="00D24710" w:rsidRDefault="00D24710" w:rsidP="0053535C">
            <w:pPr>
              <w:widowControl/>
              <w:spacing w:line="260" w:lineRule="exact"/>
              <w:jc w:val="left"/>
              <w:rPr>
                <w:rFonts w:ascii="仿宋_GB2312" w:eastAsia="仿宋_GB2312" w:hAnsi="宋体" w:cs="仿宋_GB2312"/>
                <w:color w:val="000000"/>
                <w:sz w:val="20"/>
                <w:szCs w:val="20"/>
                <w:lang w:bidi="ar"/>
              </w:rPr>
            </w:pPr>
            <w:r>
              <w:rPr>
                <w:rFonts w:ascii="仿宋_GB2312" w:eastAsia="仿宋_GB2312" w:hAnsi="仿宋_GB2312" w:cs="仿宋_GB2312" w:hint="eastAsia"/>
                <w:color w:val="000000"/>
                <w:sz w:val="20"/>
                <w:szCs w:val="20"/>
              </w:rPr>
              <w:t>已完成</w:t>
            </w:r>
          </w:p>
        </w:tc>
        <w:tc>
          <w:tcPr>
            <w:tcW w:w="814" w:type="dxa"/>
            <w:tcBorders>
              <w:top w:val="single" w:sz="4" w:space="0" w:color="auto"/>
              <w:left w:val="single" w:sz="4" w:space="0" w:color="auto"/>
              <w:bottom w:val="single" w:sz="4" w:space="0" w:color="auto"/>
              <w:right w:val="single" w:sz="4" w:space="0" w:color="auto"/>
            </w:tcBorders>
            <w:vAlign w:val="center"/>
          </w:tcPr>
          <w:p w14:paraId="0D924AD0"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404CB773"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5A267EDB"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r>
      <w:tr w:rsidR="00D24710" w14:paraId="4E8BB8EB" w14:textId="77777777" w:rsidTr="0053535C">
        <w:trPr>
          <w:trHeight w:val="568"/>
          <w:jc w:val="center"/>
        </w:trPr>
        <w:tc>
          <w:tcPr>
            <w:tcW w:w="1058" w:type="dxa"/>
            <w:vMerge/>
            <w:tcBorders>
              <w:left w:val="single" w:sz="4" w:space="0" w:color="auto"/>
              <w:right w:val="single" w:sz="4" w:space="0" w:color="auto"/>
            </w:tcBorders>
            <w:vAlign w:val="center"/>
          </w:tcPr>
          <w:p w14:paraId="7B92B6D7"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467D3EA1"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vMerge/>
            <w:tcBorders>
              <w:left w:val="single" w:sz="4" w:space="0" w:color="auto"/>
              <w:bottom w:val="single" w:sz="4" w:space="0" w:color="auto"/>
              <w:right w:val="single" w:sz="4" w:space="0" w:color="auto"/>
            </w:tcBorders>
            <w:vAlign w:val="center"/>
          </w:tcPr>
          <w:p w14:paraId="4DD88F50"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14:paraId="07FECE53" w14:textId="77777777" w:rsidR="00D24710" w:rsidRDefault="00D24710" w:rsidP="0053535C">
            <w:pPr>
              <w:widowControl/>
              <w:spacing w:line="260" w:lineRule="exact"/>
              <w:jc w:val="lef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资金使用合</w:t>
            </w:r>
            <w:proofErr w:type="gramStart"/>
            <w:r>
              <w:rPr>
                <w:rFonts w:ascii="仿宋_GB2312" w:eastAsia="仿宋_GB2312" w:hAnsi="仿宋_GB2312" w:cs="仿宋_GB2312" w:hint="eastAsia"/>
                <w:color w:val="000000"/>
                <w:sz w:val="20"/>
                <w:szCs w:val="20"/>
              </w:rPr>
              <w:t>规</w:t>
            </w:r>
            <w:proofErr w:type="gramEnd"/>
            <w:r>
              <w:rPr>
                <w:rFonts w:ascii="仿宋_GB2312" w:eastAsia="仿宋_GB2312" w:hAnsi="仿宋_GB2312" w:cs="仿宋_GB2312" w:hint="eastAsia"/>
                <w:color w:val="000000"/>
                <w:sz w:val="20"/>
                <w:szCs w:val="20"/>
              </w:rPr>
              <w:t>性</w:t>
            </w:r>
          </w:p>
        </w:tc>
        <w:tc>
          <w:tcPr>
            <w:tcW w:w="1068" w:type="dxa"/>
            <w:tcBorders>
              <w:top w:val="single" w:sz="4" w:space="0" w:color="auto"/>
              <w:left w:val="single" w:sz="4" w:space="0" w:color="auto"/>
              <w:bottom w:val="single" w:sz="4" w:space="0" w:color="auto"/>
              <w:right w:val="single" w:sz="4" w:space="0" w:color="auto"/>
            </w:tcBorders>
            <w:vAlign w:val="center"/>
          </w:tcPr>
          <w:p w14:paraId="553E0CF5"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488405CB"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14" w:type="dxa"/>
            <w:tcBorders>
              <w:top w:val="single" w:sz="4" w:space="0" w:color="auto"/>
              <w:left w:val="single" w:sz="4" w:space="0" w:color="auto"/>
              <w:bottom w:val="single" w:sz="4" w:space="0" w:color="auto"/>
              <w:right w:val="single" w:sz="4" w:space="0" w:color="auto"/>
            </w:tcBorders>
            <w:vAlign w:val="center"/>
          </w:tcPr>
          <w:p w14:paraId="0BDF2114"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0A04B810"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7215EF56"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18066F35" w14:textId="77777777" w:rsidTr="0053535C">
        <w:trPr>
          <w:jc w:val="center"/>
        </w:trPr>
        <w:tc>
          <w:tcPr>
            <w:tcW w:w="1058" w:type="dxa"/>
            <w:vMerge/>
            <w:tcBorders>
              <w:left w:val="single" w:sz="4" w:space="0" w:color="auto"/>
              <w:right w:val="single" w:sz="4" w:space="0" w:color="auto"/>
            </w:tcBorders>
            <w:vAlign w:val="center"/>
          </w:tcPr>
          <w:p w14:paraId="6141E0D1"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375A9CC6"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2A3D3285"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344" w:type="dxa"/>
            <w:tcBorders>
              <w:top w:val="single" w:sz="4" w:space="0" w:color="auto"/>
              <w:left w:val="single" w:sz="4" w:space="0" w:color="auto"/>
              <w:bottom w:val="single" w:sz="4" w:space="0" w:color="auto"/>
              <w:right w:val="single" w:sz="4" w:space="0" w:color="auto"/>
            </w:tcBorders>
            <w:vAlign w:val="center"/>
          </w:tcPr>
          <w:p w14:paraId="08C7E2F3" w14:textId="77777777" w:rsidR="00D24710" w:rsidRDefault="00D24710" w:rsidP="0053535C">
            <w:pPr>
              <w:widowControl/>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按照计划时间完成</w:t>
            </w:r>
          </w:p>
        </w:tc>
        <w:tc>
          <w:tcPr>
            <w:tcW w:w="1068" w:type="dxa"/>
            <w:tcBorders>
              <w:top w:val="single" w:sz="4" w:space="0" w:color="auto"/>
              <w:left w:val="single" w:sz="4" w:space="0" w:color="auto"/>
              <w:bottom w:val="single" w:sz="4" w:space="0" w:color="auto"/>
              <w:right w:val="single" w:sz="4" w:space="0" w:color="auto"/>
            </w:tcBorders>
            <w:vAlign w:val="center"/>
          </w:tcPr>
          <w:p w14:paraId="775A3474"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2024年</w:t>
            </w:r>
          </w:p>
        </w:tc>
        <w:tc>
          <w:tcPr>
            <w:tcW w:w="1216" w:type="dxa"/>
            <w:tcBorders>
              <w:top w:val="single" w:sz="4" w:space="0" w:color="auto"/>
              <w:left w:val="single" w:sz="4" w:space="0" w:color="auto"/>
              <w:bottom w:val="single" w:sz="4" w:space="0" w:color="auto"/>
              <w:right w:val="single" w:sz="4" w:space="0" w:color="auto"/>
            </w:tcBorders>
            <w:vAlign w:val="center"/>
          </w:tcPr>
          <w:p w14:paraId="5A9B3E7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2024年</w:t>
            </w:r>
          </w:p>
        </w:tc>
        <w:tc>
          <w:tcPr>
            <w:tcW w:w="814" w:type="dxa"/>
            <w:tcBorders>
              <w:top w:val="single" w:sz="4" w:space="0" w:color="auto"/>
              <w:left w:val="single" w:sz="4" w:space="0" w:color="auto"/>
              <w:bottom w:val="single" w:sz="4" w:space="0" w:color="auto"/>
              <w:right w:val="single" w:sz="4" w:space="0" w:color="auto"/>
            </w:tcBorders>
            <w:vAlign w:val="center"/>
          </w:tcPr>
          <w:p w14:paraId="10B89D5F"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157A1131"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06F249D0"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236BAF36" w14:textId="77777777" w:rsidTr="0053535C">
        <w:trPr>
          <w:jc w:val="center"/>
        </w:trPr>
        <w:tc>
          <w:tcPr>
            <w:tcW w:w="1058" w:type="dxa"/>
            <w:vMerge/>
            <w:tcBorders>
              <w:left w:val="single" w:sz="4" w:space="0" w:color="auto"/>
              <w:right w:val="single" w:sz="4" w:space="0" w:color="auto"/>
            </w:tcBorders>
            <w:vAlign w:val="center"/>
          </w:tcPr>
          <w:p w14:paraId="49E4F209"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6F261C6F"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241DAE0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344" w:type="dxa"/>
            <w:tcBorders>
              <w:top w:val="single" w:sz="4" w:space="0" w:color="auto"/>
              <w:left w:val="single" w:sz="4" w:space="0" w:color="auto"/>
              <w:bottom w:val="single" w:sz="4" w:space="0" w:color="auto"/>
              <w:right w:val="single" w:sz="4" w:space="0" w:color="auto"/>
            </w:tcBorders>
            <w:vAlign w:val="center"/>
          </w:tcPr>
          <w:p w14:paraId="21A95AEB" w14:textId="77777777" w:rsidR="00D24710" w:rsidRDefault="00D24710" w:rsidP="0053535C">
            <w:pPr>
              <w:widowControl/>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项目成本控制在预算范围内</w:t>
            </w:r>
          </w:p>
        </w:tc>
        <w:tc>
          <w:tcPr>
            <w:tcW w:w="1068" w:type="dxa"/>
            <w:tcBorders>
              <w:top w:val="single" w:sz="4" w:space="0" w:color="auto"/>
              <w:left w:val="single" w:sz="4" w:space="0" w:color="auto"/>
              <w:bottom w:val="single" w:sz="4" w:space="0" w:color="auto"/>
              <w:right w:val="single" w:sz="4" w:space="0" w:color="auto"/>
            </w:tcBorders>
            <w:vAlign w:val="center"/>
          </w:tcPr>
          <w:p w14:paraId="7911BB31"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216" w:type="dxa"/>
            <w:tcBorders>
              <w:top w:val="single" w:sz="4" w:space="0" w:color="auto"/>
              <w:left w:val="single" w:sz="4" w:space="0" w:color="auto"/>
              <w:bottom w:val="single" w:sz="4" w:space="0" w:color="auto"/>
              <w:right w:val="single" w:sz="4" w:space="0" w:color="auto"/>
            </w:tcBorders>
            <w:vAlign w:val="center"/>
          </w:tcPr>
          <w:p w14:paraId="38472E21"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14" w:type="dxa"/>
            <w:tcBorders>
              <w:top w:val="single" w:sz="4" w:space="0" w:color="auto"/>
              <w:left w:val="single" w:sz="4" w:space="0" w:color="auto"/>
              <w:bottom w:val="single" w:sz="4" w:space="0" w:color="auto"/>
              <w:right w:val="single" w:sz="4" w:space="0" w:color="auto"/>
            </w:tcBorders>
            <w:vAlign w:val="center"/>
          </w:tcPr>
          <w:p w14:paraId="1DC16E0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61" w:type="dxa"/>
            <w:tcBorders>
              <w:top w:val="single" w:sz="4" w:space="0" w:color="auto"/>
              <w:left w:val="single" w:sz="4" w:space="0" w:color="auto"/>
              <w:bottom w:val="single" w:sz="4" w:space="0" w:color="auto"/>
              <w:right w:val="single" w:sz="4" w:space="0" w:color="auto"/>
            </w:tcBorders>
            <w:vAlign w:val="center"/>
          </w:tcPr>
          <w:p w14:paraId="20A795D5"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372" w:type="dxa"/>
            <w:tcBorders>
              <w:top w:val="single" w:sz="4" w:space="0" w:color="auto"/>
              <w:left w:val="single" w:sz="4" w:space="0" w:color="auto"/>
              <w:bottom w:val="single" w:sz="4" w:space="0" w:color="auto"/>
              <w:right w:val="single" w:sz="4" w:space="0" w:color="auto"/>
            </w:tcBorders>
            <w:vAlign w:val="center"/>
          </w:tcPr>
          <w:p w14:paraId="582BCD31"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tc>
      </w:tr>
      <w:tr w:rsidR="00D24710" w14:paraId="677CE937" w14:textId="77777777" w:rsidTr="0053535C">
        <w:trPr>
          <w:jc w:val="center"/>
        </w:trPr>
        <w:tc>
          <w:tcPr>
            <w:tcW w:w="1058" w:type="dxa"/>
            <w:vMerge/>
            <w:tcBorders>
              <w:left w:val="single" w:sz="4" w:space="0" w:color="auto"/>
              <w:right w:val="single" w:sz="4" w:space="0" w:color="auto"/>
            </w:tcBorders>
            <w:vAlign w:val="center"/>
          </w:tcPr>
          <w:p w14:paraId="752D7F5C"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6D7BD6F8"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14:paraId="42F2CD52"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p w14:paraId="77BBABE9"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14:paraId="75BF03C6"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14:paraId="3C00C621"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w:t>
            </w:r>
            <w:proofErr w:type="gramStart"/>
            <w:r>
              <w:rPr>
                <w:rFonts w:ascii="仿宋_GB2312" w:eastAsia="仿宋_GB2312" w:hAnsi="仿宋_GB2312" w:cs="仿宋_GB2312" w:hint="eastAsia"/>
                <w:color w:val="000000"/>
                <w:sz w:val="20"/>
                <w:szCs w:val="20"/>
              </w:rPr>
              <w:t>效</w:t>
            </w:r>
            <w:proofErr w:type="gramEnd"/>
          </w:p>
          <w:p w14:paraId="04BDBBEE"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344" w:type="dxa"/>
            <w:tcBorders>
              <w:top w:val="single" w:sz="4" w:space="0" w:color="auto"/>
              <w:left w:val="single" w:sz="4" w:space="0" w:color="auto"/>
              <w:bottom w:val="single" w:sz="4" w:space="0" w:color="auto"/>
              <w:right w:val="single" w:sz="4" w:space="0" w:color="auto"/>
            </w:tcBorders>
            <w:vAlign w:val="center"/>
          </w:tcPr>
          <w:p w14:paraId="7DDF4810" w14:textId="77777777" w:rsidR="00D24710" w:rsidRDefault="00D24710" w:rsidP="0053535C">
            <w:pPr>
              <w:widowControl/>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防范金融风险，创造良好经济环境</w:t>
            </w:r>
          </w:p>
        </w:tc>
        <w:tc>
          <w:tcPr>
            <w:tcW w:w="1068" w:type="dxa"/>
            <w:tcBorders>
              <w:top w:val="single" w:sz="4" w:space="0" w:color="auto"/>
              <w:left w:val="single" w:sz="4" w:space="0" w:color="auto"/>
              <w:bottom w:val="single" w:sz="4" w:space="0" w:color="auto"/>
              <w:right w:val="single" w:sz="4" w:space="0" w:color="auto"/>
            </w:tcBorders>
            <w:vAlign w:val="center"/>
          </w:tcPr>
          <w:p w14:paraId="79DC8D43"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降低金融风险</w:t>
            </w:r>
          </w:p>
        </w:tc>
        <w:tc>
          <w:tcPr>
            <w:tcW w:w="1216" w:type="dxa"/>
            <w:tcBorders>
              <w:top w:val="single" w:sz="4" w:space="0" w:color="auto"/>
              <w:left w:val="single" w:sz="4" w:space="0" w:color="auto"/>
              <w:bottom w:val="single" w:sz="4" w:space="0" w:color="auto"/>
              <w:right w:val="single" w:sz="4" w:space="0" w:color="auto"/>
            </w:tcBorders>
            <w:vAlign w:val="center"/>
          </w:tcPr>
          <w:p w14:paraId="1D24427F"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有所降低</w:t>
            </w:r>
          </w:p>
        </w:tc>
        <w:tc>
          <w:tcPr>
            <w:tcW w:w="814" w:type="dxa"/>
            <w:tcBorders>
              <w:top w:val="single" w:sz="4" w:space="0" w:color="auto"/>
              <w:left w:val="single" w:sz="4" w:space="0" w:color="auto"/>
              <w:bottom w:val="single" w:sz="4" w:space="0" w:color="auto"/>
              <w:right w:val="single" w:sz="4" w:space="0" w:color="auto"/>
            </w:tcBorders>
            <w:vAlign w:val="center"/>
          </w:tcPr>
          <w:p w14:paraId="1317BF0E"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61" w:type="dxa"/>
            <w:tcBorders>
              <w:top w:val="single" w:sz="4" w:space="0" w:color="auto"/>
              <w:left w:val="single" w:sz="4" w:space="0" w:color="auto"/>
              <w:bottom w:val="single" w:sz="4" w:space="0" w:color="auto"/>
              <w:right w:val="single" w:sz="4" w:space="0" w:color="auto"/>
            </w:tcBorders>
            <w:vAlign w:val="center"/>
          </w:tcPr>
          <w:p w14:paraId="1109496A"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372" w:type="dxa"/>
            <w:tcBorders>
              <w:top w:val="single" w:sz="4" w:space="0" w:color="auto"/>
              <w:left w:val="single" w:sz="4" w:space="0" w:color="auto"/>
              <w:bottom w:val="single" w:sz="4" w:space="0" w:color="auto"/>
              <w:right w:val="single" w:sz="4" w:space="0" w:color="auto"/>
            </w:tcBorders>
            <w:vAlign w:val="center"/>
          </w:tcPr>
          <w:p w14:paraId="2C522C5E"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6330E52D" w14:textId="77777777" w:rsidTr="0053535C">
        <w:trPr>
          <w:jc w:val="center"/>
        </w:trPr>
        <w:tc>
          <w:tcPr>
            <w:tcW w:w="1058" w:type="dxa"/>
            <w:vMerge/>
            <w:tcBorders>
              <w:left w:val="single" w:sz="4" w:space="0" w:color="auto"/>
              <w:right w:val="single" w:sz="4" w:space="0" w:color="auto"/>
            </w:tcBorders>
            <w:vAlign w:val="center"/>
          </w:tcPr>
          <w:p w14:paraId="3E0BBF5E"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63B95190"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vMerge w:val="restart"/>
            <w:tcBorders>
              <w:top w:val="single" w:sz="4" w:space="0" w:color="auto"/>
              <w:left w:val="single" w:sz="4" w:space="0" w:color="auto"/>
              <w:right w:val="single" w:sz="4" w:space="0" w:color="auto"/>
            </w:tcBorders>
            <w:vAlign w:val="center"/>
          </w:tcPr>
          <w:p w14:paraId="577AE80A"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w:t>
            </w:r>
            <w:proofErr w:type="gramStart"/>
            <w:r>
              <w:rPr>
                <w:rFonts w:ascii="仿宋_GB2312" w:eastAsia="仿宋_GB2312" w:hAnsi="仿宋_GB2312" w:cs="仿宋_GB2312" w:hint="eastAsia"/>
                <w:color w:val="000000"/>
                <w:sz w:val="20"/>
                <w:szCs w:val="20"/>
              </w:rPr>
              <w:t>效</w:t>
            </w:r>
            <w:proofErr w:type="gramEnd"/>
          </w:p>
          <w:p w14:paraId="2124A29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roofErr w:type="gramStart"/>
            <w:r>
              <w:rPr>
                <w:rFonts w:ascii="仿宋_GB2312" w:eastAsia="仿宋_GB2312" w:hAnsi="仿宋_GB2312" w:cs="仿宋_GB2312" w:hint="eastAsia"/>
                <w:color w:val="000000"/>
                <w:sz w:val="20"/>
                <w:szCs w:val="20"/>
              </w:rPr>
              <w:t>益指标</w:t>
            </w:r>
            <w:proofErr w:type="gramEnd"/>
          </w:p>
        </w:tc>
        <w:tc>
          <w:tcPr>
            <w:tcW w:w="1344" w:type="dxa"/>
            <w:tcBorders>
              <w:top w:val="single" w:sz="4" w:space="0" w:color="auto"/>
              <w:left w:val="single" w:sz="4" w:space="0" w:color="auto"/>
              <w:bottom w:val="single" w:sz="4" w:space="0" w:color="auto"/>
              <w:right w:val="single" w:sz="4" w:space="0" w:color="auto"/>
            </w:tcBorders>
            <w:vAlign w:val="center"/>
          </w:tcPr>
          <w:p w14:paraId="157E8EB1" w14:textId="77777777" w:rsidR="00D24710" w:rsidRDefault="00D24710" w:rsidP="0053535C">
            <w:pPr>
              <w:widowControl/>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加强宣传报道，引导购房人及时办</w:t>
            </w:r>
            <w:r>
              <w:rPr>
                <w:rFonts w:ascii="仿宋_GB2312" w:eastAsia="仿宋_GB2312" w:hAnsi="仿宋_GB2312" w:cs="仿宋_GB2312" w:hint="eastAsia"/>
                <w:color w:val="000000"/>
                <w:sz w:val="20"/>
                <w:szCs w:val="20"/>
              </w:rPr>
              <w:lastRenderedPageBreak/>
              <w:t>理不动产权证、分户证</w:t>
            </w:r>
          </w:p>
        </w:tc>
        <w:tc>
          <w:tcPr>
            <w:tcW w:w="1068" w:type="dxa"/>
            <w:tcBorders>
              <w:top w:val="single" w:sz="4" w:space="0" w:color="auto"/>
              <w:left w:val="single" w:sz="4" w:space="0" w:color="auto"/>
              <w:bottom w:val="single" w:sz="4" w:space="0" w:color="auto"/>
              <w:right w:val="single" w:sz="4" w:space="0" w:color="auto"/>
            </w:tcBorders>
            <w:vAlign w:val="center"/>
          </w:tcPr>
          <w:p w14:paraId="3334DE3D"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有明显效果</w:t>
            </w:r>
          </w:p>
        </w:tc>
        <w:tc>
          <w:tcPr>
            <w:tcW w:w="1216" w:type="dxa"/>
            <w:tcBorders>
              <w:top w:val="single" w:sz="4" w:space="0" w:color="auto"/>
              <w:left w:val="single" w:sz="4" w:space="0" w:color="auto"/>
              <w:bottom w:val="single" w:sz="4" w:space="0" w:color="auto"/>
              <w:right w:val="single" w:sz="4" w:space="0" w:color="auto"/>
            </w:tcBorders>
            <w:vAlign w:val="center"/>
          </w:tcPr>
          <w:p w14:paraId="0E3E9E0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有明显效果</w:t>
            </w:r>
          </w:p>
        </w:tc>
        <w:tc>
          <w:tcPr>
            <w:tcW w:w="814" w:type="dxa"/>
            <w:tcBorders>
              <w:top w:val="single" w:sz="4" w:space="0" w:color="auto"/>
              <w:left w:val="single" w:sz="4" w:space="0" w:color="auto"/>
              <w:bottom w:val="single" w:sz="4" w:space="0" w:color="auto"/>
              <w:right w:val="single" w:sz="4" w:space="0" w:color="auto"/>
            </w:tcBorders>
            <w:vAlign w:val="center"/>
          </w:tcPr>
          <w:p w14:paraId="13407005"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2A16399F"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31AD5F61"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r>
      <w:tr w:rsidR="00D24710" w14:paraId="078E78F8" w14:textId="77777777" w:rsidTr="0053535C">
        <w:trPr>
          <w:jc w:val="center"/>
        </w:trPr>
        <w:tc>
          <w:tcPr>
            <w:tcW w:w="1058" w:type="dxa"/>
            <w:vMerge/>
            <w:tcBorders>
              <w:left w:val="single" w:sz="4" w:space="0" w:color="auto"/>
              <w:right w:val="single" w:sz="4" w:space="0" w:color="auto"/>
            </w:tcBorders>
            <w:vAlign w:val="center"/>
          </w:tcPr>
          <w:p w14:paraId="65D4E07D"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32B4FFE4"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vMerge/>
            <w:tcBorders>
              <w:left w:val="single" w:sz="4" w:space="0" w:color="auto"/>
              <w:bottom w:val="single" w:sz="4" w:space="0" w:color="auto"/>
              <w:right w:val="single" w:sz="4" w:space="0" w:color="auto"/>
            </w:tcBorders>
            <w:vAlign w:val="center"/>
          </w:tcPr>
          <w:p w14:paraId="64C9978E"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14:paraId="24C8189A" w14:textId="77777777" w:rsidR="00D24710" w:rsidRDefault="00D24710" w:rsidP="0053535C">
            <w:pPr>
              <w:widowControl/>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保障购房人权益</w:t>
            </w:r>
          </w:p>
        </w:tc>
        <w:tc>
          <w:tcPr>
            <w:tcW w:w="1068" w:type="dxa"/>
            <w:tcBorders>
              <w:top w:val="single" w:sz="4" w:space="0" w:color="auto"/>
              <w:left w:val="single" w:sz="4" w:space="0" w:color="auto"/>
              <w:bottom w:val="single" w:sz="4" w:space="0" w:color="auto"/>
              <w:right w:val="single" w:sz="4" w:space="0" w:color="auto"/>
            </w:tcBorders>
            <w:vAlign w:val="center"/>
          </w:tcPr>
          <w:p w14:paraId="2B6482A5"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有所保障</w:t>
            </w:r>
          </w:p>
        </w:tc>
        <w:tc>
          <w:tcPr>
            <w:tcW w:w="1216" w:type="dxa"/>
            <w:tcBorders>
              <w:top w:val="single" w:sz="4" w:space="0" w:color="auto"/>
              <w:left w:val="single" w:sz="4" w:space="0" w:color="auto"/>
              <w:bottom w:val="single" w:sz="4" w:space="0" w:color="auto"/>
              <w:right w:val="single" w:sz="4" w:space="0" w:color="auto"/>
            </w:tcBorders>
            <w:vAlign w:val="center"/>
          </w:tcPr>
          <w:p w14:paraId="49F4BE58"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有所保障</w:t>
            </w:r>
          </w:p>
        </w:tc>
        <w:tc>
          <w:tcPr>
            <w:tcW w:w="814" w:type="dxa"/>
            <w:tcBorders>
              <w:top w:val="single" w:sz="4" w:space="0" w:color="auto"/>
              <w:left w:val="single" w:sz="4" w:space="0" w:color="auto"/>
              <w:bottom w:val="single" w:sz="4" w:space="0" w:color="auto"/>
              <w:right w:val="single" w:sz="4" w:space="0" w:color="auto"/>
            </w:tcBorders>
            <w:vAlign w:val="center"/>
          </w:tcPr>
          <w:p w14:paraId="4D371DF8"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5685916D"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5D28F6BC"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5FFB3F28" w14:textId="77777777" w:rsidTr="0053535C">
        <w:trPr>
          <w:jc w:val="center"/>
        </w:trPr>
        <w:tc>
          <w:tcPr>
            <w:tcW w:w="1058" w:type="dxa"/>
            <w:vMerge/>
            <w:tcBorders>
              <w:left w:val="single" w:sz="4" w:space="0" w:color="auto"/>
              <w:right w:val="single" w:sz="4" w:space="0" w:color="auto"/>
            </w:tcBorders>
            <w:vAlign w:val="center"/>
          </w:tcPr>
          <w:p w14:paraId="7FC3806E"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0A2300F6"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53" w:type="dxa"/>
            <w:tcBorders>
              <w:top w:val="single" w:sz="4" w:space="0" w:color="auto"/>
              <w:left w:val="single" w:sz="4" w:space="0" w:color="auto"/>
              <w:right w:val="single" w:sz="4" w:space="0" w:color="auto"/>
            </w:tcBorders>
            <w:vAlign w:val="center"/>
          </w:tcPr>
          <w:p w14:paraId="7BE8A0B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p w14:paraId="266AE4BA"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w:t>
            </w:r>
            <w:proofErr w:type="gramStart"/>
            <w:r>
              <w:rPr>
                <w:rFonts w:ascii="仿宋_GB2312" w:eastAsia="仿宋_GB2312" w:hAnsi="仿宋_GB2312" w:cs="仿宋_GB2312" w:hint="eastAsia"/>
                <w:color w:val="000000"/>
                <w:sz w:val="20"/>
                <w:szCs w:val="20"/>
              </w:rPr>
              <w:t>效</w:t>
            </w:r>
            <w:proofErr w:type="gramEnd"/>
          </w:p>
          <w:p w14:paraId="6DD56F70"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p w14:paraId="3020FA8C" w14:textId="77777777" w:rsidR="00D24710" w:rsidRDefault="00D24710" w:rsidP="0053535C">
            <w:pPr>
              <w:widowControl/>
              <w:spacing w:line="260" w:lineRule="exact"/>
              <w:rPr>
                <w:rFonts w:ascii="仿宋_GB2312" w:eastAsia="仿宋_GB2312" w:hAnsi="仿宋_GB2312" w:cs="仿宋_GB2312"/>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14:paraId="7C38A532" w14:textId="77777777" w:rsidR="00D24710" w:rsidRDefault="00D24710" w:rsidP="0053535C">
            <w:pPr>
              <w:widowControl/>
              <w:spacing w:line="260" w:lineRule="exact"/>
              <w:jc w:val="center"/>
              <w:rPr>
                <w:rFonts w:ascii="仿宋_GB2312" w:eastAsia="仿宋_GB2312" w:hAnsi="仿宋_GB2312" w:cs="仿宋_GB2312"/>
                <w:color w:val="000000"/>
                <w:kern w:val="2"/>
                <w:sz w:val="20"/>
                <w:szCs w:val="20"/>
              </w:rPr>
            </w:pPr>
            <w:r>
              <w:rPr>
                <w:rFonts w:ascii="仿宋_GB2312" w:eastAsia="仿宋_GB2312" w:hAnsi="仿宋_GB2312" w:cs="仿宋_GB2312" w:hint="eastAsia"/>
                <w:color w:val="000000"/>
                <w:sz w:val="20"/>
                <w:szCs w:val="20"/>
              </w:rPr>
              <w:t>对环境造成的负面影响</w:t>
            </w:r>
          </w:p>
        </w:tc>
        <w:tc>
          <w:tcPr>
            <w:tcW w:w="1068" w:type="dxa"/>
            <w:tcBorders>
              <w:top w:val="single" w:sz="4" w:space="0" w:color="auto"/>
              <w:left w:val="single" w:sz="4" w:space="0" w:color="auto"/>
              <w:bottom w:val="single" w:sz="4" w:space="0" w:color="auto"/>
              <w:right w:val="single" w:sz="4" w:space="0" w:color="auto"/>
            </w:tcBorders>
            <w:vAlign w:val="center"/>
          </w:tcPr>
          <w:p w14:paraId="2426754A" w14:textId="77777777" w:rsidR="00D24710" w:rsidRDefault="00D24710" w:rsidP="0053535C">
            <w:pPr>
              <w:widowControl/>
              <w:spacing w:line="260" w:lineRule="exact"/>
              <w:jc w:val="center"/>
              <w:rPr>
                <w:rFonts w:ascii="仿宋_GB2312" w:eastAsia="仿宋_GB2312" w:hAnsi="仿宋_GB2312" w:cs="仿宋_GB2312"/>
                <w:color w:val="000000"/>
                <w:kern w:val="2"/>
                <w:sz w:val="20"/>
                <w:szCs w:val="20"/>
              </w:rPr>
            </w:pPr>
            <w:r>
              <w:rPr>
                <w:rFonts w:ascii="仿宋_GB2312" w:eastAsia="仿宋_GB2312" w:hAnsi="仿宋_GB2312" w:cs="仿宋_GB2312" w:hint="eastAsia"/>
                <w:color w:val="000000"/>
                <w:sz w:val="20"/>
                <w:szCs w:val="20"/>
              </w:rPr>
              <w:t>无负面影响</w:t>
            </w:r>
          </w:p>
        </w:tc>
        <w:tc>
          <w:tcPr>
            <w:tcW w:w="1216" w:type="dxa"/>
            <w:tcBorders>
              <w:top w:val="single" w:sz="4" w:space="0" w:color="auto"/>
              <w:left w:val="single" w:sz="4" w:space="0" w:color="auto"/>
              <w:bottom w:val="single" w:sz="4" w:space="0" w:color="auto"/>
              <w:right w:val="single" w:sz="4" w:space="0" w:color="auto"/>
            </w:tcBorders>
            <w:vAlign w:val="center"/>
          </w:tcPr>
          <w:p w14:paraId="726E50C0" w14:textId="77777777" w:rsidR="00D24710" w:rsidRDefault="00D24710" w:rsidP="0053535C">
            <w:pPr>
              <w:widowControl/>
              <w:spacing w:line="260" w:lineRule="exact"/>
              <w:jc w:val="center"/>
              <w:rPr>
                <w:rFonts w:ascii="仿宋_GB2312" w:eastAsia="仿宋_GB2312" w:hAnsi="仿宋_GB2312" w:cs="仿宋_GB2312"/>
                <w:color w:val="000000"/>
                <w:kern w:val="2"/>
                <w:sz w:val="20"/>
                <w:szCs w:val="20"/>
              </w:rPr>
            </w:pPr>
            <w:r>
              <w:rPr>
                <w:rFonts w:ascii="仿宋_GB2312" w:eastAsia="仿宋_GB2312" w:hAnsi="仿宋_GB2312" w:cs="仿宋_GB2312" w:hint="eastAsia"/>
                <w:color w:val="000000"/>
                <w:sz w:val="20"/>
                <w:szCs w:val="20"/>
              </w:rPr>
              <w:t>无负面影响</w:t>
            </w:r>
          </w:p>
        </w:tc>
        <w:tc>
          <w:tcPr>
            <w:tcW w:w="814" w:type="dxa"/>
            <w:tcBorders>
              <w:top w:val="single" w:sz="4" w:space="0" w:color="auto"/>
              <w:left w:val="single" w:sz="4" w:space="0" w:color="auto"/>
              <w:bottom w:val="single" w:sz="4" w:space="0" w:color="auto"/>
              <w:right w:val="single" w:sz="4" w:space="0" w:color="auto"/>
            </w:tcBorders>
            <w:vAlign w:val="center"/>
          </w:tcPr>
          <w:p w14:paraId="0D1CD0C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25826C63"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1784E2BE"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1C42F304" w14:textId="77777777" w:rsidTr="0053535C">
        <w:trPr>
          <w:jc w:val="center"/>
        </w:trPr>
        <w:tc>
          <w:tcPr>
            <w:tcW w:w="1058" w:type="dxa"/>
            <w:vMerge/>
            <w:tcBorders>
              <w:left w:val="single" w:sz="4" w:space="0" w:color="auto"/>
              <w:right w:val="single" w:sz="4" w:space="0" w:color="auto"/>
            </w:tcBorders>
            <w:vAlign w:val="center"/>
          </w:tcPr>
          <w:p w14:paraId="44B2BAD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17B6DE17"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p>
        </w:tc>
        <w:tc>
          <w:tcPr>
            <w:tcW w:w="1053" w:type="dxa"/>
            <w:tcBorders>
              <w:top w:val="single" w:sz="4" w:space="0" w:color="auto"/>
              <w:left w:val="single" w:sz="4" w:space="0" w:color="auto"/>
              <w:bottom w:val="single" w:sz="4" w:space="0" w:color="auto"/>
              <w:right w:val="single" w:sz="4" w:space="0" w:color="auto"/>
            </w:tcBorders>
            <w:vAlign w:val="center"/>
          </w:tcPr>
          <w:p w14:paraId="5D72E83A"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344" w:type="dxa"/>
            <w:tcBorders>
              <w:top w:val="single" w:sz="4" w:space="0" w:color="auto"/>
              <w:left w:val="single" w:sz="4" w:space="0" w:color="auto"/>
              <w:bottom w:val="single" w:sz="4" w:space="0" w:color="auto"/>
              <w:right w:val="single" w:sz="4" w:space="0" w:color="auto"/>
            </w:tcBorders>
            <w:vAlign w:val="center"/>
          </w:tcPr>
          <w:p w14:paraId="1C43EB0A" w14:textId="77777777" w:rsidR="00D24710" w:rsidRDefault="00D24710" w:rsidP="0053535C">
            <w:pPr>
              <w:widowControl/>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20"/>
                <w:szCs w:val="20"/>
              </w:rPr>
              <w:t>建立“交房即交证”的长效机制</w:t>
            </w:r>
          </w:p>
        </w:tc>
        <w:tc>
          <w:tcPr>
            <w:tcW w:w="1068" w:type="dxa"/>
            <w:tcBorders>
              <w:top w:val="single" w:sz="4" w:space="0" w:color="auto"/>
              <w:left w:val="single" w:sz="4" w:space="0" w:color="auto"/>
              <w:bottom w:val="single" w:sz="4" w:space="0" w:color="auto"/>
              <w:right w:val="single" w:sz="4" w:space="0" w:color="auto"/>
            </w:tcBorders>
            <w:vAlign w:val="center"/>
          </w:tcPr>
          <w:p w14:paraId="749C9CA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建立新建商品房买卖</w:t>
            </w:r>
            <w:proofErr w:type="gramStart"/>
            <w:r>
              <w:rPr>
                <w:rFonts w:ascii="仿宋_GB2312" w:eastAsia="仿宋_GB2312" w:hAnsi="仿宋_GB2312" w:cs="仿宋_GB2312" w:hint="eastAsia"/>
                <w:color w:val="000000"/>
                <w:sz w:val="20"/>
                <w:szCs w:val="20"/>
              </w:rPr>
              <w:t>合同网签备案</w:t>
            </w:r>
            <w:proofErr w:type="gramEnd"/>
            <w:r>
              <w:rPr>
                <w:rFonts w:ascii="仿宋_GB2312" w:eastAsia="仿宋_GB2312" w:hAnsi="仿宋_GB2312" w:cs="仿宋_GB2312" w:hint="eastAsia"/>
                <w:color w:val="000000"/>
                <w:sz w:val="20"/>
                <w:szCs w:val="20"/>
              </w:rPr>
              <w:t>信息实时共享和及时纳税的长效机制</w:t>
            </w:r>
          </w:p>
        </w:tc>
        <w:tc>
          <w:tcPr>
            <w:tcW w:w="1216" w:type="dxa"/>
            <w:tcBorders>
              <w:top w:val="single" w:sz="4" w:space="0" w:color="auto"/>
              <w:left w:val="single" w:sz="4" w:space="0" w:color="auto"/>
              <w:bottom w:val="single" w:sz="4" w:space="0" w:color="auto"/>
              <w:right w:val="single" w:sz="4" w:space="0" w:color="auto"/>
            </w:tcBorders>
            <w:vAlign w:val="center"/>
          </w:tcPr>
          <w:p w14:paraId="37335B9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适应工作需求，使得工作进入良性循环</w:t>
            </w:r>
          </w:p>
        </w:tc>
        <w:tc>
          <w:tcPr>
            <w:tcW w:w="814" w:type="dxa"/>
            <w:tcBorders>
              <w:top w:val="single" w:sz="4" w:space="0" w:color="auto"/>
              <w:left w:val="single" w:sz="4" w:space="0" w:color="auto"/>
              <w:bottom w:val="single" w:sz="4" w:space="0" w:color="auto"/>
              <w:right w:val="single" w:sz="4" w:space="0" w:color="auto"/>
            </w:tcBorders>
            <w:vAlign w:val="center"/>
          </w:tcPr>
          <w:p w14:paraId="484E4384"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61" w:type="dxa"/>
            <w:tcBorders>
              <w:top w:val="single" w:sz="4" w:space="0" w:color="auto"/>
              <w:left w:val="single" w:sz="4" w:space="0" w:color="auto"/>
              <w:bottom w:val="single" w:sz="4" w:space="0" w:color="auto"/>
              <w:right w:val="single" w:sz="4" w:space="0" w:color="auto"/>
            </w:tcBorders>
            <w:vAlign w:val="center"/>
          </w:tcPr>
          <w:p w14:paraId="7D81029B"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14:paraId="594DE47A"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2C47A65F" w14:textId="77777777" w:rsidTr="0053535C">
        <w:trPr>
          <w:jc w:val="center"/>
        </w:trPr>
        <w:tc>
          <w:tcPr>
            <w:tcW w:w="1058" w:type="dxa"/>
            <w:vMerge/>
            <w:tcBorders>
              <w:left w:val="single" w:sz="4" w:space="0" w:color="auto"/>
              <w:right w:val="single" w:sz="4" w:space="0" w:color="auto"/>
            </w:tcBorders>
            <w:vAlign w:val="center"/>
          </w:tcPr>
          <w:p w14:paraId="4F7199FF" w14:textId="77777777" w:rsidR="00D24710" w:rsidRDefault="00D24710" w:rsidP="0053535C">
            <w:pPr>
              <w:spacing w:line="260" w:lineRule="exact"/>
              <w:jc w:val="left"/>
              <w:rPr>
                <w:rFonts w:ascii="仿宋_GB2312" w:eastAsia="仿宋_GB2312" w:hAnsi="仿宋_GB2312" w:cs="仿宋_GB2312"/>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14:paraId="542DB8A8"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14:paraId="7911E9E2"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14:paraId="3F466FAC"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53" w:type="dxa"/>
            <w:tcBorders>
              <w:top w:val="single" w:sz="4" w:space="0" w:color="auto"/>
              <w:left w:val="single" w:sz="4" w:space="0" w:color="auto"/>
              <w:bottom w:val="single" w:sz="4" w:space="0" w:color="auto"/>
              <w:right w:val="single" w:sz="4" w:space="0" w:color="auto"/>
            </w:tcBorders>
            <w:vAlign w:val="center"/>
          </w:tcPr>
          <w:p w14:paraId="0C36FAF8"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344" w:type="dxa"/>
            <w:tcBorders>
              <w:top w:val="single" w:sz="4" w:space="0" w:color="auto"/>
              <w:left w:val="single" w:sz="4" w:space="0" w:color="auto"/>
              <w:bottom w:val="single" w:sz="4" w:space="0" w:color="auto"/>
              <w:right w:val="single" w:sz="4" w:space="0" w:color="auto"/>
            </w:tcBorders>
            <w:vAlign w:val="center"/>
          </w:tcPr>
          <w:p w14:paraId="3446BBA2" w14:textId="77777777" w:rsidR="00D24710" w:rsidRDefault="00D24710" w:rsidP="0053535C">
            <w:pPr>
              <w:widowControl/>
              <w:spacing w:line="260" w:lineRule="exact"/>
              <w:jc w:val="center"/>
              <w:rPr>
                <w:rFonts w:ascii="仿宋_GB2312" w:eastAsia="仿宋_GB2312" w:hAnsi="仿宋_GB2312" w:cs="仿宋_GB2312"/>
                <w:color w:val="000000"/>
                <w:sz w:val="18"/>
                <w:szCs w:val="18"/>
              </w:rPr>
            </w:pPr>
            <w:r>
              <w:rPr>
                <w:rFonts w:ascii="仿宋_GB2312" w:eastAsia="仿宋_GB2312" w:hAnsi="宋体" w:cs="仿宋_GB2312" w:hint="eastAsia"/>
                <w:color w:val="000000"/>
                <w:sz w:val="18"/>
                <w:szCs w:val="18"/>
                <w:lang w:bidi="ar"/>
              </w:rPr>
              <w:t>群众满意率</w:t>
            </w:r>
          </w:p>
        </w:tc>
        <w:tc>
          <w:tcPr>
            <w:tcW w:w="1068" w:type="dxa"/>
            <w:tcBorders>
              <w:top w:val="single" w:sz="4" w:space="0" w:color="auto"/>
              <w:left w:val="single" w:sz="4" w:space="0" w:color="auto"/>
              <w:bottom w:val="single" w:sz="4" w:space="0" w:color="auto"/>
              <w:right w:val="single" w:sz="4" w:space="0" w:color="auto"/>
            </w:tcBorders>
            <w:vAlign w:val="center"/>
          </w:tcPr>
          <w:p w14:paraId="189910E4" w14:textId="77777777" w:rsidR="00D24710" w:rsidRDefault="00D24710" w:rsidP="0053535C">
            <w:pPr>
              <w:widowControl/>
              <w:spacing w:line="240" w:lineRule="exact"/>
              <w:jc w:val="center"/>
              <w:rPr>
                <w:rFonts w:ascii="仿宋_GB2312" w:eastAsia="仿宋_GB2312" w:hAnsi="仿宋_GB2312" w:cs="仿宋_GB2312"/>
                <w:color w:val="000000"/>
                <w:kern w:val="2"/>
                <w:sz w:val="20"/>
                <w:szCs w:val="20"/>
              </w:rPr>
            </w:pPr>
            <w:r>
              <w:rPr>
                <w:rFonts w:ascii="仿宋_GB2312" w:eastAsia="仿宋_GB2312" w:hAnsi="宋体" w:cs="仿宋_GB2312" w:hint="eastAsia"/>
                <w:color w:val="000000"/>
                <w:sz w:val="20"/>
                <w:szCs w:val="20"/>
                <w:lang w:bidi="ar"/>
              </w:rPr>
              <w:t>≥95%</w:t>
            </w:r>
          </w:p>
        </w:tc>
        <w:tc>
          <w:tcPr>
            <w:tcW w:w="1216" w:type="dxa"/>
            <w:tcBorders>
              <w:top w:val="single" w:sz="4" w:space="0" w:color="auto"/>
              <w:left w:val="single" w:sz="4" w:space="0" w:color="auto"/>
              <w:bottom w:val="single" w:sz="4" w:space="0" w:color="auto"/>
              <w:right w:val="single" w:sz="4" w:space="0" w:color="auto"/>
            </w:tcBorders>
            <w:vAlign w:val="center"/>
          </w:tcPr>
          <w:p w14:paraId="4329C8E7" w14:textId="77777777" w:rsidR="00D24710" w:rsidRDefault="00D24710" w:rsidP="0053535C">
            <w:pPr>
              <w:widowControl/>
              <w:spacing w:line="240" w:lineRule="exact"/>
              <w:jc w:val="center"/>
              <w:rPr>
                <w:rFonts w:ascii="仿宋_GB2312" w:eastAsia="仿宋_GB2312" w:hAnsi="仿宋_GB2312" w:cs="仿宋_GB2312"/>
                <w:color w:val="000000"/>
                <w:kern w:val="2"/>
                <w:sz w:val="20"/>
                <w:szCs w:val="20"/>
              </w:rPr>
            </w:pPr>
            <w:r>
              <w:rPr>
                <w:rFonts w:ascii="仿宋_GB2312" w:eastAsia="仿宋_GB2312" w:hAnsi="宋体" w:cs="仿宋_GB2312" w:hint="eastAsia"/>
                <w:color w:val="000000"/>
                <w:sz w:val="20"/>
                <w:szCs w:val="20"/>
                <w:lang w:bidi="ar"/>
              </w:rPr>
              <w:t>≥</w:t>
            </w:r>
            <w:r>
              <w:rPr>
                <w:rFonts w:ascii="仿宋_GB2312" w:eastAsia="仿宋_GB2312" w:hAnsi="仿宋_GB2312" w:cs="仿宋_GB2312" w:hint="eastAsia"/>
                <w:color w:val="000000"/>
                <w:sz w:val="20"/>
                <w:szCs w:val="20"/>
              </w:rPr>
              <w:t>9</w:t>
            </w:r>
            <w:r>
              <w:rPr>
                <w:rFonts w:ascii="仿宋_GB2312" w:eastAsia="仿宋_GB2312" w:hAnsi="宋体" w:cs="仿宋_GB2312" w:hint="eastAsia"/>
                <w:color w:val="000000"/>
                <w:sz w:val="20"/>
                <w:szCs w:val="20"/>
                <w:lang w:bidi="ar"/>
              </w:rPr>
              <w:t>5%</w:t>
            </w:r>
          </w:p>
        </w:tc>
        <w:tc>
          <w:tcPr>
            <w:tcW w:w="814" w:type="dxa"/>
            <w:tcBorders>
              <w:top w:val="single" w:sz="4" w:space="0" w:color="auto"/>
              <w:left w:val="single" w:sz="4" w:space="0" w:color="auto"/>
              <w:bottom w:val="single" w:sz="4" w:space="0" w:color="auto"/>
              <w:right w:val="single" w:sz="4" w:space="0" w:color="auto"/>
            </w:tcBorders>
            <w:vAlign w:val="center"/>
          </w:tcPr>
          <w:p w14:paraId="350D2A19"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61" w:type="dxa"/>
            <w:tcBorders>
              <w:top w:val="single" w:sz="4" w:space="0" w:color="auto"/>
              <w:left w:val="single" w:sz="4" w:space="0" w:color="auto"/>
              <w:bottom w:val="single" w:sz="4" w:space="0" w:color="auto"/>
              <w:right w:val="single" w:sz="4" w:space="0" w:color="auto"/>
            </w:tcBorders>
            <w:vAlign w:val="center"/>
          </w:tcPr>
          <w:p w14:paraId="5514D54D"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372" w:type="dxa"/>
            <w:tcBorders>
              <w:top w:val="single" w:sz="4" w:space="0" w:color="auto"/>
              <w:left w:val="single" w:sz="4" w:space="0" w:color="auto"/>
              <w:bottom w:val="single" w:sz="4" w:space="0" w:color="auto"/>
              <w:right w:val="single" w:sz="4" w:space="0" w:color="auto"/>
            </w:tcBorders>
            <w:vAlign w:val="center"/>
          </w:tcPr>
          <w:p w14:paraId="1B47CB1C"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D24710" w14:paraId="08A02D7B" w14:textId="77777777" w:rsidTr="0053535C">
        <w:trPr>
          <w:jc w:val="center"/>
        </w:trPr>
        <w:tc>
          <w:tcPr>
            <w:tcW w:w="6804" w:type="dxa"/>
            <w:gridSpan w:val="6"/>
            <w:tcBorders>
              <w:top w:val="single" w:sz="4" w:space="0" w:color="auto"/>
              <w:left w:val="single" w:sz="4" w:space="0" w:color="auto"/>
              <w:bottom w:val="single" w:sz="4" w:space="0" w:color="auto"/>
              <w:right w:val="single" w:sz="4" w:space="0" w:color="auto"/>
            </w:tcBorders>
            <w:vAlign w:val="center"/>
          </w:tcPr>
          <w:p w14:paraId="53C66300"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14" w:type="dxa"/>
            <w:tcBorders>
              <w:top w:val="single" w:sz="4" w:space="0" w:color="auto"/>
              <w:left w:val="single" w:sz="4" w:space="0" w:color="auto"/>
              <w:bottom w:val="single" w:sz="4" w:space="0" w:color="auto"/>
              <w:right w:val="single" w:sz="4" w:space="0" w:color="auto"/>
            </w:tcBorders>
            <w:vAlign w:val="center"/>
          </w:tcPr>
          <w:p w14:paraId="7CD0E4B1" w14:textId="77777777" w:rsidR="00D24710" w:rsidRDefault="00D24710" w:rsidP="0053535C">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61" w:type="dxa"/>
            <w:tcBorders>
              <w:top w:val="single" w:sz="4" w:space="0" w:color="auto"/>
              <w:left w:val="single" w:sz="4" w:space="0" w:color="auto"/>
              <w:bottom w:val="single" w:sz="4" w:space="0" w:color="auto"/>
              <w:right w:val="single" w:sz="4" w:space="0" w:color="auto"/>
            </w:tcBorders>
            <w:vAlign w:val="center"/>
          </w:tcPr>
          <w:p w14:paraId="74E25781"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97</w:t>
            </w:r>
          </w:p>
        </w:tc>
        <w:tc>
          <w:tcPr>
            <w:tcW w:w="1372" w:type="dxa"/>
            <w:tcBorders>
              <w:top w:val="single" w:sz="4" w:space="0" w:color="auto"/>
              <w:left w:val="single" w:sz="4" w:space="0" w:color="auto"/>
              <w:bottom w:val="single" w:sz="4" w:space="0" w:color="auto"/>
              <w:right w:val="single" w:sz="4" w:space="0" w:color="auto"/>
            </w:tcBorders>
            <w:vAlign w:val="center"/>
          </w:tcPr>
          <w:p w14:paraId="2A43DDC9" w14:textId="77777777" w:rsidR="00D24710" w:rsidRDefault="00D24710" w:rsidP="0053535C">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14:paraId="03FD89C6" w14:textId="77777777" w:rsidR="00D24710" w:rsidRDefault="00D24710" w:rsidP="00D24710">
      <w:pPr>
        <w:rPr>
          <w:rFonts w:ascii="Times New Roman" w:eastAsia="仿宋_GB2312" w:hAnsi="Times New Roman"/>
          <w:szCs w:val="21"/>
        </w:rPr>
      </w:pPr>
      <w:r>
        <w:rPr>
          <w:rFonts w:ascii="Times New Roman" w:eastAsia="仿宋_GB2312" w:hAnsi="Times New Roman"/>
          <w:sz w:val="18"/>
          <w:szCs w:val="18"/>
        </w:rPr>
        <w:t>备注：一个</w:t>
      </w:r>
      <w:proofErr w:type="gramStart"/>
      <w:r>
        <w:rPr>
          <w:rFonts w:ascii="Times New Roman" w:eastAsia="仿宋_GB2312" w:hAnsi="Times New Roman"/>
          <w:sz w:val="18"/>
          <w:szCs w:val="18"/>
        </w:rPr>
        <w:t>一级项目</w:t>
      </w:r>
      <w:proofErr w:type="gramEnd"/>
      <w:r>
        <w:rPr>
          <w:rFonts w:ascii="Times New Roman" w:eastAsia="仿宋_GB2312" w:hAnsi="Times New Roman"/>
          <w:sz w:val="18"/>
          <w:szCs w:val="18"/>
        </w:rPr>
        <w:t>支出一张表。</w:t>
      </w:r>
      <w:r>
        <w:rPr>
          <w:rFonts w:ascii="Times New Roman" w:eastAsia="仿宋_GB2312" w:hAnsi="Times New Roman" w:hint="eastAsia"/>
          <w:sz w:val="18"/>
          <w:szCs w:val="18"/>
        </w:rPr>
        <w:t>如，</w:t>
      </w:r>
      <w:r>
        <w:rPr>
          <w:rFonts w:ascii="Times New Roman" w:eastAsia="仿宋_GB2312" w:hAnsi="Times New Roman"/>
          <w:sz w:val="18"/>
          <w:szCs w:val="18"/>
        </w:rPr>
        <w:t>业务工作经费</w:t>
      </w:r>
      <w:r>
        <w:rPr>
          <w:rFonts w:ascii="Times New Roman" w:eastAsia="仿宋_GB2312" w:hAnsi="Times New Roman" w:hint="eastAsia"/>
          <w:sz w:val="18"/>
          <w:szCs w:val="18"/>
        </w:rPr>
        <w:t>，</w:t>
      </w:r>
      <w:r>
        <w:rPr>
          <w:rFonts w:ascii="Times New Roman" w:eastAsia="仿宋_GB2312" w:hAnsi="Times New Roman"/>
          <w:sz w:val="18"/>
          <w:szCs w:val="18"/>
        </w:rPr>
        <w:t>运行维护经费</w:t>
      </w:r>
      <w:r>
        <w:rPr>
          <w:rFonts w:ascii="Times New Roman" w:eastAsia="仿宋_GB2312" w:hAnsi="Times New Roman" w:hint="eastAsia"/>
          <w:sz w:val="18"/>
          <w:szCs w:val="18"/>
        </w:rPr>
        <w:t>，其他事业发展类资金…各一张表。</w:t>
      </w:r>
    </w:p>
    <w:p w14:paraId="309B2C59" w14:textId="77777777" w:rsidR="00D24710" w:rsidRDefault="00D24710" w:rsidP="00D24710">
      <w:pPr>
        <w:rPr>
          <w:rFonts w:ascii="Times New Roman" w:eastAsia="仿宋_GB2312" w:hAnsi="Times New Roman"/>
          <w:sz w:val="22"/>
          <w:szCs w:val="22"/>
        </w:rPr>
      </w:pPr>
      <w:r>
        <w:rPr>
          <w:rFonts w:ascii="Times New Roman" w:eastAsia="仿宋_GB2312" w:hAnsi="Times New Roman"/>
          <w:sz w:val="22"/>
          <w:szCs w:val="22"/>
        </w:rPr>
        <w:t>填表人：</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填报日期：</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联系电话：</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 xml:space="preserve"> </w:t>
      </w:r>
      <w:r>
        <w:rPr>
          <w:rFonts w:ascii="Times New Roman" w:eastAsia="仿宋_GB2312" w:hAnsi="Times New Roman"/>
          <w:sz w:val="22"/>
          <w:szCs w:val="22"/>
        </w:rPr>
        <w:t>单位负责人签字：</w:t>
      </w:r>
    </w:p>
    <w:p w14:paraId="4C012DBE" w14:textId="77777777" w:rsidR="00D24710" w:rsidRDefault="00D24710" w:rsidP="00D24710">
      <w:pPr>
        <w:rPr>
          <w:rFonts w:ascii="Times New Roman" w:eastAsia="仿宋_GB2312" w:hAnsi="Times New Roman"/>
          <w:sz w:val="22"/>
          <w:szCs w:val="22"/>
        </w:rPr>
      </w:pPr>
    </w:p>
    <w:p w14:paraId="6444C2F0" w14:textId="77777777" w:rsidR="00D24710" w:rsidRDefault="00D24710" w:rsidP="00D24710">
      <w:pPr>
        <w:rPr>
          <w:rFonts w:ascii="Times New Roman" w:eastAsia="仿宋_GB2312" w:hAnsi="Times New Roman"/>
          <w:sz w:val="22"/>
          <w:szCs w:val="22"/>
        </w:rPr>
      </w:pPr>
    </w:p>
    <w:p w14:paraId="3CF76720" w14:textId="77777777" w:rsidR="00D24710" w:rsidRDefault="00D24710" w:rsidP="00D24710">
      <w:pPr>
        <w:rPr>
          <w:rFonts w:ascii="Times New Roman" w:eastAsia="仿宋_GB2312" w:hAnsi="Times New Roman"/>
          <w:sz w:val="22"/>
          <w:szCs w:val="22"/>
        </w:rPr>
      </w:pPr>
    </w:p>
    <w:p w14:paraId="7A3C0CB7" w14:textId="77777777" w:rsidR="00D24710" w:rsidRDefault="00D24710" w:rsidP="00D24710">
      <w:pPr>
        <w:rPr>
          <w:rFonts w:ascii="Times New Roman" w:eastAsia="仿宋_GB2312" w:hAnsi="Times New Roman"/>
          <w:sz w:val="22"/>
          <w:szCs w:val="22"/>
        </w:rPr>
      </w:pPr>
    </w:p>
    <w:p w14:paraId="6CC0BD5E" w14:textId="77777777" w:rsidR="00D24710" w:rsidRDefault="00D24710" w:rsidP="00D24710">
      <w:pPr>
        <w:rPr>
          <w:rFonts w:ascii="Times New Roman" w:eastAsia="仿宋_GB2312" w:hAnsi="Times New Roman"/>
          <w:sz w:val="22"/>
          <w:szCs w:val="22"/>
        </w:rPr>
      </w:pPr>
    </w:p>
    <w:p w14:paraId="392DA6C6" w14:textId="77777777" w:rsidR="00D24710" w:rsidRDefault="00D24710" w:rsidP="00D24710">
      <w:pPr>
        <w:rPr>
          <w:rFonts w:ascii="Times New Roman" w:eastAsia="仿宋_GB2312" w:hAnsi="Times New Roman"/>
          <w:sz w:val="22"/>
          <w:szCs w:val="22"/>
        </w:rPr>
      </w:pPr>
    </w:p>
    <w:p w14:paraId="2763DBDD" w14:textId="77777777" w:rsidR="00D24710" w:rsidRDefault="00D24710" w:rsidP="00D24710">
      <w:pPr>
        <w:rPr>
          <w:rFonts w:ascii="Times New Roman" w:eastAsia="仿宋_GB2312" w:hAnsi="Times New Roman"/>
          <w:sz w:val="22"/>
          <w:szCs w:val="22"/>
        </w:rPr>
      </w:pPr>
    </w:p>
    <w:p w14:paraId="3CF67046" w14:textId="77777777" w:rsidR="00D24710" w:rsidRDefault="00D24710" w:rsidP="00D24710">
      <w:pPr>
        <w:rPr>
          <w:rFonts w:ascii="Times New Roman" w:eastAsia="仿宋_GB2312" w:hAnsi="Times New Roman"/>
          <w:sz w:val="22"/>
          <w:szCs w:val="22"/>
        </w:rPr>
      </w:pPr>
    </w:p>
    <w:p w14:paraId="553DEFBE" w14:textId="77777777" w:rsidR="00D24710" w:rsidRDefault="00D24710" w:rsidP="00D24710">
      <w:pPr>
        <w:rPr>
          <w:rFonts w:ascii="Times New Roman" w:eastAsia="仿宋_GB2312" w:hAnsi="Times New Roman"/>
          <w:sz w:val="22"/>
          <w:szCs w:val="22"/>
        </w:rPr>
      </w:pPr>
    </w:p>
    <w:p w14:paraId="44231C59" w14:textId="77777777" w:rsidR="00D24710" w:rsidRDefault="00D24710" w:rsidP="00D24710">
      <w:pPr>
        <w:rPr>
          <w:rFonts w:ascii="Times New Roman" w:eastAsia="仿宋_GB2312" w:hAnsi="Times New Roman"/>
          <w:sz w:val="22"/>
          <w:szCs w:val="22"/>
        </w:rPr>
      </w:pPr>
    </w:p>
    <w:p w14:paraId="12035162" w14:textId="77777777" w:rsidR="00D24710" w:rsidRDefault="00D24710" w:rsidP="00D24710">
      <w:pPr>
        <w:rPr>
          <w:rFonts w:ascii="Times New Roman" w:eastAsia="仿宋_GB2312" w:hAnsi="Times New Roman"/>
          <w:sz w:val="22"/>
          <w:szCs w:val="22"/>
        </w:rPr>
      </w:pPr>
    </w:p>
    <w:p w14:paraId="2455E848" w14:textId="77777777" w:rsidR="00D24710" w:rsidRDefault="00D24710" w:rsidP="00D24710">
      <w:pPr>
        <w:rPr>
          <w:rFonts w:ascii="Times New Roman" w:eastAsia="仿宋_GB2312" w:hAnsi="Times New Roman"/>
          <w:sz w:val="22"/>
          <w:szCs w:val="22"/>
        </w:rPr>
      </w:pPr>
    </w:p>
    <w:p w14:paraId="069B46A7" w14:textId="77777777" w:rsidR="00D24710" w:rsidRPr="00D24710" w:rsidRDefault="00D24710" w:rsidP="0062298A">
      <w:pPr>
        <w:widowControl/>
        <w:spacing w:line="640" w:lineRule="exact"/>
        <w:ind w:firstLineChars="200" w:firstLine="640"/>
        <w:rPr>
          <w:rFonts w:ascii="仿宋_GB2312" w:eastAsia="仿宋_GB2312" w:hAnsi="仿宋_GB2312" w:cs="仿宋_GB2312" w:hint="eastAsia"/>
          <w:sz w:val="32"/>
          <w:szCs w:val="32"/>
        </w:rPr>
      </w:pPr>
      <w:bookmarkStart w:id="8" w:name="_GoBack"/>
      <w:bookmarkEnd w:id="8"/>
    </w:p>
    <w:sectPr w:rsidR="00D24710" w:rsidRPr="00D24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18030">
    <w:altName w:val="仿宋"/>
    <w:charset w:val="86"/>
    <w:family w:val="auto"/>
    <w:pitch w:val="default"/>
    <w:sig w:usb0="00000000" w:usb1="00000000" w:usb2="00000000" w:usb3="00000000" w:csb0="00040000" w:csb1="00000000"/>
  </w:font>
  <w:font w:name="方正楷体_GB2312">
    <w:altName w:val="宋体"/>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5912"/>
    <w:multiLevelType w:val="singleLevel"/>
    <w:tmpl w:val="0D6D5912"/>
    <w:lvl w:ilvl="0">
      <w:start w:val="1"/>
      <w:numFmt w:val="chineseCounting"/>
      <w:suff w:val="nothing"/>
      <w:lvlText w:val="%1、"/>
      <w:lvlJc w:val="left"/>
      <w:rPr>
        <w:rFonts w:hint="eastAsia"/>
      </w:rPr>
    </w:lvl>
  </w:abstractNum>
  <w:abstractNum w:abstractNumId="1" w15:restartNumberingAfterBreak="0">
    <w:nsid w:val="4C47CF32"/>
    <w:multiLevelType w:val="singleLevel"/>
    <w:tmpl w:val="4C47CF32"/>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0ZTUxZDRkNzI1MzAwYWFiNDA2YjgwZTdkMWZlNGUifQ=="/>
  </w:docVars>
  <w:rsids>
    <w:rsidRoot w:val="59886344"/>
    <w:rsid w:val="DFEF884A"/>
    <w:rsid w:val="000F1929"/>
    <w:rsid w:val="001D6C66"/>
    <w:rsid w:val="00233B6A"/>
    <w:rsid w:val="00297F51"/>
    <w:rsid w:val="00377743"/>
    <w:rsid w:val="00404A08"/>
    <w:rsid w:val="005429DA"/>
    <w:rsid w:val="005F31CF"/>
    <w:rsid w:val="0062298A"/>
    <w:rsid w:val="007B70DD"/>
    <w:rsid w:val="007C3AEC"/>
    <w:rsid w:val="00823AC2"/>
    <w:rsid w:val="00873D17"/>
    <w:rsid w:val="00A57933"/>
    <w:rsid w:val="00A63F14"/>
    <w:rsid w:val="00D24710"/>
    <w:rsid w:val="00D74350"/>
    <w:rsid w:val="00FF42DD"/>
    <w:rsid w:val="01A63CD7"/>
    <w:rsid w:val="023C4E17"/>
    <w:rsid w:val="02740C23"/>
    <w:rsid w:val="03380674"/>
    <w:rsid w:val="03D61236"/>
    <w:rsid w:val="04207E21"/>
    <w:rsid w:val="044779E7"/>
    <w:rsid w:val="04665F1D"/>
    <w:rsid w:val="04CB2C07"/>
    <w:rsid w:val="050424C6"/>
    <w:rsid w:val="05412745"/>
    <w:rsid w:val="058C7E64"/>
    <w:rsid w:val="058F1A07"/>
    <w:rsid w:val="05FD2B10"/>
    <w:rsid w:val="08CE609D"/>
    <w:rsid w:val="0A2C48FB"/>
    <w:rsid w:val="0A3A5A49"/>
    <w:rsid w:val="0A8E0CF2"/>
    <w:rsid w:val="0AC8263F"/>
    <w:rsid w:val="0C844E03"/>
    <w:rsid w:val="0CE01F46"/>
    <w:rsid w:val="0D9D24E2"/>
    <w:rsid w:val="0EA578A0"/>
    <w:rsid w:val="0FCE32B3"/>
    <w:rsid w:val="0FFE195E"/>
    <w:rsid w:val="10282A91"/>
    <w:rsid w:val="10A87B61"/>
    <w:rsid w:val="113A4C18"/>
    <w:rsid w:val="11496C09"/>
    <w:rsid w:val="11C0213A"/>
    <w:rsid w:val="11F748B7"/>
    <w:rsid w:val="127C4DBC"/>
    <w:rsid w:val="16FF2141"/>
    <w:rsid w:val="17E01CEC"/>
    <w:rsid w:val="185D40D7"/>
    <w:rsid w:val="18B23140"/>
    <w:rsid w:val="191F5F30"/>
    <w:rsid w:val="19CD0070"/>
    <w:rsid w:val="1A0B56F1"/>
    <w:rsid w:val="1A846CC1"/>
    <w:rsid w:val="1AF62AC5"/>
    <w:rsid w:val="1C161A62"/>
    <w:rsid w:val="1E7F253B"/>
    <w:rsid w:val="1EA00084"/>
    <w:rsid w:val="1ED96131"/>
    <w:rsid w:val="1EF37C46"/>
    <w:rsid w:val="1F503858"/>
    <w:rsid w:val="20566C4C"/>
    <w:rsid w:val="212E3725"/>
    <w:rsid w:val="21884F0C"/>
    <w:rsid w:val="219429D4"/>
    <w:rsid w:val="238C4C0D"/>
    <w:rsid w:val="23B66BD2"/>
    <w:rsid w:val="25D33553"/>
    <w:rsid w:val="25DD15C5"/>
    <w:rsid w:val="26676CA3"/>
    <w:rsid w:val="269229A8"/>
    <w:rsid w:val="27796F26"/>
    <w:rsid w:val="28B42FD1"/>
    <w:rsid w:val="29171045"/>
    <w:rsid w:val="2A0E53D4"/>
    <w:rsid w:val="2A222295"/>
    <w:rsid w:val="2CEB4BC0"/>
    <w:rsid w:val="2D1A7254"/>
    <w:rsid w:val="2E1E53E3"/>
    <w:rsid w:val="2EA064A0"/>
    <w:rsid w:val="307028E6"/>
    <w:rsid w:val="30B8300C"/>
    <w:rsid w:val="31183FE8"/>
    <w:rsid w:val="3188594B"/>
    <w:rsid w:val="3229553B"/>
    <w:rsid w:val="3380548F"/>
    <w:rsid w:val="33AA7583"/>
    <w:rsid w:val="33C63C91"/>
    <w:rsid w:val="35E12B4D"/>
    <w:rsid w:val="36CF468C"/>
    <w:rsid w:val="37B10062"/>
    <w:rsid w:val="37EF5869"/>
    <w:rsid w:val="38657F1D"/>
    <w:rsid w:val="38D42EAA"/>
    <w:rsid w:val="38DC440D"/>
    <w:rsid w:val="39211013"/>
    <w:rsid w:val="3925145A"/>
    <w:rsid w:val="393A75ED"/>
    <w:rsid w:val="39404BDD"/>
    <w:rsid w:val="398A3CE5"/>
    <w:rsid w:val="3A604186"/>
    <w:rsid w:val="3B186377"/>
    <w:rsid w:val="3B7346FF"/>
    <w:rsid w:val="3BEC625F"/>
    <w:rsid w:val="3D7F6A3A"/>
    <w:rsid w:val="3E081DAF"/>
    <w:rsid w:val="3E3658EB"/>
    <w:rsid w:val="3F5F315E"/>
    <w:rsid w:val="3FF83425"/>
    <w:rsid w:val="406C7CC6"/>
    <w:rsid w:val="41C71F06"/>
    <w:rsid w:val="447339C1"/>
    <w:rsid w:val="45BE5498"/>
    <w:rsid w:val="469E71A8"/>
    <w:rsid w:val="46DE0B39"/>
    <w:rsid w:val="474F17A4"/>
    <w:rsid w:val="47C62C3F"/>
    <w:rsid w:val="482707A3"/>
    <w:rsid w:val="48D936A8"/>
    <w:rsid w:val="490F7633"/>
    <w:rsid w:val="49547006"/>
    <w:rsid w:val="49555444"/>
    <w:rsid w:val="49CA4977"/>
    <w:rsid w:val="49FE6356"/>
    <w:rsid w:val="4A0C3094"/>
    <w:rsid w:val="4A3605A8"/>
    <w:rsid w:val="4BDD5BE0"/>
    <w:rsid w:val="4C531609"/>
    <w:rsid w:val="4DAC2FB6"/>
    <w:rsid w:val="4ECF5C98"/>
    <w:rsid w:val="4EE43655"/>
    <w:rsid w:val="4F0B013B"/>
    <w:rsid w:val="4FDB79C1"/>
    <w:rsid w:val="502344EE"/>
    <w:rsid w:val="509C7DFC"/>
    <w:rsid w:val="53AE31BA"/>
    <w:rsid w:val="547F6D46"/>
    <w:rsid w:val="55924C55"/>
    <w:rsid w:val="55A439DB"/>
    <w:rsid w:val="568B06F7"/>
    <w:rsid w:val="570A0F13"/>
    <w:rsid w:val="57CE2F91"/>
    <w:rsid w:val="58095CBB"/>
    <w:rsid w:val="581037D2"/>
    <w:rsid w:val="585A4825"/>
    <w:rsid w:val="5899321A"/>
    <w:rsid w:val="58FD257F"/>
    <w:rsid w:val="59886344"/>
    <w:rsid w:val="5A0215A1"/>
    <w:rsid w:val="5A6C18A8"/>
    <w:rsid w:val="5AF17033"/>
    <w:rsid w:val="5AFA409D"/>
    <w:rsid w:val="5B1C7423"/>
    <w:rsid w:val="5B531ADB"/>
    <w:rsid w:val="5BA65531"/>
    <w:rsid w:val="5BEA24B6"/>
    <w:rsid w:val="5C0105BA"/>
    <w:rsid w:val="5C514191"/>
    <w:rsid w:val="5D55249C"/>
    <w:rsid w:val="5D6D6A5B"/>
    <w:rsid w:val="5DAF73C1"/>
    <w:rsid w:val="5E260208"/>
    <w:rsid w:val="60B3748A"/>
    <w:rsid w:val="61811074"/>
    <w:rsid w:val="61C6117D"/>
    <w:rsid w:val="61E41157"/>
    <w:rsid w:val="63796007"/>
    <w:rsid w:val="645227C1"/>
    <w:rsid w:val="66263ABB"/>
    <w:rsid w:val="679338AF"/>
    <w:rsid w:val="699C5B6F"/>
    <w:rsid w:val="6A3F2BCE"/>
    <w:rsid w:val="6AE079AE"/>
    <w:rsid w:val="6B2A452A"/>
    <w:rsid w:val="6C2D4049"/>
    <w:rsid w:val="6CAB51F7"/>
    <w:rsid w:val="6DB75915"/>
    <w:rsid w:val="6E657628"/>
    <w:rsid w:val="6F3922E7"/>
    <w:rsid w:val="6F8F4EC7"/>
    <w:rsid w:val="6FAB550E"/>
    <w:rsid w:val="71500A63"/>
    <w:rsid w:val="71FD5E92"/>
    <w:rsid w:val="72C2773E"/>
    <w:rsid w:val="72F74E03"/>
    <w:rsid w:val="73337351"/>
    <w:rsid w:val="734175FF"/>
    <w:rsid w:val="758F7F6D"/>
    <w:rsid w:val="75CE77D5"/>
    <w:rsid w:val="765C119A"/>
    <w:rsid w:val="787D5D0E"/>
    <w:rsid w:val="78DB3B19"/>
    <w:rsid w:val="791D063B"/>
    <w:rsid w:val="7ABD2CC5"/>
    <w:rsid w:val="7B754E49"/>
    <w:rsid w:val="7D8B2B7A"/>
    <w:rsid w:val="7EFC2BD2"/>
    <w:rsid w:val="7F0F7867"/>
    <w:rsid w:val="7F1E3D69"/>
    <w:rsid w:val="7F48099F"/>
    <w:rsid w:val="7F71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922D2A-F607-4924-841C-2D46DD89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uiPriority="99"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 w:hAnsi="仿宋"/>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rFonts w:ascii="Calibri" w:hAnsi="Calibri" w:cs="宋体"/>
      <w:kern w:val="2"/>
      <w:sz w:val="21"/>
    </w:rPr>
  </w:style>
  <w:style w:type="paragraph" w:styleId="a4">
    <w:name w:val="annotation text"/>
    <w:basedOn w:val="a"/>
    <w:qFormat/>
    <w:pPr>
      <w:jc w:val="left"/>
    </w:pPr>
  </w:style>
  <w:style w:type="paragraph" w:styleId="a5">
    <w:name w:val="Body Text"/>
    <w:basedOn w:val="a"/>
    <w:next w:val="5"/>
    <w:semiHidden/>
    <w:qFormat/>
    <w:rPr>
      <w:rFonts w:eastAsia="仿宋" w:cs="仿宋"/>
      <w:sz w:val="31"/>
      <w:szCs w:val="31"/>
      <w:lang w:eastAsia="en-US"/>
    </w:rPr>
  </w:style>
  <w:style w:type="paragraph" w:styleId="5">
    <w:name w:val="toc 5"/>
    <w:basedOn w:val="a"/>
    <w:next w:val="a"/>
    <w:qFormat/>
    <w:pPr>
      <w:ind w:leftChars="800" w:left="1680"/>
    </w:pPr>
  </w:style>
  <w:style w:type="paragraph" w:styleId="a6">
    <w:name w:val="Body Text Indent"/>
    <w:basedOn w:val="a"/>
    <w:uiPriority w:val="99"/>
    <w:qFormat/>
    <w:pPr>
      <w:spacing w:line="420" w:lineRule="atLeast"/>
      <w:ind w:firstLine="540"/>
    </w:pPr>
    <w:rPr>
      <w:szCs w:val="20"/>
    </w:rPr>
  </w:style>
  <w:style w:type="paragraph" w:styleId="a7">
    <w:name w:val="footer"/>
    <w:qFormat/>
    <w:pPr>
      <w:widowControl w:val="0"/>
      <w:tabs>
        <w:tab w:val="center" w:pos="4153"/>
        <w:tab w:val="right" w:pos="8306"/>
      </w:tabs>
      <w:snapToGrid w:val="0"/>
    </w:pPr>
    <w:rPr>
      <w:rFonts w:ascii="仿宋" w:hAnsi="仿宋"/>
      <w:sz w:val="18"/>
      <w:szCs w:val="24"/>
    </w:rPr>
  </w:style>
  <w:style w:type="paragraph" w:styleId="a8">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仿宋" w:hAnsi="仿宋"/>
      <w:sz w:val="18"/>
      <w:szCs w:val="24"/>
    </w:rPr>
  </w:style>
  <w:style w:type="paragraph" w:styleId="a9">
    <w:name w:val="Normal (Web)"/>
    <w:basedOn w:val="a"/>
    <w:qFormat/>
    <w:pPr>
      <w:spacing w:beforeAutospacing="1" w:afterAutospacing="1"/>
      <w:jc w:val="left"/>
    </w:pPr>
    <w:rPr>
      <w:sz w:val="24"/>
    </w:rPr>
  </w:style>
  <w:style w:type="paragraph" w:styleId="2">
    <w:name w:val="Body Text First Indent 2"/>
    <w:basedOn w:val="a6"/>
    <w:uiPriority w:val="99"/>
    <w:unhideWhenUsed/>
    <w:qFormat/>
    <w:pPr>
      <w:spacing w:after="120" w:line="360" w:lineRule="auto"/>
      <w:ind w:leftChars="200" w:left="420" w:firstLineChars="200" w:firstLine="420"/>
    </w:pPr>
    <w:rPr>
      <w:szCs w:val="24"/>
    </w:rPr>
  </w:style>
  <w:style w:type="character" w:styleId="aa">
    <w:name w:val="Strong"/>
    <w:basedOn w:val="a0"/>
    <w:qFormat/>
    <w:rPr>
      <w:b/>
    </w:rPr>
  </w:style>
  <w:style w:type="paragraph" w:customStyle="1" w:styleId="1">
    <w:name w:val="列出段落1"/>
    <w:basedOn w:val="a"/>
    <w:uiPriority w:val="34"/>
    <w:qFormat/>
    <w:pPr>
      <w:ind w:firstLineChars="200" w:firstLine="420"/>
    </w:pPr>
  </w:style>
  <w:style w:type="paragraph" w:styleId="ab">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1881</Words>
  <Characters>10726</Characters>
  <Application>Microsoft Office Word</Application>
  <DocSecurity>0</DocSecurity>
  <Lines>89</Lines>
  <Paragraphs>25</Paragraphs>
  <ScaleCrop>false</ScaleCrop>
  <Company>微软中国</Company>
  <LinksUpToDate>false</LinksUpToDate>
  <CharactersWithSpaces>12582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2025-09-23T06:37:00Z</dcterms:created>
  <dcterms:modified xsi:type="dcterms:W3CDTF">2025-09-23T06:38:00Z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94EA49C4EC4C49D0B0C0C25FC1DCCF62_13</vt:lpwstr>
  </property>
  <property fmtid="{D5CDD505-2E9C-101B-9397-08002B2CF9AE}" pid="4" name="KSOTemplateDocerSaveRecord">
    <vt:lpwstr>eyJoZGlkIjoiNjgxZmIyZGM1NjlmYzFmNTczZGVkNWYyNWIwMGFjMmUiLCJ1c2VySWQiOiIyOTMyNjEyNDMifQ==</vt:lpwstr>
  </property>
</Properties>
</file>