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sz w:val="84"/>
          <w:szCs w:val="84"/>
        </w:rPr>
        <w:t xml:space="preserve">岳阳市公安局岳阳楼分局 </w:t>
      </w:r>
      <w:r>
        <w:rPr>
          <w:rFonts w:hint="eastAsia"/>
          <w:sz w:val="84"/>
          <w:szCs w:val="84"/>
          <w:lang w:eastAsia="zh-CN"/>
        </w:rPr>
        <w:t>部门</w:t>
      </w:r>
      <w:r>
        <w:rPr>
          <w:rFonts w:hint="eastAsia" w:ascii="方正小标宋_GBK" w:hAnsi="方正小标宋_GBK" w:eastAsia="方正小标宋_GBK" w:cs="方正小标宋_GBK"/>
          <w:sz w:val="84"/>
          <w:szCs w:val="84"/>
        </w:rPr>
        <w:t>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00" w:lineRule="exact"/>
        <w:jc w:val="both"/>
        <w:rPr>
          <w:b/>
          <w:sz w:val="36"/>
          <w:szCs w:val="28"/>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岳阳市公安局岳阳楼分局</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岳阳市公安局岳阳楼分局</w:t>
      </w: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3"/>
        <w:ind w:left="0" w:leftChars="0" w:firstLine="0" w:firstLineChars="0"/>
        <w:rPr>
          <w:rFonts w:hint="eastAsia" w:ascii="方正小标宋_GBK" w:hAnsi="方正小标宋_GBK" w:eastAsia="方正小标宋_GBK" w:cs="方正小标宋_GBK"/>
          <w:sz w:val="84"/>
          <w:szCs w:val="84"/>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numPr>
          <w:ilvl w:val="0"/>
          <w:numId w:val="2"/>
        </w:numPr>
        <w:spacing w:line="360" w:lineRule="auto"/>
        <w:ind w:firstLine="640"/>
        <w:rPr>
          <w:rFonts w:hint="eastAsia" w:ascii="仿宋" w:hAnsi="仿宋" w:eastAsia="仿宋" w:cs="仿宋"/>
          <w:sz w:val="32"/>
          <w:szCs w:val="32"/>
        </w:rPr>
      </w:pPr>
      <w:r>
        <w:rPr>
          <w:rFonts w:hint="eastAsia" w:ascii="仿宋" w:hAnsi="仿宋" w:eastAsia="仿宋" w:cs="仿宋"/>
          <w:sz w:val="32"/>
          <w:szCs w:val="32"/>
        </w:rPr>
        <w:t>预防制止和侦查违法犯罪活动；</w:t>
      </w:r>
    </w:p>
    <w:p>
      <w:pPr>
        <w:numPr>
          <w:ilvl w:val="0"/>
          <w:numId w:val="2"/>
        </w:numPr>
        <w:spacing w:line="360" w:lineRule="auto"/>
        <w:ind w:firstLine="640"/>
        <w:rPr>
          <w:rFonts w:hint="eastAsia" w:ascii="仿宋" w:hAnsi="仿宋" w:eastAsia="仿宋" w:cs="仿宋"/>
          <w:sz w:val="28"/>
          <w:szCs w:val="32"/>
        </w:rPr>
      </w:pPr>
      <w:r>
        <w:rPr>
          <w:rFonts w:hint="eastAsia" w:ascii="仿宋" w:hAnsi="仿宋" w:eastAsia="仿宋" w:cs="仿宋"/>
          <w:sz w:val="32"/>
          <w:szCs w:val="32"/>
        </w:rPr>
        <w:t>维护社会治安秩序，制止危害社会治安秩序的行为；</w:t>
      </w:r>
    </w:p>
    <w:p>
      <w:pPr>
        <w:numPr>
          <w:ilvl w:val="0"/>
          <w:numId w:val="2"/>
        </w:numPr>
        <w:spacing w:line="360" w:lineRule="auto"/>
        <w:ind w:firstLine="640"/>
        <w:rPr>
          <w:rFonts w:hint="eastAsia" w:ascii="仿宋" w:hAnsi="仿宋" w:eastAsia="仿宋" w:cs="仿宋"/>
          <w:sz w:val="28"/>
          <w:szCs w:val="32"/>
        </w:rPr>
      </w:pPr>
      <w:r>
        <w:rPr>
          <w:rFonts w:hint="eastAsia" w:ascii="仿宋" w:hAnsi="仿宋" w:eastAsia="仿宋" w:cs="仿宋"/>
          <w:sz w:val="32"/>
          <w:szCs w:val="32"/>
        </w:rPr>
        <w:t>组织实施消防工作，实行消防监督；</w:t>
      </w:r>
    </w:p>
    <w:p>
      <w:pPr>
        <w:numPr>
          <w:ilvl w:val="0"/>
          <w:numId w:val="2"/>
        </w:numPr>
        <w:spacing w:line="360" w:lineRule="auto"/>
        <w:ind w:firstLine="640"/>
        <w:rPr>
          <w:rFonts w:hint="eastAsia" w:ascii="仿宋" w:hAnsi="仿宋" w:eastAsia="仿宋" w:cs="仿宋"/>
          <w:sz w:val="28"/>
          <w:szCs w:val="32"/>
        </w:rPr>
      </w:pPr>
      <w:r>
        <w:rPr>
          <w:rFonts w:hint="eastAsia" w:ascii="仿宋" w:hAnsi="仿宋" w:eastAsia="仿宋" w:cs="仿宋"/>
          <w:sz w:val="32"/>
          <w:szCs w:val="32"/>
        </w:rPr>
        <w:t>管理枪支弹药、控制刀具和易燃易爆、剧毒、放射等危险物品；对法律、法规指定的特种行业进行管理；</w:t>
      </w:r>
    </w:p>
    <w:p>
      <w:pPr>
        <w:numPr>
          <w:ilvl w:val="0"/>
          <w:numId w:val="2"/>
        </w:numPr>
        <w:spacing w:line="360" w:lineRule="auto"/>
        <w:ind w:firstLine="640"/>
        <w:rPr>
          <w:rFonts w:hint="eastAsia" w:ascii="仿宋" w:hAnsi="仿宋" w:eastAsia="仿宋" w:cs="仿宋"/>
          <w:sz w:val="28"/>
          <w:szCs w:val="32"/>
        </w:rPr>
      </w:pPr>
      <w:r>
        <w:rPr>
          <w:rFonts w:hint="eastAsia" w:ascii="仿宋" w:hAnsi="仿宋" w:eastAsia="仿宋" w:cs="仿宋"/>
          <w:sz w:val="32"/>
          <w:szCs w:val="32"/>
        </w:rPr>
        <w:t>警卫国家规定的特定人员，守卫重要的场所和设施；管理集会、游行、示威活动；</w:t>
      </w:r>
    </w:p>
    <w:p>
      <w:pPr>
        <w:numPr>
          <w:ilvl w:val="0"/>
          <w:numId w:val="2"/>
        </w:numPr>
        <w:spacing w:line="360" w:lineRule="auto"/>
        <w:ind w:firstLine="640"/>
        <w:rPr>
          <w:rFonts w:hint="eastAsia" w:ascii="仿宋" w:hAnsi="仿宋" w:eastAsia="仿宋" w:cs="仿宋"/>
          <w:sz w:val="28"/>
          <w:szCs w:val="32"/>
        </w:rPr>
      </w:pPr>
      <w:r>
        <w:rPr>
          <w:rFonts w:hint="eastAsia" w:ascii="仿宋" w:hAnsi="仿宋" w:eastAsia="仿宋" w:cs="仿宋"/>
          <w:sz w:val="32"/>
          <w:szCs w:val="32"/>
        </w:rPr>
        <w:t>管理户政、国籍、出入境事务和外国人在中国境内居留、旅行的有关事务；</w:t>
      </w:r>
    </w:p>
    <w:p>
      <w:pPr>
        <w:numPr>
          <w:ilvl w:val="0"/>
          <w:numId w:val="2"/>
        </w:numPr>
        <w:spacing w:line="360" w:lineRule="auto"/>
        <w:ind w:firstLine="640"/>
        <w:rPr>
          <w:rFonts w:hint="eastAsia" w:ascii="仿宋" w:hAnsi="仿宋" w:eastAsia="仿宋" w:cs="仿宋"/>
          <w:sz w:val="28"/>
          <w:szCs w:val="32"/>
        </w:rPr>
      </w:pPr>
      <w:r>
        <w:rPr>
          <w:rFonts w:hint="eastAsia" w:ascii="仿宋" w:hAnsi="仿宋" w:eastAsia="仿宋" w:cs="仿宋"/>
          <w:sz w:val="32"/>
          <w:szCs w:val="32"/>
        </w:rPr>
        <w:t>维护国边境地区的治安秩序；管理监督计算机信息系统的安全保卫工作；</w:t>
      </w:r>
    </w:p>
    <w:p>
      <w:pPr>
        <w:numPr>
          <w:ilvl w:val="0"/>
          <w:numId w:val="2"/>
        </w:numPr>
        <w:spacing w:line="360" w:lineRule="auto"/>
        <w:ind w:firstLine="640"/>
        <w:rPr>
          <w:rFonts w:hint="eastAsia" w:ascii="仿宋" w:hAnsi="仿宋" w:eastAsia="仿宋" w:cs="仿宋"/>
          <w:sz w:val="28"/>
          <w:szCs w:val="32"/>
        </w:rPr>
      </w:pPr>
      <w:r>
        <w:rPr>
          <w:rFonts w:hint="eastAsia" w:ascii="仿宋" w:hAnsi="仿宋" w:eastAsia="仿宋" w:cs="仿宋"/>
          <w:sz w:val="32"/>
          <w:szCs w:val="32"/>
        </w:rPr>
        <w:t>指导监督国家机关、社会团体、企业事业组织和重点建设工程的治安保卫工作，指导治安保卫委员会等群众性组织的治安防范工作；</w:t>
      </w:r>
    </w:p>
    <w:p>
      <w:pPr>
        <w:numPr>
          <w:ilvl w:val="0"/>
          <w:numId w:val="2"/>
        </w:numPr>
        <w:spacing w:line="360" w:lineRule="auto"/>
        <w:ind w:firstLine="640"/>
        <w:rPr>
          <w:rFonts w:hint="eastAsia" w:ascii="仿宋" w:hAnsi="仿宋" w:eastAsia="仿宋" w:cs="仿宋"/>
          <w:sz w:val="32"/>
          <w:szCs w:val="32"/>
        </w:rPr>
      </w:pPr>
      <w:r>
        <w:rPr>
          <w:rFonts w:hint="eastAsia" w:ascii="仿宋" w:hAnsi="仿宋" w:eastAsia="仿宋" w:cs="仿宋"/>
          <w:sz w:val="32"/>
          <w:szCs w:val="32"/>
        </w:rPr>
        <w:t>法律法规规定的其他职责。</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本单位内设机构包括：19个公安派出所（东茅岭所、五里牌所、站前路所、枫桥湖所、金鹗山所、南湖所、洛王所、梅溪所、三眼桥所、王家河所、望岳路所、奇家岭所、岳阳楼所、吕仙亭所、湖滨所、郭镇所、城陵矶所、洞庭所、龙山所）、16个执法办案大队（巡逻大队、便衣大队、内保大队、刑侦大队、法制大队、情报大队、人境大队、禁毒大队、经侦大队、城管大队、反恐大队、科信大队、网安大队、执法办案中心）、5个机关科室（指挥中心、警务保障室、政工室、辅警办、纪委）。</w:t>
      </w:r>
    </w:p>
    <w:p>
      <w:pPr>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（二）决算单位构成。本单位202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年部门决算汇总公开单位构成包括单位本级，无二级预算单位。</w:t>
      </w:r>
    </w:p>
    <w:p>
      <w:pPr>
        <w:jc w:val="left"/>
        <w:rPr>
          <w:rFonts w:hint="eastAsia" w:ascii="Times New Roman" w:hAnsi="Times New Roman" w:eastAsia="仿宋_GB2312" w:cs="仿宋_GB2312"/>
          <w:bCs/>
          <w:kern w:val="0"/>
          <w:sz w:val="32"/>
          <w:szCs w:val="32"/>
        </w:rPr>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19119.12</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1560.45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7.55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项目支出减少。</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19081.34</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13707.44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71.84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5373.9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28.16</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年度支出合计18202.18万元，其中：基本支出16398.</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90.09</w:t>
      </w:r>
      <w:r>
        <w:rPr>
          <w:rFonts w:hint="eastAsia" w:ascii="仿宋_GB2312" w:hAnsi="仿宋_GB2312" w:eastAsia="仿宋_GB2312" w:cs="仿宋_GB2312"/>
          <w:sz w:val="32"/>
          <w:szCs w:val="32"/>
        </w:rPr>
        <w:t>%；项目支出1803.7</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9.91</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年度财政拨款收、支总计13707.44万元，与上年相比，减少</w:t>
      </w:r>
      <w:r>
        <w:rPr>
          <w:rFonts w:hint="eastAsia" w:ascii="仿宋_GB2312" w:hAnsi="仿宋_GB2312" w:eastAsia="仿宋_GB2312" w:cs="仿宋_GB2312"/>
          <w:sz w:val="32"/>
          <w:szCs w:val="32"/>
          <w:lang w:val="en-US" w:eastAsia="zh-CN"/>
        </w:rPr>
        <w:t>4257.49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23.7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shd w:val="clear" w:fill="FFFFFF" w:themeFill="background1"/>
        </w:rPr>
        <w:t>主要是因为</w:t>
      </w:r>
      <w:r>
        <w:rPr>
          <w:rFonts w:hint="eastAsia" w:ascii="Times New Roman" w:hAnsi="Times New Roman" w:eastAsia="仿宋_GB2312"/>
          <w:color w:val="auto"/>
          <w:sz w:val="32"/>
          <w:szCs w:val="32"/>
        </w:rPr>
        <w:t>非税收入超收安排比上年</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年度财政拨款支出13707.44万元，占本年支出合计的</w:t>
      </w:r>
      <w:r>
        <w:rPr>
          <w:rFonts w:hint="eastAsia" w:ascii="仿宋_GB2312" w:hAnsi="仿宋_GB2312" w:eastAsia="仿宋_GB2312" w:cs="仿宋_GB2312"/>
          <w:sz w:val="32"/>
          <w:szCs w:val="32"/>
          <w:lang w:val="en-US" w:eastAsia="zh-CN"/>
        </w:rPr>
        <w:t>75.31</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4257.49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23.7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shd w:val="clear" w:fill="FFFFFF" w:themeFill="background1"/>
        </w:rPr>
        <w:t>，</w:t>
      </w:r>
      <w:r>
        <w:rPr>
          <w:rFonts w:hint="eastAsia" w:ascii="仿宋_GB2312" w:hAnsi="仿宋_GB2312" w:eastAsia="仿宋_GB2312" w:cs="仿宋_GB2312"/>
          <w:color w:val="auto"/>
          <w:sz w:val="32"/>
          <w:szCs w:val="32"/>
          <w:shd w:val="clear" w:fill="FFFFFF" w:themeFill="background1"/>
        </w:rPr>
        <w:t>主要是因为</w:t>
      </w:r>
      <w:r>
        <w:rPr>
          <w:rFonts w:hint="eastAsia" w:ascii="Times New Roman" w:hAnsi="Times New Roman" w:eastAsia="仿宋_GB2312"/>
          <w:color w:val="auto"/>
          <w:sz w:val="32"/>
          <w:szCs w:val="32"/>
        </w:rPr>
        <w:t>非税收入超收安排比上年</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年度财政拨款支出13707.44万元，主要用于以下方面：</w:t>
      </w:r>
      <w:r>
        <w:rPr>
          <w:rFonts w:hint="eastAsia" w:ascii="Times New Roman" w:hAnsi="Times New Roman" w:eastAsia="仿宋_GB2312"/>
          <w:sz w:val="32"/>
          <w:szCs w:val="32"/>
          <w:lang w:val="en-US" w:eastAsia="zh-CN"/>
        </w:rPr>
        <w:t>公共安全类</w:t>
      </w:r>
      <w:r>
        <w:rPr>
          <w:rFonts w:hint="eastAsia" w:ascii="Times New Roman" w:hAnsi="Times New Roman" w:eastAsia="仿宋_GB2312"/>
          <w:sz w:val="32"/>
          <w:szCs w:val="32"/>
          <w:shd w:val="clear"/>
          <w:lang w:val="en-US" w:eastAsia="zh-CN"/>
        </w:rPr>
        <w:t>支</w:t>
      </w:r>
      <w:r>
        <w:rPr>
          <w:rFonts w:hint="eastAsia" w:ascii="仿宋_GB2312" w:hAnsi="仿宋_GB2312" w:eastAsia="仿宋_GB2312" w:cs="仿宋_GB2312"/>
          <w:sz w:val="32"/>
          <w:szCs w:val="32"/>
          <w:shd w:val="clear"/>
          <w:lang w:val="en-US" w:eastAsia="zh-CN"/>
        </w:rPr>
        <w:t>出11533.32万元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84.14</w:t>
      </w:r>
      <w:r>
        <w:rPr>
          <w:rFonts w:hint="eastAsia" w:ascii="仿宋_GB2312" w:hAnsi="仿宋_GB2312" w:eastAsia="仿宋_GB2312" w:cs="仿宋_GB2312"/>
          <w:sz w:val="32"/>
          <w:szCs w:val="32"/>
        </w:rPr>
        <w:t>%；社会保障和就业类支出968.48万元，占</w:t>
      </w:r>
      <w:r>
        <w:rPr>
          <w:rFonts w:hint="eastAsia" w:ascii="仿宋_GB2312" w:hAnsi="仿宋_GB2312" w:eastAsia="仿宋_GB2312" w:cs="仿宋_GB2312"/>
          <w:sz w:val="32"/>
          <w:szCs w:val="32"/>
          <w:lang w:val="en-US" w:eastAsia="zh-CN"/>
        </w:rPr>
        <w:t>7.07</w:t>
      </w:r>
      <w:r>
        <w:rPr>
          <w:rFonts w:hint="eastAsia" w:ascii="仿宋_GB2312" w:hAnsi="仿宋_GB2312" w:eastAsia="仿宋_GB2312" w:cs="仿宋_GB2312"/>
          <w:sz w:val="32"/>
          <w:szCs w:val="32"/>
        </w:rPr>
        <w:t>%；卫生健康类支出576.09万元，占</w:t>
      </w: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；住房保障支出629.55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4.59</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11880.17</w:t>
      </w:r>
      <w:r>
        <w:rPr>
          <w:rFonts w:hint="eastAsia" w:ascii="仿宋_GB2312" w:hAnsi="仿宋_GB2312" w:eastAsia="仿宋_GB2312" w:cs="仿宋_GB2312"/>
          <w:sz w:val="32"/>
          <w:szCs w:val="32"/>
        </w:rPr>
        <w:t>万元，支出决算数为13707.44万元，完成年初预算的</w:t>
      </w:r>
      <w:r>
        <w:rPr>
          <w:rFonts w:hint="eastAsia" w:ascii="仿宋_GB2312" w:hAnsi="仿宋_GB2312" w:eastAsia="仿宋_GB2312" w:cs="仿宋_GB2312"/>
          <w:sz w:val="32"/>
          <w:szCs w:val="32"/>
          <w:lang w:val="en-US" w:eastAsia="zh-CN"/>
        </w:rPr>
        <w:t>115.38</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公共安全支出（类）公安（款）行政运行（项）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8771.22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9159.66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104.43</w:t>
      </w:r>
      <w:r>
        <w:rPr>
          <w:rFonts w:hint="eastAsia" w:ascii="仿宋_GB2312" w:hAnsi="仿宋_GB2312" w:eastAsia="仿宋_GB2312" w:cs="仿宋_GB2312"/>
          <w:sz w:val="32"/>
          <w:szCs w:val="32"/>
        </w:rPr>
        <w:t>%，决算数大于年初预算数的</w:t>
      </w:r>
      <w:r>
        <w:rPr>
          <w:rFonts w:hint="eastAsia" w:ascii="仿宋_GB2312" w:hAnsi="仿宋_GB2312" w:eastAsia="仿宋_GB2312" w:cs="仿宋_GB2312"/>
          <w:sz w:val="32"/>
          <w:szCs w:val="32"/>
          <w:shd w:val="clear" w:fill="FFFFFF" w:themeFill="background1"/>
        </w:rPr>
        <w:t>主要原因是</w:t>
      </w:r>
      <w:r>
        <w:rPr>
          <w:rFonts w:hint="eastAsia" w:ascii="Times New Roman" w:hAnsi="Times New Roman" w:eastAsia="仿宋_GB2312"/>
          <w:sz w:val="32"/>
          <w:szCs w:val="32"/>
          <w:shd w:val="clear"/>
        </w:rPr>
        <w:t>人员工资调标</w:t>
      </w:r>
      <w:r>
        <w:rPr>
          <w:rFonts w:hint="eastAsia" w:ascii="Times New Roman" w:hAnsi="Times New Roman" w:eastAsia="仿宋_GB2312"/>
          <w:sz w:val="32"/>
          <w:szCs w:val="32"/>
          <w:shd w:val="clear"/>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Times New Roman" w:hAnsi="Times New Roman" w:eastAsia="仿宋_GB2312"/>
          <w:sz w:val="32"/>
          <w:szCs w:val="32"/>
        </w:rPr>
        <w:t>公共安全支出（类）公安（款）一般行政管理事务（项）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114.41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417.25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364.7</w:t>
      </w:r>
      <w:r>
        <w:rPr>
          <w:rFonts w:hint="eastAsia" w:ascii="仿宋_GB2312" w:hAnsi="仿宋_GB2312" w:eastAsia="仿宋_GB2312" w:cs="仿宋_GB2312"/>
          <w:sz w:val="32"/>
          <w:szCs w:val="32"/>
        </w:rPr>
        <w:t>%，决算数大于年初预算数的</w:t>
      </w:r>
      <w:r>
        <w:rPr>
          <w:rFonts w:hint="eastAsia" w:ascii="仿宋_GB2312" w:hAnsi="仿宋_GB2312" w:eastAsia="仿宋_GB2312" w:cs="仿宋_GB2312"/>
          <w:sz w:val="32"/>
          <w:szCs w:val="32"/>
          <w:shd w:val="clear" w:fill="FFFFFF" w:themeFill="background1"/>
        </w:rPr>
        <w:t>主要原因是</w:t>
      </w:r>
      <w:r>
        <w:rPr>
          <w:rFonts w:hint="eastAsia" w:ascii="Times New Roman" w:hAnsi="Times New Roman" w:eastAsia="仿宋_GB2312"/>
          <w:sz w:val="32"/>
          <w:szCs w:val="32"/>
          <w:shd w:val="clear" w:fill="FFFFFF" w:themeFill="background1"/>
        </w:rPr>
        <w:t>转</w:t>
      </w:r>
      <w:r>
        <w:rPr>
          <w:rFonts w:hint="eastAsia" w:ascii="Times New Roman" w:hAnsi="Times New Roman" w:eastAsia="仿宋_GB2312"/>
          <w:sz w:val="32"/>
          <w:szCs w:val="32"/>
          <w:shd w:val="clear"/>
        </w:rPr>
        <w:t>移支付公安办案经费的投入以及非税收入超收安排</w:t>
      </w:r>
      <w:r>
        <w:rPr>
          <w:rFonts w:hint="eastAsia" w:ascii="Times New Roman" w:hAnsi="Times New Roman" w:eastAsia="仿宋_GB2312"/>
          <w:sz w:val="32"/>
          <w:szCs w:val="32"/>
          <w:shd w:val="clear"/>
          <w:lang w:eastAsia="zh-CN"/>
        </w:rPr>
        <w:t>。</w:t>
      </w:r>
      <w:r>
        <w:rPr>
          <w:rFonts w:hint="eastAsia" w:ascii="仿宋_GB2312" w:hAnsi="仿宋_GB2312" w:eastAsia="仿宋_GB2312" w:cs="仿宋_GB2312"/>
          <w:sz w:val="32"/>
          <w:szCs w:val="32"/>
          <w:lang w:val="en-US" w:eastAsia="zh-CN"/>
        </w:rPr>
        <w:t xml:space="preserve"> </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 xml:space="preserve">3、公共安全支出（类）公安（款）执法办案（项）。 </w:t>
      </w:r>
    </w:p>
    <w:p>
      <w:pPr>
        <w:pStyle w:val="12"/>
        <w:spacing w:line="600" w:lineRule="exact"/>
        <w:ind w:firstLine="800" w:firstLineChars="250"/>
        <w:rPr>
          <w:rFonts w:ascii="Times New Roman" w:hAnsi="Times New Roman" w:eastAsia="仿宋_GB2312"/>
          <w:sz w:val="32"/>
          <w:szCs w:val="32"/>
          <w:highlight w:val="red"/>
          <w:shd w:val="clear"/>
        </w:rPr>
      </w:pPr>
      <w:r>
        <w:rPr>
          <w:rFonts w:hint="eastAsia" w:ascii="Times New Roman" w:hAnsi="Times New Roman" w:eastAsia="仿宋_GB2312"/>
          <w:sz w:val="32"/>
          <w:szCs w:val="32"/>
        </w:rPr>
        <w:t>年初预</w:t>
      </w:r>
      <w:r>
        <w:rPr>
          <w:rFonts w:hint="eastAsia" w:ascii="仿宋_GB2312" w:hAnsi="仿宋_GB2312" w:eastAsia="仿宋_GB2312" w:cs="仿宋_GB2312"/>
          <w:sz w:val="32"/>
          <w:szCs w:val="32"/>
        </w:rPr>
        <w:t>算为637.7万元，支出决算为</w:t>
      </w:r>
      <w:r>
        <w:rPr>
          <w:rFonts w:hint="eastAsia" w:ascii="仿宋_GB2312" w:hAnsi="仿宋_GB2312" w:eastAsia="仿宋_GB2312" w:cs="仿宋_GB2312"/>
          <w:sz w:val="32"/>
          <w:szCs w:val="32"/>
          <w:lang w:val="en-US" w:eastAsia="zh-CN"/>
        </w:rPr>
        <w:t>723.43</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113.44</w:t>
      </w:r>
      <w:r>
        <w:rPr>
          <w:rFonts w:hint="eastAsia" w:ascii="仿宋_GB2312" w:hAnsi="仿宋_GB2312" w:eastAsia="仿宋_GB2312" w:cs="仿宋_GB2312"/>
          <w:sz w:val="32"/>
          <w:szCs w:val="32"/>
        </w:rPr>
        <w:t>%，决</w:t>
      </w:r>
      <w:r>
        <w:rPr>
          <w:rFonts w:hint="eastAsia" w:ascii="Times New Roman" w:hAnsi="Times New Roman" w:eastAsia="仿宋_GB2312"/>
          <w:sz w:val="32"/>
          <w:szCs w:val="32"/>
          <w:shd w:val="clear"/>
        </w:rPr>
        <w:t>算数大于年初预算数的</w:t>
      </w:r>
      <w:r>
        <w:rPr>
          <w:rFonts w:hint="eastAsia" w:ascii="Times New Roman" w:hAnsi="Times New Roman" w:eastAsia="仿宋_GB2312"/>
          <w:sz w:val="32"/>
          <w:szCs w:val="32"/>
          <w:shd w:val="clear" w:fill="FFFFFF" w:themeFill="background1"/>
        </w:rPr>
        <w:t>主要原因是财政追加公安工作经费</w:t>
      </w:r>
      <w:r>
        <w:rPr>
          <w:rFonts w:hint="eastAsia" w:ascii="Times New Roman" w:hAnsi="Times New Roman" w:eastAsia="仿宋_GB2312"/>
          <w:sz w:val="32"/>
          <w:szCs w:val="32"/>
          <w:shd w:val="clear"/>
        </w:rPr>
        <w:t>。</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4、公共安全支出（类）公安（款）其他公安支出（项）。</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w:t>
      </w:r>
      <w:r>
        <w:rPr>
          <w:rFonts w:hint="eastAsia" w:ascii="仿宋_GB2312" w:hAnsi="仿宋_GB2312" w:eastAsia="仿宋_GB2312" w:cs="仿宋_GB2312"/>
          <w:sz w:val="32"/>
          <w:szCs w:val="32"/>
        </w:rPr>
        <w:t>算为0万元，支出决算为</w:t>
      </w:r>
      <w:r>
        <w:rPr>
          <w:rFonts w:hint="eastAsia" w:ascii="仿宋_GB2312" w:hAnsi="仿宋_GB2312" w:eastAsia="仿宋_GB2312" w:cs="仿宋_GB2312"/>
          <w:sz w:val="32"/>
          <w:szCs w:val="32"/>
          <w:lang w:val="en-US" w:eastAsia="zh-CN"/>
        </w:rPr>
        <w:t>1232.98</w:t>
      </w:r>
      <w:r>
        <w:rPr>
          <w:rFonts w:hint="eastAsia" w:ascii="仿宋_GB2312" w:hAnsi="仿宋_GB2312" w:eastAsia="仿宋_GB2312" w:cs="仿宋_GB2312"/>
          <w:sz w:val="32"/>
          <w:szCs w:val="32"/>
        </w:rPr>
        <w:t>万元，决算数大于年初预算</w:t>
      </w:r>
      <w:r>
        <w:rPr>
          <w:rFonts w:hint="eastAsia" w:ascii="Times New Roman" w:hAnsi="Times New Roman" w:eastAsia="仿宋_GB2312"/>
          <w:sz w:val="32"/>
          <w:szCs w:val="32"/>
          <w:shd w:val="clear"/>
        </w:rPr>
        <w:t>数的主要原因是转移支付公安装备的投入以及非同级财政的拨款收入。</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、社会保障和就业支出（类）行政事业单位养老支出（款）机关事业单位养老保险缴费支出（项）。</w:t>
      </w:r>
    </w:p>
    <w:p>
      <w:pPr>
        <w:pStyle w:val="12"/>
        <w:spacing w:line="600" w:lineRule="exact"/>
        <w:ind w:firstLine="800" w:firstLineChars="250"/>
        <w:rPr>
          <w:rFonts w:hint="eastAsia" w:ascii="Times New Roman" w:hAnsi="Times New Roman" w:eastAsia="仿宋_GB2312"/>
          <w:sz w:val="32"/>
          <w:szCs w:val="32"/>
          <w:shd w:val="clear" w:fill="FFFFFF" w:themeFill="background1"/>
        </w:rPr>
      </w:pPr>
      <w:r>
        <w:rPr>
          <w:rFonts w:hint="eastAsia" w:ascii="Times New Roman" w:hAnsi="Times New Roman" w:eastAsia="仿宋_GB2312"/>
          <w:sz w:val="32"/>
          <w:szCs w:val="32"/>
        </w:rPr>
        <w:t>年初预</w:t>
      </w:r>
      <w:r>
        <w:rPr>
          <w:rFonts w:hint="eastAsia" w:ascii="仿宋_GB2312" w:hAnsi="仿宋_GB2312" w:eastAsia="仿宋_GB2312" w:cs="仿宋_GB2312"/>
          <w:sz w:val="32"/>
          <w:szCs w:val="32"/>
        </w:rPr>
        <w:t>算为</w:t>
      </w:r>
      <w:r>
        <w:rPr>
          <w:rFonts w:hint="eastAsia" w:ascii="仿宋_GB2312" w:hAnsi="仿宋_GB2312" w:eastAsia="仿宋_GB2312" w:cs="仿宋_GB2312"/>
          <w:sz w:val="32"/>
          <w:szCs w:val="32"/>
          <w:lang w:val="en-US" w:eastAsia="zh-CN"/>
        </w:rPr>
        <w:t>868.71</w:t>
      </w:r>
      <w:r>
        <w:rPr>
          <w:rFonts w:hint="eastAsia" w:ascii="仿宋_GB2312" w:hAnsi="仿宋_GB2312" w:eastAsia="仿宋_GB2312" w:cs="仿宋_GB2312"/>
          <w:sz w:val="32"/>
          <w:szCs w:val="32"/>
        </w:rPr>
        <w:t>万</w:t>
      </w:r>
      <w:r>
        <w:rPr>
          <w:rFonts w:hint="eastAsia" w:ascii="Times New Roman" w:hAnsi="Times New Roman" w:eastAsia="仿宋_GB2312"/>
          <w:sz w:val="32"/>
          <w:szCs w:val="32"/>
        </w:rPr>
        <w:t>元，支出决算为</w:t>
      </w:r>
      <w:r>
        <w:rPr>
          <w:rFonts w:hint="eastAsia" w:ascii="Times New Roman" w:hAnsi="Times New Roman" w:eastAsia="仿宋_GB2312"/>
          <w:sz w:val="32"/>
          <w:szCs w:val="32"/>
          <w:lang w:val="en-US" w:eastAsia="zh-CN"/>
        </w:rPr>
        <w:t>822.25</w:t>
      </w:r>
      <w:r>
        <w:rPr>
          <w:rFonts w:hint="eastAsia" w:ascii="Times New Roman" w:hAnsi="Times New Roman" w:eastAsia="仿宋_GB2312"/>
          <w:sz w:val="32"/>
          <w:szCs w:val="32"/>
        </w:rPr>
        <w:t>万元，完成预算</w:t>
      </w:r>
      <w:r>
        <w:rPr>
          <w:rFonts w:hint="eastAsia" w:ascii="Times New Roman" w:hAnsi="Times New Roman" w:eastAsia="仿宋_GB2312"/>
          <w:sz w:val="32"/>
          <w:szCs w:val="32"/>
          <w:lang w:val="en-US" w:eastAsia="zh-CN"/>
        </w:rPr>
        <w:t>94.65</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小</w:t>
      </w:r>
      <w:r>
        <w:rPr>
          <w:rFonts w:hint="eastAsia" w:ascii="Times New Roman" w:hAnsi="Times New Roman" w:eastAsia="仿宋_GB2312"/>
          <w:sz w:val="32"/>
          <w:szCs w:val="32"/>
        </w:rPr>
        <w:t>于年初预算数的</w:t>
      </w:r>
      <w:r>
        <w:rPr>
          <w:rFonts w:hint="eastAsia" w:ascii="Times New Roman" w:hAnsi="Times New Roman" w:eastAsia="仿宋_GB2312"/>
          <w:sz w:val="32"/>
          <w:szCs w:val="32"/>
          <w:shd w:val="clear" w:fill="FFFFFF" w:themeFill="background1"/>
        </w:rPr>
        <w:t>主要原因</w:t>
      </w:r>
      <w:r>
        <w:rPr>
          <w:rFonts w:hint="eastAsia" w:ascii="Times New Roman" w:hAnsi="Times New Roman" w:eastAsia="仿宋_GB2312"/>
          <w:sz w:val="32"/>
          <w:szCs w:val="32"/>
          <w:shd w:val="clear" w:fill="FFFFFF" w:themeFill="background1"/>
          <w:lang w:eastAsia="zh-CN"/>
        </w:rPr>
        <w:t>是有民警调出</w:t>
      </w:r>
      <w:r>
        <w:rPr>
          <w:rFonts w:hint="eastAsia" w:ascii="Times New Roman" w:hAnsi="Times New Roman" w:eastAsia="仿宋_GB2312"/>
          <w:sz w:val="32"/>
          <w:szCs w:val="32"/>
          <w:shd w:val="clear" w:fill="FFFFFF" w:themeFill="background1"/>
        </w:rPr>
        <w:t>。</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、社会保障和就业支出（类）抚恤（款）其他优抚支出（项）。</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年初预算为0元，支出决算为</w:t>
      </w:r>
      <w:r>
        <w:rPr>
          <w:rFonts w:hint="eastAsia" w:ascii="Times New Roman" w:hAnsi="Times New Roman" w:eastAsia="仿宋_GB2312"/>
          <w:sz w:val="32"/>
          <w:szCs w:val="32"/>
          <w:lang w:val="en-US" w:eastAsia="zh-CN"/>
        </w:rPr>
        <w:t>28.39</w:t>
      </w:r>
      <w:r>
        <w:rPr>
          <w:rFonts w:hint="eastAsia" w:ascii="Times New Roman" w:hAnsi="Times New Roman" w:eastAsia="仿宋_GB2312"/>
          <w:sz w:val="32"/>
          <w:szCs w:val="32"/>
        </w:rPr>
        <w:t>万元，决算数大于年初预算数的主要原因是财政追加抚恤金支出。</w:t>
      </w:r>
    </w:p>
    <w:p>
      <w:pPr>
        <w:pStyle w:val="12"/>
        <w:numPr>
          <w:ilvl w:val="0"/>
          <w:numId w:val="3"/>
        </w:numPr>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社会保障和就业支出（类）残疾人事业（款）其他残疾人事业支出（项）</w:t>
      </w:r>
    </w:p>
    <w:p>
      <w:pPr>
        <w:pStyle w:val="12"/>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117.84</w:t>
      </w:r>
      <w:r>
        <w:rPr>
          <w:rFonts w:hint="eastAsia" w:ascii="Times New Roman" w:hAnsi="Times New Roman" w:eastAsia="仿宋_GB2312"/>
          <w:sz w:val="32"/>
          <w:szCs w:val="32"/>
        </w:rPr>
        <w:t>元，支出决算为</w:t>
      </w:r>
      <w:r>
        <w:rPr>
          <w:rFonts w:hint="eastAsia" w:ascii="Times New Roman" w:hAnsi="Times New Roman" w:eastAsia="仿宋_GB2312"/>
          <w:sz w:val="32"/>
          <w:szCs w:val="32"/>
          <w:lang w:val="en-US" w:eastAsia="zh-CN"/>
        </w:rPr>
        <w:t>117.84</w:t>
      </w:r>
      <w:r>
        <w:rPr>
          <w:rFonts w:hint="eastAsia" w:ascii="Times New Roman" w:hAnsi="Times New Roman" w:eastAsia="仿宋_GB2312"/>
          <w:sz w:val="32"/>
          <w:szCs w:val="32"/>
        </w:rPr>
        <w:t>万元，完成预算</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等</w:t>
      </w:r>
      <w:r>
        <w:rPr>
          <w:rFonts w:hint="eastAsia" w:ascii="Times New Roman" w:hAnsi="Times New Roman" w:eastAsia="仿宋_GB2312"/>
          <w:sz w:val="32"/>
          <w:szCs w:val="32"/>
        </w:rPr>
        <w:t>于年初预算数的主要原因是财政拨付其他残疾人事业支出。</w:t>
      </w:r>
    </w:p>
    <w:p>
      <w:pPr>
        <w:pStyle w:val="12"/>
        <w:numPr>
          <w:ilvl w:val="0"/>
          <w:numId w:val="3"/>
        </w:numPr>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卫生健康支出（类）行政事业单位医疗（款）行政单位医疗（项）。</w:t>
      </w:r>
    </w:p>
    <w:p>
      <w:pPr>
        <w:pStyle w:val="12"/>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576.9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576.09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完成预算99.86%，</w:t>
      </w:r>
      <w:r>
        <w:rPr>
          <w:rFonts w:hint="eastAsia" w:ascii="仿宋_GB2312" w:hAnsi="仿宋_GB2312" w:eastAsia="仿宋_GB2312" w:cs="仿宋_GB2312"/>
          <w:sz w:val="32"/>
          <w:szCs w:val="32"/>
        </w:rPr>
        <w:t>决算数</w:t>
      </w:r>
      <w:r>
        <w:rPr>
          <w:rFonts w:hint="eastAsia" w:ascii="Times New Roman" w:hAnsi="Times New Roman" w:eastAsia="仿宋_GB2312"/>
          <w:sz w:val="32"/>
          <w:szCs w:val="32"/>
          <w:shd w:val="clear"/>
          <w:lang w:eastAsia="zh-CN"/>
        </w:rPr>
        <w:t>小于</w:t>
      </w:r>
      <w:r>
        <w:rPr>
          <w:rFonts w:hint="eastAsia" w:ascii="Times New Roman" w:hAnsi="Times New Roman" w:eastAsia="仿宋_GB2312"/>
          <w:sz w:val="32"/>
          <w:szCs w:val="32"/>
          <w:shd w:val="clear"/>
        </w:rPr>
        <w:t>年初预算数的主</w:t>
      </w:r>
      <w:r>
        <w:rPr>
          <w:rFonts w:hint="eastAsia" w:ascii="Times New Roman" w:hAnsi="Times New Roman" w:eastAsia="仿宋_GB2312"/>
          <w:sz w:val="32"/>
          <w:szCs w:val="32"/>
        </w:rPr>
        <w:t>要原因是财政拨付机关事业单位</w:t>
      </w:r>
      <w:r>
        <w:rPr>
          <w:rFonts w:hint="eastAsia" w:ascii="Times New Roman" w:hAnsi="Times New Roman" w:eastAsia="仿宋_GB2312"/>
          <w:sz w:val="32"/>
          <w:szCs w:val="32"/>
          <w:lang w:eastAsia="zh-CN"/>
        </w:rPr>
        <w:t>医疗</w:t>
      </w:r>
      <w:r>
        <w:rPr>
          <w:rFonts w:hint="eastAsia" w:ascii="Times New Roman" w:hAnsi="Times New Roman" w:eastAsia="仿宋_GB2312"/>
          <w:sz w:val="32"/>
          <w:szCs w:val="32"/>
        </w:rPr>
        <w:t>保险缴费</w:t>
      </w:r>
      <w:r>
        <w:rPr>
          <w:rFonts w:hint="eastAsia" w:ascii="Times New Roman" w:hAnsi="Times New Roman" w:eastAsia="仿宋_GB2312"/>
          <w:sz w:val="32"/>
          <w:szCs w:val="32"/>
          <w:lang w:eastAsia="zh-CN"/>
        </w:rPr>
        <w:t>。</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卫生健康支出（类）行政事业单位医疗（款）公务员医疗补助（行政事业单位医疗）（项）</w:t>
      </w:r>
    </w:p>
    <w:p>
      <w:pPr>
        <w:pStyle w:val="12"/>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163.84</w:t>
      </w:r>
      <w:r>
        <w:rPr>
          <w:rFonts w:hint="eastAsia" w:ascii="Times New Roman" w:hAnsi="Times New Roman" w:eastAsia="仿宋_GB2312"/>
          <w:sz w:val="32"/>
          <w:szCs w:val="32"/>
        </w:rPr>
        <w:t>万元，支出决算为0万元，完成预算0%，决算数小于年初预算数的主要原因是财政拨公务员医疗补助经费。</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住房保障支出（类）住房改革支出（款）住房公积金（项）</w:t>
      </w:r>
    </w:p>
    <w:p>
      <w:pPr>
        <w:pStyle w:val="12"/>
        <w:spacing w:line="600" w:lineRule="exact"/>
        <w:ind w:firstLine="800" w:firstLineChars="25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629.55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629.55</w:t>
      </w:r>
      <w:r>
        <w:rPr>
          <w:rFonts w:hint="eastAsia" w:ascii="Times New Roman" w:hAnsi="Times New Roman" w:eastAsia="仿宋_GB2312"/>
          <w:sz w:val="32"/>
          <w:szCs w:val="32"/>
        </w:rPr>
        <w:t>万元，完成预算</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0%，决算数</w:t>
      </w:r>
      <w:r>
        <w:rPr>
          <w:rFonts w:hint="eastAsia" w:ascii="Times New Roman" w:hAnsi="Times New Roman" w:eastAsia="仿宋_GB2312"/>
          <w:sz w:val="32"/>
          <w:szCs w:val="32"/>
          <w:lang w:eastAsia="zh-CN"/>
        </w:rPr>
        <w:t>等</w:t>
      </w:r>
      <w:r>
        <w:rPr>
          <w:rFonts w:hint="eastAsia" w:ascii="Times New Roman" w:hAnsi="Times New Roman" w:eastAsia="仿宋_GB2312"/>
          <w:sz w:val="32"/>
          <w:szCs w:val="32"/>
        </w:rPr>
        <w:t>于年初预算数的主要原因</w:t>
      </w:r>
      <w:r>
        <w:rPr>
          <w:rFonts w:hint="eastAsia" w:ascii="Times New Roman" w:hAnsi="Times New Roman" w:eastAsia="仿宋_GB2312"/>
          <w:sz w:val="32"/>
          <w:szCs w:val="32"/>
          <w:lang w:eastAsia="zh-CN"/>
        </w:rPr>
        <w:t>是</w:t>
      </w:r>
      <w:r>
        <w:rPr>
          <w:rFonts w:hint="eastAsia" w:ascii="Times New Roman" w:hAnsi="Times New Roman" w:eastAsia="仿宋_GB2312"/>
          <w:sz w:val="32"/>
          <w:szCs w:val="32"/>
        </w:rPr>
        <w:t>财政拨付住房公积金单位缴交款。</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12075.96</w:t>
      </w:r>
      <w:r>
        <w:rPr>
          <w:rFonts w:hint="eastAsia" w:ascii="仿宋_GB2312" w:hAnsi="仿宋_GB2312" w:eastAsia="仿宋_GB2312" w:cs="仿宋_GB2312"/>
          <w:sz w:val="32"/>
          <w:szCs w:val="32"/>
        </w:rPr>
        <w:t>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10473.53</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86.73</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主要包括主要包括基本工资、津贴补贴、</w:t>
      </w:r>
      <w:r>
        <w:rPr>
          <w:rFonts w:hint="eastAsia" w:ascii="Times New Roman" w:hAnsi="Times New Roman" w:eastAsia="仿宋_GB2312"/>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1602.43</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13.27</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2024年度政府性基金预算财政拨款收入0万元；年初结转和结余0万元；支出0万元，其中基本支出0万元，项目支出0万元；年末结转和结余0万元。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 xml:space="preserve">2024年度国有资本经营预算财政拨款收入0万元；年初结转和结余0万；支出0万元，其中基本支出0万元，项目支出0万元；年末结转和结余0万元。  </w:t>
      </w:r>
    </w:p>
    <w:p>
      <w:pPr>
        <w:pStyle w:val="12"/>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 xml:space="preserve">   </w:t>
      </w:r>
      <w:r>
        <w:rPr>
          <w:rFonts w:hint="eastAsia" w:ascii="黑体" w:hAnsi="黑体" w:eastAsia="黑体" w:cs="黑体"/>
          <w:b w:val="0"/>
          <w:bCs/>
          <w:color w:val="000000"/>
          <w:kern w:val="0"/>
          <w:sz w:val="32"/>
          <w:szCs w:val="32"/>
          <w:lang w:val="en-US" w:eastAsia="zh-CN" w:bidi="ar-SA"/>
        </w:rPr>
        <w:t>九、财政拨款三公经费支出决算情况说明</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225.46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225.46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88.94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28.29</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sz w:val="32"/>
          <w:szCs w:val="32"/>
        </w:rPr>
        <w:t>严控经费</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sz w:val="32"/>
          <w:szCs w:val="32"/>
          <w:shd w:val="clear"/>
        </w:rPr>
        <w:t>厉行节约</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pPr>
        <w:pStyle w:val="12"/>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1.</w:t>
      </w:r>
      <w:r>
        <w:rPr>
          <w:rFonts w:hint="eastAsia" w:ascii="仿宋_GB2312" w:hAnsi="仿宋_GB2312" w:eastAsia="仿宋_GB2312" w:cs="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225.36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225.36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88.71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28.25</w:t>
      </w:r>
      <w:r>
        <w:rPr>
          <w:rFonts w:ascii="Times New Roman" w:hAnsi="Times New Roman" w:eastAsia="仿宋_GB2312" w:cs="Times New Roman"/>
          <w:sz w:val="32"/>
          <w:szCs w:val="32"/>
        </w:rPr>
        <w:t>%。其中：</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39.66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39.66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66.67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62.7</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sz w:val="32"/>
          <w:szCs w:val="32"/>
        </w:rPr>
        <w:t>严控经费</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sz w:val="32"/>
          <w:szCs w:val="32"/>
          <w:shd w:val="clear"/>
        </w:rPr>
        <w:t>厉行节约</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岳阳市公安局岳阳楼分局</w:t>
      </w:r>
      <w:r>
        <w:rPr>
          <w:rFonts w:ascii="Times New Roman" w:hAnsi="Times New Roman" w:eastAsia="仿宋_GB2312" w:cs="Times New Roman"/>
          <w:sz w:val="32"/>
          <w:szCs w:val="32"/>
        </w:rPr>
        <w:t>更新公</w:t>
      </w:r>
      <w:r>
        <w:rPr>
          <w:rFonts w:ascii="Times New Roman" w:hAnsi="Times New Roman" w:eastAsia="仿宋_GB2312" w:cs="Times New Roman"/>
          <w:sz w:val="32"/>
          <w:szCs w:val="32"/>
          <w:shd w:val="clear"/>
        </w:rPr>
        <w:t>务用车</w:t>
      </w:r>
      <w:r>
        <w:rPr>
          <w:rFonts w:hint="eastAsia" w:ascii="Times New Roman" w:hAnsi="Times New Roman" w:eastAsia="仿宋_GB2312" w:cs="Times New Roman"/>
          <w:sz w:val="32"/>
          <w:szCs w:val="32"/>
          <w:shd w:val="clear"/>
          <w:lang w:val="en-US" w:eastAsia="zh-CN"/>
        </w:rPr>
        <w:t>2</w:t>
      </w:r>
      <w:r>
        <w:rPr>
          <w:rFonts w:ascii="Times New Roman" w:hAnsi="Times New Roman" w:eastAsia="仿宋_GB2312" w:cs="Times New Roman"/>
          <w:sz w:val="32"/>
          <w:szCs w:val="32"/>
          <w:shd w:val="clear"/>
        </w:rPr>
        <w:t>辆</w:t>
      </w:r>
      <w:r>
        <w:rPr>
          <w:rFonts w:hint="eastAsia" w:ascii="Times New Roman" w:hAnsi="Times New Roman" w:eastAsia="仿宋_GB2312" w:cs="Times New Roman"/>
          <w:sz w:val="32"/>
          <w:szCs w:val="32"/>
          <w:shd w:val="clear"/>
          <w:lang w:eastAsia="zh-CN"/>
        </w:rPr>
        <w:t>。</w:t>
      </w:r>
    </w:p>
    <w:p>
      <w:pPr>
        <w:pStyle w:val="12"/>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185.7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185.7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eastAsia="zh-CN"/>
        </w:rPr>
        <w:t>公务用车油料支出、维修</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eastAsia="zh-CN"/>
        </w:rPr>
        <w:t>、保险支出</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22.04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10.61</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sz w:val="32"/>
          <w:szCs w:val="32"/>
        </w:rPr>
        <w:t>严控经费</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sz w:val="32"/>
          <w:szCs w:val="32"/>
          <w:shd w:val="clear"/>
        </w:rPr>
        <w:t>厉行节约</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86</w:t>
      </w:r>
      <w:r>
        <w:rPr>
          <w:rFonts w:ascii="Times New Roman" w:hAnsi="Times New Roman" w:eastAsia="仿宋_GB2312" w:cs="Times New Roman"/>
          <w:sz w:val="32"/>
          <w:szCs w:val="32"/>
        </w:rPr>
        <w:t>辆。</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0.1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0.23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69.51</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sz w:val="32"/>
          <w:szCs w:val="32"/>
        </w:rPr>
        <w:t>严控经费</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sz w:val="32"/>
          <w:szCs w:val="32"/>
        </w:rPr>
        <w:t>公安工作交流比上年</w:t>
      </w:r>
      <w:r>
        <w:rPr>
          <w:rFonts w:hint="eastAsia" w:ascii="仿宋_GB2312" w:hAnsi="仿宋_GB2312" w:eastAsia="仿宋_GB2312" w:cs="仿宋_GB2312"/>
          <w:sz w:val="32"/>
          <w:szCs w:val="32"/>
        </w:rPr>
        <w:t>减少。</w:t>
      </w:r>
    </w:p>
    <w:p>
      <w:pPr>
        <w:numPr>
          <w:ilvl w:val="0"/>
          <w:numId w:val="0"/>
        </w:numPr>
        <w:rPr>
          <w:rFonts w:ascii="Times New Roman" w:hAnsi="Times New Roman" w:eastAsia="仿宋_GB2312" w:cs="Times New Roman"/>
          <w:sz w:val="32"/>
          <w:szCs w:val="32"/>
        </w:rPr>
      </w:pP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lang w:eastAsia="zh-CN"/>
        </w:rPr>
        <w:t>公安业务工作交流</w:t>
      </w:r>
      <w:r>
        <w:rPr>
          <w:rFonts w:ascii="Times New Roman" w:hAnsi="Times New Roman" w:eastAsia="仿宋_GB2312" w:cs="Times New Roman"/>
          <w:sz w:val="32"/>
          <w:szCs w:val="32"/>
        </w:rPr>
        <w:t>发生的接待支出。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1602.43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比年初预算数增加</w:t>
      </w:r>
      <w:r>
        <w:rPr>
          <w:rFonts w:hint="eastAsia" w:ascii="仿宋_GB2312" w:hAnsi="仿宋_GB2312" w:eastAsia="仿宋_GB2312" w:cs="仿宋_GB2312"/>
          <w:sz w:val="32"/>
          <w:szCs w:val="32"/>
          <w:highlight w:val="none"/>
          <w:lang w:val="en-US" w:eastAsia="zh-CN"/>
        </w:rPr>
        <w:t>146.18</w:t>
      </w:r>
      <w:r>
        <w:rPr>
          <w:rFonts w:hint="eastAsia" w:ascii="仿宋_GB2312" w:hAnsi="仿宋_GB2312" w:eastAsia="仿宋_GB2312" w:cs="仿宋_GB2312"/>
          <w:sz w:val="32"/>
          <w:szCs w:val="32"/>
          <w:highlight w:val="none"/>
        </w:rPr>
        <w:t xml:space="preserve"> 万元，增长</w:t>
      </w:r>
      <w:r>
        <w:rPr>
          <w:rFonts w:hint="eastAsia" w:ascii="仿宋_GB2312" w:hAnsi="仿宋_GB2312" w:eastAsia="仿宋_GB2312" w:cs="仿宋_GB2312"/>
          <w:sz w:val="32"/>
          <w:szCs w:val="32"/>
          <w:highlight w:val="none"/>
          <w:lang w:val="en-US" w:eastAsia="zh-CN"/>
        </w:rPr>
        <w:t>9.12</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lang w:eastAsia="zh-CN"/>
        </w:rPr>
        <w:t>公安业务支出成本上涨</w:t>
      </w:r>
      <w:r>
        <w:rPr>
          <w:rFonts w:hint="eastAsia" w:ascii="楷体" w:hAnsi="楷体" w:eastAsia="楷体" w:cs="楷体"/>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4年度，</w:t>
      </w:r>
      <w:r>
        <w:rPr>
          <w:rFonts w:hint="eastAsia" w:ascii="仿宋_GB2312" w:hAnsi="仿宋_GB2312" w:eastAsia="仿宋_GB2312" w:cs="仿宋_GB2312"/>
          <w:color w:val="000000"/>
          <w:kern w:val="0"/>
          <w:sz w:val="32"/>
          <w:szCs w:val="32"/>
          <w:lang w:val="en-US" w:eastAsia="zh-CN" w:bidi="ar-SA"/>
        </w:rPr>
        <w:t>会议费年初预算0.5元，支出决算为0万元，决算数小于年初预算数是因为厉行节约，</w:t>
      </w:r>
      <w:bookmarkStart w:id="0" w:name="_GoBack"/>
      <w:bookmarkEnd w:id="0"/>
      <w:r>
        <w:rPr>
          <w:rFonts w:hint="eastAsia" w:ascii="仿宋_GB2312" w:hAnsi="仿宋_GB2312" w:eastAsia="仿宋_GB2312" w:cs="仿宋_GB2312"/>
          <w:color w:val="000000"/>
          <w:kern w:val="0"/>
          <w:sz w:val="32"/>
          <w:szCs w:val="32"/>
          <w:lang w:val="en-US" w:eastAsia="zh-CN" w:bidi="ar-SA"/>
        </w:rPr>
        <w:t>借用场地。用于开展公安工作会议，人数516人，内容为全年工作规划。</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培训费年初预算5万元，支出决算为17.16万元，决算数大于年初预算数是因为年中有招录的新警产生了额外的培训费。用于开展警衔晋升培训，人数516人，内容为公安业务。</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498.96</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67.28</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431.68</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67.28</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13.48</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67.28</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86</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82</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77.86</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77.86</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0.57</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r>
        <w:rPr>
          <w:rFonts w:hint="eastAsia" w:ascii="仿宋_GB2312" w:hAnsi="仿宋_GB2312" w:eastAsia="仿宋_GB2312" w:cs="仿宋_GB2312"/>
          <w:b w:val="0"/>
          <w:bCs w:val="0"/>
          <w:color w:val="000000"/>
          <w:kern w:val="0"/>
          <w:sz w:val="32"/>
          <w:szCs w:val="32"/>
          <w:lang w:val="en-US" w:eastAsia="zh-CN" w:bidi="ar-SA"/>
        </w:rPr>
        <w:t>无法计算占政府性基金预算项目支出总额的占比</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r>
        <w:rPr>
          <w:rFonts w:hint="eastAsia" w:ascii="仿宋_GB2312" w:hAnsi="仿宋_GB2312" w:eastAsia="仿宋_GB2312" w:cs="仿宋_GB2312"/>
          <w:b w:val="0"/>
          <w:bCs w:val="0"/>
          <w:color w:val="000000"/>
          <w:kern w:val="0"/>
          <w:sz w:val="32"/>
          <w:szCs w:val="32"/>
          <w:lang w:val="en-US" w:eastAsia="zh-CN" w:bidi="ar-SA"/>
        </w:rPr>
        <w:t>无法计算占国有资本经营预算项目支出总额的占比</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w:t>
      </w:r>
      <w:r>
        <w:rPr>
          <w:rFonts w:hint="eastAsia" w:ascii="仿宋_GB2312" w:hAnsi="仿宋_GB2312" w:eastAsia="仿宋_GB2312" w:cs="仿宋_GB2312"/>
          <w:b w:val="0"/>
          <w:bCs w:val="0"/>
          <w:color w:val="000000"/>
          <w:kern w:val="0"/>
          <w:sz w:val="32"/>
          <w:szCs w:val="32"/>
          <w:lang w:val="en-US" w:eastAsia="zh-CN" w:bidi="ar-SA"/>
        </w:rPr>
        <w:t>无法计算</w:t>
      </w:r>
      <w:r>
        <w:rPr>
          <w:rFonts w:ascii="Times New Roman" w:hAnsi="Times New Roman" w:eastAsia="仿宋_GB2312" w:cs="Times New Roman"/>
          <w:kern w:val="0"/>
          <w:sz w:val="32"/>
          <w:szCs w:val="32"/>
          <w:highlight w:val="none"/>
        </w:rPr>
        <w:t>占社会保险基金预算支出总额的</w:t>
      </w:r>
      <w:r>
        <w:rPr>
          <w:rFonts w:hint="eastAsia" w:ascii="仿宋_GB2312" w:hAnsi="仿宋_GB2312" w:eastAsia="仿宋_GB2312" w:cs="仿宋_GB2312"/>
          <w:b w:val="0"/>
          <w:bCs w:val="0"/>
          <w:color w:val="000000"/>
          <w:kern w:val="0"/>
          <w:sz w:val="32"/>
          <w:szCs w:val="32"/>
          <w:lang w:val="en-US" w:eastAsia="zh-CN" w:bidi="ar-SA"/>
        </w:rPr>
        <w:t>占比</w:t>
      </w:r>
      <w:r>
        <w:rPr>
          <w:rFonts w:ascii="Times New Roman" w:hAnsi="Times New Roman" w:eastAsia="仿宋_GB2312" w:cs="Times New Roman"/>
          <w:kern w:val="0"/>
          <w:sz w:val="32"/>
          <w:szCs w:val="32"/>
          <w:highlight w:val="none"/>
        </w:rPr>
        <w:t>。</w:t>
      </w:r>
    </w:p>
    <w:p>
      <w:pPr>
        <w:numPr>
          <w:ilvl w:val="0"/>
          <w:numId w:val="0"/>
        </w:numPr>
        <w:overflowPunct w:val="0"/>
        <w:spacing w:line="60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color w:val="auto"/>
          <w:kern w:val="0"/>
          <w:sz w:val="32"/>
          <w:szCs w:val="32"/>
          <w:lang w:val="en-US" w:eastAsia="zh-CN"/>
        </w:rPr>
        <w:t>本单位为二级预算单位，部门评价开展情况可详见上级部门决算公开说明。</w:t>
      </w:r>
    </w:p>
    <w:p>
      <w:pPr>
        <w:numPr>
          <w:ilvl w:val="0"/>
          <w:numId w:val="0"/>
        </w:numPr>
        <w:overflowPunct w:val="0"/>
        <w:spacing w:line="600" w:lineRule="exact"/>
        <w:ind w:firstLine="640" w:firstLineChars="200"/>
        <w:rPr>
          <w:rFonts w:ascii="Times New Roman" w:hAnsi="Times New Roman" w:eastAsia="楷体" w:cs="Times New Roman"/>
          <w:b/>
          <w:bCs/>
          <w:color w:val="auto"/>
          <w:sz w:val="32"/>
          <w:szCs w:val="32"/>
        </w:rPr>
      </w:pPr>
      <w:r>
        <w:rPr>
          <w:rFonts w:hint="eastAsia" w:ascii="Times New Roman" w:hAnsi="Times New Roman" w:eastAsia="仿宋_GB2312" w:cs="Times New Roman"/>
          <w:kern w:val="0"/>
          <w:sz w:val="32"/>
          <w:szCs w:val="32"/>
          <w:highlight w:val="none"/>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color w:val="auto"/>
          <w:kern w:val="0"/>
          <w:sz w:val="32"/>
          <w:szCs w:val="32"/>
          <w:lang w:val="en-US" w:eastAsia="zh-CN"/>
        </w:rPr>
        <w:t>本单位为二级预算单位，事前绩效评估开展情况可详见上级部门决算公开说明。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19081.34</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18202.18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95.39</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96.54</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sz w:val="32"/>
          <w:szCs w:val="32"/>
          <w:lang w:eastAsia="zh-CN"/>
        </w:rPr>
        <w:t>大体实现了绩效目标</w:t>
      </w:r>
      <w:r>
        <w:rPr>
          <w:rFonts w:ascii="Times New Roman" w:hAnsi="Times New Roman" w:eastAsia="仿宋_GB2312" w:cs="Times New Roman"/>
          <w:sz w:val="32"/>
          <w:szCs w:val="32"/>
        </w:rPr>
        <w:t>。发现的主要问题及原因：</w:t>
      </w:r>
      <w:r>
        <w:rPr>
          <w:rFonts w:hint="eastAsia" w:ascii="仿宋_GB2312" w:hAnsi="仿宋_GB2312" w:eastAsia="仿宋_GB2312" w:cs="仿宋_GB2312"/>
          <w:color w:val="auto"/>
          <w:sz w:val="32"/>
          <w:szCs w:val="32"/>
        </w:rPr>
        <w:t>预算绩效</w:t>
      </w:r>
      <w:r>
        <w:rPr>
          <w:rFonts w:hint="eastAsia" w:ascii="仿宋_GB2312" w:hAnsi="仿宋_GB2312" w:eastAsia="仿宋_GB2312" w:cs="仿宋_GB2312"/>
          <w:color w:val="auto"/>
          <w:sz w:val="32"/>
          <w:szCs w:val="32"/>
          <w:lang w:eastAsia="zh-CN"/>
        </w:rPr>
        <w:t>与相关</w:t>
      </w:r>
      <w:r>
        <w:rPr>
          <w:rFonts w:hint="eastAsia" w:ascii="仿宋_GB2312" w:hAnsi="仿宋_GB2312" w:eastAsia="仿宋_GB2312" w:cs="仿宋_GB2312"/>
          <w:color w:val="auto"/>
          <w:sz w:val="32"/>
          <w:szCs w:val="32"/>
        </w:rPr>
        <w:t>部门履职效能</w:t>
      </w:r>
      <w:r>
        <w:rPr>
          <w:rFonts w:hint="eastAsia" w:ascii="仿宋_GB2312" w:hAnsi="仿宋_GB2312" w:eastAsia="仿宋_GB2312" w:cs="仿宋_GB2312"/>
          <w:color w:val="auto"/>
          <w:sz w:val="32"/>
          <w:szCs w:val="32"/>
          <w:lang w:eastAsia="zh-CN"/>
        </w:rPr>
        <w:t>衔接不紧密，主要是缺乏以绩效目标落实情况为导向的考核机制</w:t>
      </w:r>
      <w:r>
        <w:rPr>
          <w:rFonts w:ascii="Times New Roman" w:hAnsi="Times New Roman" w:eastAsia="仿宋_GB2312" w:cs="Times New Roman"/>
          <w:color w:val="auto"/>
          <w:sz w:val="32"/>
          <w:szCs w:val="32"/>
        </w:rPr>
        <w:t>。下</w:t>
      </w:r>
      <w:r>
        <w:rPr>
          <w:rFonts w:ascii="Times New Roman" w:hAnsi="Times New Roman" w:eastAsia="仿宋_GB2312" w:cs="Times New Roman"/>
          <w:sz w:val="32"/>
          <w:szCs w:val="32"/>
        </w:rPr>
        <w:t>一步改进措施：</w:t>
      </w:r>
      <w:r>
        <w:rPr>
          <w:rFonts w:hint="eastAsia" w:ascii="Times New Roman" w:hAnsi="Times New Roman" w:eastAsia="仿宋_GB2312" w:cs="Times New Roman"/>
          <w:sz w:val="32"/>
          <w:szCs w:val="32"/>
          <w:lang w:eastAsia="zh-CN"/>
        </w:rPr>
        <w:t>结合各部门职能建立合理的内部绩效自评机制，加强对绩效自评结果的运用。</w:t>
      </w:r>
    </w:p>
    <w:p>
      <w:pPr>
        <w:overflowPunct w:val="0"/>
        <w:spacing w:line="60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color w:val="auto"/>
          <w:kern w:val="0"/>
          <w:sz w:val="32"/>
          <w:szCs w:val="32"/>
          <w:lang w:val="en-US" w:eastAsia="zh-CN"/>
        </w:rPr>
        <w:t>本单位为二级预算单位，部门评价结果可详见上级部门决算公开说明。</w:t>
      </w:r>
    </w:p>
    <w:p>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color w:val="auto"/>
          <w:kern w:val="0"/>
          <w:sz w:val="32"/>
          <w:szCs w:val="32"/>
          <w:lang w:val="en-US" w:eastAsia="zh-CN"/>
        </w:rPr>
        <w:t>本单位为二级预算单位，事前绩效评估结果可详见上级部门决算公开说明。</w:t>
      </w:r>
    </w:p>
    <w:p>
      <w:pPr>
        <w:numPr>
          <w:ilvl w:val="0"/>
          <w:numId w:val="4"/>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pPr>
        <w:ind w:firstLine="800" w:firstLineChars="250"/>
        <w:rPr>
          <w:rFonts w:hint="eastAsia" w:ascii="Times New Roman" w:hAnsi="Times New Roman" w:eastAsia="仿宋_GB2312" w:cs="黑体"/>
          <w:color w:val="000000"/>
          <w:kern w:val="0"/>
          <w:sz w:val="32"/>
          <w:szCs w:val="32"/>
        </w:rPr>
      </w:pPr>
      <w:r>
        <w:rPr>
          <w:rFonts w:ascii="Times New Roman" w:hAnsi="Times New Roman" w:eastAsia="仿宋_GB2312" w:cs="黑体"/>
          <w:color w:val="000000"/>
          <w:kern w:val="0"/>
          <w:sz w:val="32"/>
          <w:szCs w:val="32"/>
        </w:rPr>
        <w:t>202</w:t>
      </w:r>
      <w:r>
        <w:rPr>
          <w:rFonts w:hint="eastAsia" w:ascii="Times New Roman" w:hAnsi="Times New Roman" w:eastAsia="仿宋_GB2312" w:cs="黑体"/>
          <w:color w:val="000000"/>
          <w:kern w:val="0"/>
          <w:sz w:val="32"/>
          <w:szCs w:val="32"/>
          <w:lang w:val="en-US" w:eastAsia="zh-CN"/>
        </w:rPr>
        <w:t>4</w:t>
      </w:r>
      <w:r>
        <w:rPr>
          <w:rFonts w:hint="eastAsia" w:ascii="Times New Roman" w:hAnsi="Times New Roman" w:eastAsia="仿宋_GB2312" w:cs="黑体"/>
          <w:color w:val="000000"/>
          <w:kern w:val="0"/>
          <w:sz w:val="32"/>
          <w:szCs w:val="32"/>
        </w:rPr>
        <w:t>年度我局部门整体预算绩效目标基本未发生偏离，但是还存在着部分不足，如派出所基础建设。下一步将推进《派出所基础建设》工作，加强落实县域警务差异化警务保障制。</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2"/>
        <w:rPr>
          <w:rFonts w:hint="eastAsia" w:ascii="楷体" w:hAnsi="楷体" w:eastAsia="楷体" w:cs="楷体"/>
          <w:b/>
          <w:bCs/>
          <w:i w:val="0"/>
          <w:iCs w:val="0"/>
          <w:color w:val="FF0000"/>
          <w:kern w:val="0"/>
          <w:sz w:val="36"/>
          <w:szCs w:val="36"/>
          <w:lang w:val="en-US" w:eastAsia="zh-CN"/>
        </w:rPr>
      </w:pPr>
    </w:p>
    <w:p>
      <w:pPr>
        <w:pStyle w:val="3"/>
        <w:rPr>
          <w:rFonts w:hint="eastAsia" w:ascii="楷体" w:hAnsi="楷体" w:eastAsia="楷体" w:cs="楷体"/>
          <w:b/>
          <w:bCs/>
          <w:i w:val="0"/>
          <w:iCs w:val="0"/>
          <w:color w:val="FF0000"/>
          <w:kern w:val="0"/>
          <w:sz w:val="36"/>
          <w:szCs w:val="36"/>
          <w:lang w:val="en-US" w:eastAsia="zh-CN"/>
        </w:rPr>
      </w:pPr>
    </w:p>
    <w:p>
      <w:pPr>
        <w:rPr>
          <w:rFonts w:hint="eastAsia" w:ascii="楷体" w:hAnsi="楷体" w:eastAsia="楷体" w:cs="楷体"/>
          <w:b/>
          <w:bCs/>
          <w:i w:val="0"/>
          <w:iCs w:val="0"/>
          <w:color w:val="FF0000"/>
          <w:kern w:val="0"/>
          <w:sz w:val="36"/>
          <w:szCs w:val="36"/>
          <w:lang w:val="en-US" w:eastAsia="zh-CN"/>
        </w:rPr>
      </w:pPr>
    </w:p>
    <w:p>
      <w:pPr>
        <w:pStyle w:val="2"/>
        <w:rPr>
          <w:rFonts w:hint="eastAsia" w:ascii="楷体" w:hAnsi="楷体" w:eastAsia="楷体" w:cs="楷体"/>
          <w:b/>
          <w:bCs/>
          <w:i w:val="0"/>
          <w:iCs w:val="0"/>
          <w:color w:val="FF0000"/>
          <w:kern w:val="0"/>
          <w:sz w:val="36"/>
          <w:szCs w:val="36"/>
          <w:lang w:val="en-US" w:eastAsia="zh-CN"/>
        </w:rPr>
      </w:pPr>
    </w:p>
    <w:p>
      <w:pPr>
        <w:pStyle w:val="3"/>
        <w:rPr>
          <w:rFonts w:hint="eastAsia" w:ascii="楷体" w:hAnsi="楷体" w:eastAsia="楷体" w:cs="楷体"/>
          <w:b/>
          <w:bCs/>
          <w:i w:val="0"/>
          <w:iCs w:val="0"/>
          <w:color w:val="FF0000"/>
          <w:kern w:val="0"/>
          <w:sz w:val="36"/>
          <w:szCs w:val="36"/>
          <w:lang w:val="en-US" w:eastAsia="zh-CN"/>
        </w:rPr>
      </w:pPr>
    </w:p>
    <w:p>
      <w:pPr>
        <w:rPr>
          <w:rFonts w:hint="eastAsia" w:ascii="楷体" w:hAnsi="楷体" w:eastAsia="楷体" w:cs="楷体"/>
          <w:b/>
          <w:bCs/>
          <w:i w:val="0"/>
          <w:iCs w:val="0"/>
          <w:color w:val="FF0000"/>
          <w:kern w:val="0"/>
          <w:sz w:val="36"/>
          <w:szCs w:val="36"/>
          <w:lang w:val="en-US" w:eastAsia="zh-CN"/>
        </w:rPr>
      </w:pPr>
    </w:p>
    <w:p>
      <w:pPr>
        <w:pStyle w:val="2"/>
        <w:rPr>
          <w:rFonts w:hint="eastAsia" w:ascii="楷体" w:hAnsi="楷体" w:eastAsia="楷体" w:cs="楷体"/>
          <w:b/>
          <w:bCs/>
          <w:i w:val="0"/>
          <w:iCs w:val="0"/>
          <w:color w:val="FF0000"/>
          <w:kern w:val="0"/>
          <w:sz w:val="36"/>
          <w:szCs w:val="36"/>
          <w:lang w:val="en-US" w:eastAsia="zh-CN"/>
        </w:rPr>
      </w:pPr>
    </w:p>
    <w:p>
      <w:pPr>
        <w:pStyle w:val="3"/>
        <w:rPr>
          <w:rFonts w:hint="eastAsia" w:ascii="楷体" w:hAnsi="楷体" w:eastAsia="楷体" w:cs="楷体"/>
          <w:b/>
          <w:bCs/>
          <w:i w:val="0"/>
          <w:iCs w:val="0"/>
          <w:color w:val="FF0000"/>
          <w:kern w:val="0"/>
          <w:sz w:val="36"/>
          <w:szCs w:val="36"/>
          <w:lang w:val="en-US" w:eastAsia="zh-CN"/>
        </w:rPr>
      </w:pPr>
    </w:p>
    <w:p>
      <w:pPr>
        <w:rPr>
          <w:rFonts w:hint="eastAsia" w:ascii="楷体" w:hAnsi="楷体" w:eastAsia="楷体" w:cs="楷体"/>
          <w:b/>
          <w:bCs/>
          <w:i w:val="0"/>
          <w:iCs w:val="0"/>
          <w:color w:val="FF0000"/>
          <w:kern w:val="0"/>
          <w:sz w:val="36"/>
          <w:szCs w:val="36"/>
          <w:lang w:val="en-US" w:eastAsia="zh-CN"/>
        </w:rPr>
      </w:pPr>
    </w:p>
    <w:p>
      <w:pPr>
        <w:pStyle w:val="2"/>
        <w:rPr>
          <w:rFonts w:hint="eastAsia" w:ascii="楷体" w:hAnsi="楷体" w:eastAsia="楷体" w:cs="楷体"/>
          <w:b/>
          <w:bCs/>
          <w:i w:val="0"/>
          <w:iCs w:val="0"/>
          <w:color w:val="FF0000"/>
          <w:kern w:val="0"/>
          <w:sz w:val="36"/>
          <w:szCs w:val="36"/>
          <w:lang w:val="en-US" w:eastAsia="zh-CN"/>
        </w:rPr>
      </w:pPr>
    </w:p>
    <w:p>
      <w:pPr>
        <w:pStyle w:val="3"/>
        <w:rPr>
          <w:rFonts w:hint="eastAsia" w:ascii="楷体" w:hAnsi="楷体" w:eastAsia="楷体" w:cs="楷体"/>
          <w:b/>
          <w:bCs/>
          <w:i w:val="0"/>
          <w:iCs w:val="0"/>
          <w:color w:val="FF0000"/>
          <w:kern w:val="0"/>
          <w:sz w:val="36"/>
          <w:szCs w:val="36"/>
          <w:lang w:val="en-US" w:eastAsia="zh-CN"/>
        </w:rPr>
      </w:pPr>
    </w:p>
    <w:p>
      <w:pPr>
        <w:rPr>
          <w:rFonts w:hint="eastAsia" w:ascii="楷体" w:hAnsi="楷体" w:eastAsia="楷体" w:cs="楷体"/>
          <w:b/>
          <w:bCs/>
          <w:i w:val="0"/>
          <w:iCs w:val="0"/>
          <w:color w:val="FF0000"/>
          <w:kern w:val="0"/>
          <w:sz w:val="36"/>
          <w:szCs w:val="36"/>
          <w:lang w:val="en-US" w:eastAsia="zh-CN"/>
        </w:rPr>
      </w:pPr>
    </w:p>
    <w:p>
      <w:pPr>
        <w:pStyle w:val="2"/>
        <w:rPr>
          <w:rFonts w:hint="eastAsia"/>
          <w:lang w:val="en-US" w:eastAsia="zh-CN"/>
        </w:rPr>
      </w:pPr>
    </w:p>
    <w:p>
      <w:pPr>
        <w:pStyle w:val="12"/>
        <w:jc w:val="both"/>
        <w:rPr>
          <w:rFonts w:hint="eastAsia" w:ascii="方正小标宋_GBK" w:hAnsi="方正小标宋_GBK" w:eastAsia="方正小标宋_GBK" w:cs="方正小标宋_GBK"/>
          <w:sz w:val="24"/>
          <w:szCs w:val="24"/>
        </w:rPr>
      </w:pPr>
    </w:p>
    <w:p>
      <w:pPr>
        <w:pStyle w:val="12"/>
        <w:jc w:val="both"/>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pStyle w:val="2"/>
        <w:rPr>
          <w:rFonts w:hint="eastAsia"/>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三、基本支出：指为保障机构正常运转、完成日常工作任务而发生的各项支出，包括人员支出和公用支出。</w:t>
      </w:r>
    </w:p>
    <w:p>
      <w:pPr>
        <w:ind w:firstLine="640" w:firstLineChars="200"/>
        <w:jc w:val="left"/>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四、项目支出：指在基本支出以外为完成相关行政任务和事业发展目标所发生的各项支出。</w:t>
      </w: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
      <w:pPr>
        <w:pStyle w:val="2"/>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16FFE40D"/>
    <w:multiLevelType w:val="singleLevel"/>
    <w:tmpl w:val="16FFE40D"/>
    <w:lvl w:ilvl="0" w:tentative="0">
      <w:start w:val="7"/>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66049D"/>
    <w:multiLevelType w:val="singleLevel"/>
    <w:tmpl w:val="4866049D"/>
    <w:lvl w:ilvl="0" w:tentative="0">
      <w:start w:val="1"/>
      <w:numFmt w:val="chineseCounting"/>
      <w:suff w:val="nothing"/>
      <w:lvlText w:val="（%1）"/>
      <w:lvlJc w:val="left"/>
      <w:pPr>
        <w:ind w:left="-10"/>
      </w:pPr>
      <w:rPr>
        <w:rFonts w:hint="eastAsia"/>
        <w:sz w:val="32"/>
        <w:szCs w:val="32"/>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ZWM1MTJhNTVlMWIxNDBkYzlmOTEwZjgzMmRmNTIifQ=="/>
  </w:docVars>
  <w:rsids>
    <w:rsidRoot w:val="004506F9"/>
    <w:rsid w:val="0002229B"/>
    <w:rsid w:val="000273BD"/>
    <w:rsid w:val="00040CBC"/>
    <w:rsid w:val="000415B7"/>
    <w:rsid w:val="00041E3F"/>
    <w:rsid w:val="00052A18"/>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4F1A15"/>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304F8C"/>
    <w:rsid w:val="021A4922"/>
    <w:rsid w:val="023D3C0F"/>
    <w:rsid w:val="031376E5"/>
    <w:rsid w:val="053E7690"/>
    <w:rsid w:val="059958AD"/>
    <w:rsid w:val="06C857E7"/>
    <w:rsid w:val="079A613C"/>
    <w:rsid w:val="08B35707"/>
    <w:rsid w:val="08C24A73"/>
    <w:rsid w:val="0928170F"/>
    <w:rsid w:val="0A4C5E14"/>
    <w:rsid w:val="0D352AAD"/>
    <w:rsid w:val="0D69568B"/>
    <w:rsid w:val="0F6477E6"/>
    <w:rsid w:val="0F9E18EC"/>
    <w:rsid w:val="10EE5D63"/>
    <w:rsid w:val="11944E2C"/>
    <w:rsid w:val="11FF3F33"/>
    <w:rsid w:val="12583BA5"/>
    <w:rsid w:val="13BA5B9C"/>
    <w:rsid w:val="15051099"/>
    <w:rsid w:val="172A128B"/>
    <w:rsid w:val="181808BC"/>
    <w:rsid w:val="19CA0CD8"/>
    <w:rsid w:val="1B2C00EA"/>
    <w:rsid w:val="1B767316"/>
    <w:rsid w:val="1D151E8A"/>
    <w:rsid w:val="1D97DEFF"/>
    <w:rsid w:val="1DFF72E5"/>
    <w:rsid w:val="1E193E07"/>
    <w:rsid w:val="1ECC1FA7"/>
    <w:rsid w:val="1EFC6F07"/>
    <w:rsid w:val="1F0527A6"/>
    <w:rsid w:val="1FAE4CFD"/>
    <w:rsid w:val="21BE5572"/>
    <w:rsid w:val="21D06A85"/>
    <w:rsid w:val="22AC03C2"/>
    <w:rsid w:val="27051E74"/>
    <w:rsid w:val="283B15FE"/>
    <w:rsid w:val="2A077A1F"/>
    <w:rsid w:val="2A1F4553"/>
    <w:rsid w:val="2B165956"/>
    <w:rsid w:val="2C2203DE"/>
    <w:rsid w:val="2D012636"/>
    <w:rsid w:val="2F4405B8"/>
    <w:rsid w:val="2FDF85B8"/>
    <w:rsid w:val="2FFFEE04"/>
    <w:rsid w:val="30670A02"/>
    <w:rsid w:val="31C95635"/>
    <w:rsid w:val="34DF85B0"/>
    <w:rsid w:val="367F5E2B"/>
    <w:rsid w:val="3A1E0383"/>
    <w:rsid w:val="3A570AD9"/>
    <w:rsid w:val="3B8F36BC"/>
    <w:rsid w:val="3C391B8D"/>
    <w:rsid w:val="40747753"/>
    <w:rsid w:val="43EB5BA5"/>
    <w:rsid w:val="491FF225"/>
    <w:rsid w:val="4AB07EAF"/>
    <w:rsid w:val="4AF60EA8"/>
    <w:rsid w:val="4B5D1DE1"/>
    <w:rsid w:val="4CF65AB9"/>
    <w:rsid w:val="4E902622"/>
    <w:rsid w:val="4EC310A1"/>
    <w:rsid w:val="4F6A407A"/>
    <w:rsid w:val="4FFD214C"/>
    <w:rsid w:val="50BD049E"/>
    <w:rsid w:val="528F1AA7"/>
    <w:rsid w:val="5352765A"/>
    <w:rsid w:val="56FE1948"/>
    <w:rsid w:val="5777D4F5"/>
    <w:rsid w:val="57F22B6F"/>
    <w:rsid w:val="59DD8326"/>
    <w:rsid w:val="5AF0321E"/>
    <w:rsid w:val="5BAC15E3"/>
    <w:rsid w:val="5D6D7D8F"/>
    <w:rsid w:val="5DEF592A"/>
    <w:rsid w:val="5FBA4C29"/>
    <w:rsid w:val="5FC6BB1E"/>
    <w:rsid w:val="5FF720F1"/>
    <w:rsid w:val="60820DBC"/>
    <w:rsid w:val="610712C2"/>
    <w:rsid w:val="61403388"/>
    <w:rsid w:val="622964C1"/>
    <w:rsid w:val="63C139AA"/>
    <w:rsid w:val="6562079B"/>
    <w:rsid w:val="662841B4"/>
    <w:rsid w:val="67796717"/>
    <w:rsid w:val="67FF5C0B"/>
    <w:rsid w:val="682D5AB2"/>
    <w:rsid w:val="6B7B6B34"/>
    <w:rsid w:val="6BAA4A2F"/>
    <w:rsid w:val="6DDEC5C0"/>
    <w:rsid w:val="6EFC0924"/>
    <w:rsid w:val="6F5576F5"/>
    <w:rsid w:val="6FB74722"/>
    <w:rsid w:val="6FEF8B7E"/>
    <w:rsid w:val="717FE77F"/>
    <w:rsid w:val="718223D2"/>
    <w:rsid w:val="71A6591B"/>
    <w:rsid w:val="737D59BA"/>
    <w:rsid w:val="737F32B1"/>
    <w:rsid w:val="73BD3FCA"/>
    <w:rsid w:val="74512B28"/>
    <w:rsid w:val="776BDA01"/>
    <w:rsid w:val="77C37683"/>
    <w:rsid w:val="78E82992"/>
    <w:rsid w:val="79FF515B"/>
    <w:rsid w:val="7AF42C5C"/>
    <w:rsid w:val="7B2B496D"/>
    <w:rsid w:val="7C3C7F29"/>
    <w:rsid w:val="7CA3413D"/>
    <w:rsid w:val="7D5D253D"/>
    <w:rsid w:val="7DE7036D"/>
    <w:rsid w:val="7DFBFF20"/>
    <w:rsid w:val="7E9E1962"/>
    <w:rsid w:val="7E9F11B4"/>
    <w:rsid w:val="7EAD12A3"/>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1347</Words>
  <Characters>7679</Characters>
  <Lines>63</Lines>
  <Paragraphs>18</Paragraphs>
  <TotalTime>41</TotalTime>
  <ScaleCrop>false</ScaleCrop>
  <LinksUpToDate>false</LinksUpToDate>
  <CharactersWithSpaces>9008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Ｏ(≧▽≦)Ｏ</cp:lastModifiedBy>
  <cp:lastPrinted>2024-08-11T02:20:00Z</cp:lastPrinted>
  <dcterms:modified xsi:type="dcterms:W3CDTF">2025-09-28T03:13:57Z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539CE310D9B442FDBD6A15405CD4EBB6_13</vt:lpwstr>
  </property>
</Properties>
</file>