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509CE">
      <w:pPr>
        <w:pStyle w:val="2"/>
        <w:spacing w:line="251" w:lineRule="auto"/>
      </w:pPr>
    </w:p>
    <w:p w14:paraId="25BE2D90">
      <w:pPr>
        <w:pStyle w:val="2"/>
        <w:spacing w:line="251" w:lineRule="auto"/>
      </w:pPr>
    </w:p>
    <w:p w14:paraId="1B2ADA88">
      <w:pPr>
        <w:pStyle w:val="2"/>
        <w:spacing w:line="252" w:lineRule="auto"/>
      </w:pPr>
    </w:p>
    <w:p w14:paraId="51A389E5">
      <w:pPr>
        <w:pStyle w:val="2"/>
        <w:spacing w:line="252" w:lineRule="auto"/>
      </w:pPr>
    </w:p>
    <w:p w14:paraId="2CF52712">
      <w:pPr>
        <w:pStyle w:val="2"/>
        <w:spacing w:line="252" w:lineRule="auto"/>
      </w:pPr>
    </w:p>
    <w:p w14:paraId="61462501">
      <w:pPr>
        <w:spacing w:before="330" w:line="199" w:lineRule="auto"/>
        <w:ind w:left="3107" w:right="255" w:hanging="2570"/>
        <w:outlineLvl w:val="0"/>
        <w:rPr>
          <w:rFonts w:ascii="微软雅黑" w:hAnsi="微软雅黑" w:eastAsia="微软雅黑" w:cs="微软雅黑"/>
          <w:sz w:val="77"/>
          <w:szCs w:val="77"/>
        </w:rPr>
      </w:pPr>
      <w:r>
        <w:rPr>
          <w:rFonts w:ascii="微软雅黑" w:hAnsi="微软雅黑" w:eastAsia="微软雅黑" w:cs="微软雅黑"/>
          <w:b/>
          <w:bCs/>
          <w:spacing w:val="8"/>
          <w:sz w:val="77"/>
          <w:szCs w:val="77"/>
        </w:rPr>
        <w:t>岳阳市巴陵戏传承研究院</w:t>
      </w:r>
      <w:r>
        <w:rPr>
          <w:rFonts w:ascii="微软雅黑" w:hAnsi="微软雅黑" w:eastAsia="微软雅黑" w:cs="微软雅黑"/>
          <w:b/>
          <w:bCs/>
          <w:sz w:val="77"/>
          <w:szCs w:val="77"/>
        </w:rPr>
        <w:t xml:space="preserve"> 2024年度</w:t>
      </w:r>
    </w:p>
    <w:p w14:paraId="525C90C7">
      <w:pPr>
        <w:spacing w:before="3" w:line="184" w:lineRule="auto"/>
        <w:ind w:left="3261"/>
        <w:outlineLvl w:val="1"/>
        <w:rPr>
          <w:rFonts w:ascii="微软雅黑" w:hAnsi="微软雅黑" w:eastAsia="微软雅黑" w:cs="微软雅黑"/>
          <w:sz w:val="77"/>
          <w:szCs w:val="77"/>
        </w:rPr>
      </w:pPr>
      <w:r>
        <w:rPr>
          <w:rFonts w:ascii="微软雅黑" w:hAnsi="微软雅黑" w:eastAsia="微软雅黑" w:cs="微软雅黑"/>
          <w:b/>
          <w:bCs/>
          <w:spacing w:val="6"/>
          <w:sz w:val="77"/>
          <w:szCs w:val="77"/>
        </w:rPr>
        <w:t>单位预算</w:t>
      </w:r>
    </w:p>
    <w:p w14:paraId="262E03C7">
      <w:pPr>
        <w:pStyle w:val="2"/>
        <w:spacing w:line="245" w:lineRule="auto"/>
      </w:pPr>
    </w:p>
    <w:p w14:paraId="51DD2995">
      <w:pPr>
        <w:pStyle w:val="2"/>
        <w:spacing w:line="245" w:lineRule="auto"/>
      </w:pPr>
    </w:p>
    <w:p w14:paraId="17CF1BC2">
      <w:pPr>
        <w:pStyle w:val="2"/>
        <w:spacing w:line="245" w:lineRule="auto"/>
      </w:pPr>
    </w:p>
    <w:p w14:paraId="704991C2">
      <w:pPr>
        <w:pStyle w:val="2"/>
        <w:spacing w:line="245" w:lineRule="auto"/>
      </w:pPr>
    </w:p>
    <w:p w14:paraId="1EA14B62">
      <w:pPr>
        <w:pStyle w:val="2"/>
        <w:spacing w:line="245" w:lineRule="auto"/>
      </w:pPr>
    </w:p>
    <w:p w14:paraId="792EEDD6">
      <w:pPr>
        <w:pStyle w:val="2"/>
        <w:spacing w:line="245" w:lineRule="auto"/>
      </w:pPr>
    </w:p>
    <w:p w14:paraId="5977133C">
      <w:pPr>
        <w:pStyle w:val="2"/>
        <w:spacing w:line="245" w:lineRule="auto"/>
      </w:pPr>
    </w:p>
    <w:p w14:paraId="020C663B">
      <w:pPr>
        <w:pStyle w:val="2"/>
        <w:spacing w:line="245" w:lineRule="auto"/>
      </w:pPr>
    </w:p>
    <w:p w14:paraId="4384EE34">
      <w:pPr>
        <w:pStyle w:val="2"/>
        <w:spacing w:line="245" w:lineRule="auto"/>
      </w:pPr>
    </w:p>
    <w:p w14:paraId="78EA0B03">
      <w:pPr>
        <w:pStyle w:val="2"/>
        <w:spacing w:line="245" w:lineRule="auto"/>
      </w:pPr>
    </w:p>
    <w:p w14:paraId="1AED8E2C">
      <w:pPr>
        <w:spacing w:before="127" w:line="226" w:lineRule="auto"/>
        <w:ind w:left="4470"/>
        <w:outlineLvl w:val="1"/>
        <w:rPr>
          <w:rFonts w:ascii="黑体" w:hAnsi="黑体" w:eastAsia="黑体" w:cs="黑体"/>
          <w:sz w:val="39"/>
          <w:szCs w:val="39"/>
        </w:rPr>
      </w:pPr>
      <w:r>
        <w:rPr>
          <w:rFonts w:ascii="黑体" w:hAnsi="黑体" w:eastAsia="黑体" w:cs="黑体"/>
          <w:spacing w:val="-22"/>
          <w:sz w:val="39"/>
          <w:szCs w:val="39"/>
        </w:rPr>
        <w:t>目录</w:t>
      </w:r>
    </w:p>
    <w:p w14:paraId="2F678738">
      <w:pPr>
        <w:pStyle w:val="2"/>
        <w:spacing w:line="257" w:lineRule="auto"/>
      </w:pPr>
    </w:p>
    <w:p w14:paraId="25669CE1">
      <w:pPr>
        <w:pStyle w:val="2"/>
        <w:spacing w:line="257" w:lineRule="auto"/>
      </w:pPr>
    </w:p>
    <w:p w14:paraId="76267BF1">
      <w:pPr>
        <w:spacing w:before="98" w:line="221" w:lineRule="auto"/>
        <w:ind w:left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第一部分  2024年单位预算说明</w:t>
      </w:r>
    </w:p>
    <w:p w14:paraId="1E69B828">
      <w:pPr>
        <w:spacing w:before="297" w:line="222" w:lineRule="auto"/>
        <w:ind w:left="2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"/>
          <w:sz w:val="30"/>
          <w:szCs w:val="30"/>
        </w:rPr>
        <w:t>第二部分  2024年单位预算公开表格</w:t>
      </w:r>
    </w:p>
    <w:p w14:paraId="5D2558E8">
      <w:pPr>
        <w:spacing w:before="295" w:line="223" w:lineRule="auto"/>
        <w:ind w:left="2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1、收支总表</w:t>
      </w:r>
    </w:p>
    <w:p w14:paraId="12016716">
      <w:pPr>
        <w:spacing w:before="292" w:line="223" w:lineRule="auto"/>
        <w:ind w:left="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2、收入总表</w:t>
      </w:r>
    </w:p>
    <w:p w14:paraId="08FAC5E1">
      <w:pPr>
        <w:spacing w:before="292" w:line="224" w:lineRule="auto"/>
        <w:ind w:left="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3、支出总表</w:t>
      </w:r>
    </w:p>
    <w:p w14:paraId="4DD66423">
      <w:pPr>
        <w:spacing w:before="292" w:line="221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4、支出预算分类汇总表（按政府预算经济分类）</w:t>
      </w:r>
    </w:p>
    <w:p w14:paraId="28BC66EB">
      <w:pPr>
        <w:spacing w:before="296" w:line="221" w:lineRule="auto"/>
        <w:ind w:left="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5、支出预算分类汇总表（按部门预算经济分类）</w:t>
      </w:r>
    </w:p>
    <w:p w14:paraId="01CFCD7A">
      <w:pPr>
        <w:spacing w:before="297" w:line="223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6、财政拨款收支总表</w:t>
      </w:r>
    </w:p>
    <w:p w14:paraId="1892C627">
      <w:pPr>
        <w:spacing w:before="292" w:line="222" w:lineRule="auto"/>
        <w:ind w:left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7、一般公共预算支出表</w:t>
      </w:r>
    </w:p>
    <w:p w14:paraId="64EEC9FB">
      <w:pPr>
        <w:spacing w:before="148" w:line="222" w:lineRule="auto"/>
        <w:ind w:left="10" w:hanging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8、一般公共预算基本支出表-人员经费（工资福利支出</w:t>
      </w:r>
      <w:r>
        <w:rPr>
          <w:rFonts w:ascii="仿宋" w:hAnsi="仿宋" w:eastAsia="仿宋" w:cs="仿宋"/>
          <w:spacing w:val="-20"/>
          <w:sz w:val="30"/>
          <w:szCs w:val="30"/>
        </w:rPr>
        <w:t>）（</w:t>
      </w:r>
      <w:r>
        <w:rPr>
          <w:rFonts w:ascii="仿宋" w:hAnsi="仿宋" w:eastAsia="仿宋" w:cs="仿宋"/>
          <w:spacing w:val="3"/>
          <w:sz w:val="30"/>
          <w:szCs w:val="30"/>
        </w:rPr>
        <w:t>按政</w:t>
      </w:r>
      <w:r>
        <w:rPr>
          <w:rFonts w:ascii="仿宋" w:hAnsi="仿宋" w:eastAsia="仿宋" w:cs="仿宋"/>
          <w:spacing w:val="2"/>
          <w:sz w:val="30"/>
          <w:szCs w:val="30"/>
        </w:rPr>
        <w:t>府预算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经济分类）</w:t>
      </w:r>
    </w:p>
    <w:p w14:paraId="008B77E0">
      <w:pPr>
        <w:spacing w:line="222" w:lineRule="auto"/>
        <w:rPr>
          <w:rFonts w:ascii="仿宋" w:hAnsi="仿宋" w:eastAsia="仿宋" w:cs="仿宋"/>
          <w:sz w:val="30"/>
          <w:szCs w:val="30"/>
        </w:rPr>
        <w:sectPr>
          <w:pgSz w:w="11905" w:h="16837"/>
          <w:pgMar w:top="1431" w:right="1409" w:bottom="0" w:left="1144" w:header="0" w:footer="0" w:gutter="0"/>
          <w:cols w:space="720" w:num="1"/>
        </w:sectPr>
      </w:pPr>
    </w:p>
    <w:p w14:paraId="4AF62F51">
      <w:pPr>
        <w:spacing w:before="60" w:line="204" w:lineRule="auto"/>
        <w:ind w:left="9" w:right="150" w:hanging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3"/>
          <w:sz w:val="30"/>
          <w:szCs w:val="30"/>
        </w:rPr>
        <w:t>9、一般公共预算基本支出表-人员经费（工资福利支出</w:t>
      </w:r>
      <w:r>
        <w:rPr>
          <w:rFonts w:ascii="仿宋" w:hAnsi="仿宋" w:eastAsia="仿宋" w:cs="仿宋"/>
          <w:spacing w:val="-20"/>
          <w:sz w:val="30"/>
          <w:szCs w:val="30"/>
        </w:rPr>
        <w:t>）（</w:t>
      </w:r>
      <w:r>
        <w:rPr>
          <w:rFonts w:ascii="仿宋" w:hAnsi="仿宋" w:eastAsia="仿宋" w:cs="仿宋"/>
          <w:spacing w:val="3"/>
          <w:sz w:val="30"/>
          <w:szCs w:val="30"/>
        </w:rPr>
        <w:t>按部</w:t>
      </w:r>
      <w:r>
        <w:rPr>
          <w:rFonts w:ascii="仿宋" w:hAnsi="仿宋" w:eastAsia="仿宋" w:cs="仿宋"/>
          <w:spacing w:val="2"/>
          <w:sz w:val="30"/>
          <w:szCs w:val="30"/>
        </w:rPr>
        <w:t>门预算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经济分类）</w:t>
      </w:r>
    </w:p>
    <w:p w14:paraId="79375DE5">
      <w:pPr>
        <w:spacing w:before="1" w:line="201" w:lineRule="auto"/>
        <w:ind w:left="10" w:firstLine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10、一般公共预算基本支出表-人员经费（对个人和家庭的补助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按政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府预算经济分类）</w:t>
      </w:r>
    </w:p>
    <w:p w14:paraId="5DB8EFF6">
      <w:pPr>
        <w:spacing w:before="1" w:line="201" w:lineRule="auto"/>
        <w:ind w:left="38" w:hanging="1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11、一般公共预算基本支出表-人员经费（对个人和家庭的补助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按部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门预算经济分类）</w:t>
      </w:r>
    </w:p>
    <w:p w14:paraId="1D7D5AE7">
      <w:pPr>
        <w:spacing w:before="1" w:line="201" w:lineRule="auto"/>
        <w:ind w:left="9" w:firstLine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12、一般公共预算基本支出表-公用经费（商品和服务支出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按政府预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算经济分类）</w:t>
      </w:r>
    </w:p>
    <w:p w14:paraId="6FC172D3">
      <w:pPr>
        <w:spacing w:line="220" w:lineRule="auto"/>
        <w:ind w:left="9" w:firstLine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13、一般公共预算基本支出表-公用经费（商品和服务支出</w:t>
      </w:r>
      <w:r>
        <w:rPr>
          <w:rFonts w:ascii="仿宋" w:hAnsi="仿宋" w:eastAsia="仿宋" w:cs="仿宋"/>
          <w:spacing w:val="-18"/>
          <w:sz w:val="30"/>
          <w:szCs w:val="30"/>
        </w:rPr>
        <w:t>）（</w:t>
      </w:r>
      <w:r>
        <w:rPr>
          <w:rFonts w:ascii="仿宋" w:hAnsi="仿宋" w:eastAsia="仿宋" w:cs="仿宋"/>
          <w:spacing w:val="2"/>
          <w:sz w:val="30"/>
          <w:szCs w:val="30"/>
        </w:rPr>
        <w:t>按部门预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算经济分类）</w:t>
      </w:r>
    </w:p>
    <w:p w14:paraId="225231F3">
      <w:pPr>
        <w:spacing w:before="79" w:line="222" w:lineRule="auto"/>
        <w:ind w:left="2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14、一般公共预算“三公</w:t>
      </w:r>
      <w:r>
        <w:rPr>
          <w:rFonts w:ascii="仿宋" w:hAnsi="仿宋" w:eastAsia="仿宋" w:cs="仿宋"/>
          <w:spacing w:val="-9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”经费支出表</w:t>
      </w:r>
    </w:p>
    <w:p w14:paraId="7F2C4F28">
      <w:pPr>
        <w:spacing w:before="296" w:line="220" w:lineRule="auto"/>
        <w:ind w:left="2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15、政府性基金预算支出表</w:t>
      </w:r>
    </w:p>
    <w:p w14:paraId="4FB5BA7E">
      <w:pPr>
        <w:spacing w:before="297" w:line="220" w:lineRule="auto"/>
        <w:ind w:left="2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16、政府性基金预算支出分类汇总表（按政府预算经济分类）</w:t>
      </w:r>
    </w:p>
    <w:p w14:paraId="657FBF0D">
      <w:pPr>
        <w:spacing w:before="299" w:line="220" w:lineRule="auto"/>
        <w:ind w:left="2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17、政府性基金预算支出分类汇总表（按部门预算经济分类）</w:t>
      </w:r>
    </w:p>
    <w:p w14:paraId="706C8840">
      <w:pPr>
        <w:spacing w:before="296" w:line="222" w:lineRule="auto"/>
        <w:ind w:left="2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18、国有资本经营预算支出表</w:t>
      </w:r>
    </w:p>
    <w:p w14:paraId="10C58657">
      <w:pPr>
        <w:spacing w:before="294" w:line="222" w:lineRule="auto"/>
        <w:ind w:left="2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19、财政专户管理资金预算支出表</w:t>
      </w:r>
    </w:p>
    <w:p w14:paraId="22878AAD">
      <w:pPr>
        <w:spacing w:before="295" w:line="222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20、专项资金预算汇总表</w:t>
      </w:r>
    </w:p>
    <w:p w14:paraId="1D1E6DC5">
      <w:pPr>
        <w:spacing w:before="295" w:line="222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21、项目支出绩效目标表</w:t>
      </w:r>
    </w:p>
    <w:p w14:paraId="4288C656">
      <w:pPr>
        <w:spacing w:before="295" w:line="221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22、单位整体支出绩效目标表</w:t>
      </w:r>
    </w:p>
    <w:p w14:paraId="2248032D">
      <w:pPr>
        <w:spacing w:before="295" w:line="222" w:lineRule="auto"/>
        <w:ind w:left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23、一般公共预算基本支出表</w:t>
      </w:r>
    </w:p>
    <w:p w14:paraId="204E5FEC">
      <w:pPr>
        <w:spacing w:before="295" w:line="221" w:lineRule="auto"/>
        <w:ind w:left="1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color w:val="FF0000"/>
          <w:spacing w:val="1"/>
          <w:sz w:val="30"/>
          <w:szCs w:val="30"/>
        </w:rPr>
        <w:t>注：以上单位预算公开报表中，空表表示本单位无相关收</w:t>
      </w:r>
      <w:r>
        <w:rPr>
          <w:rFonts w:ascii="仿宋" w:hAnsi="仿宋" w:eastAsia="仿宋" w:cs="仿宋"/>
          <w:color w:val="FF0000"/>
          <w:sz w:val="30"/>
          <w:szCs w:val="30"/>
        </w:rPr>
        <w:t>支情况。</w:t>
      </w:r>
    </w:p>
    <w:p w14:paraId="273446BE">
      <w:pPr>
        <w:pStyle w:val="2"/>
        <w:spacing w:line="282" w:lineRule="auto"/>
      </w:pPr>
    </w:p>
    <w:p w14:paraId="3EA54E04">
      <w:pPr>
        <w:pStyle w:val="2"/>
        <w:spacing w:line="282" w:lineRule="auto"/>
      </w:pPr>
    </w:p>
    <w:p w14:paraId="7F68CB65">
      <w:pPr>
        <w:pStyle w:val="2"/>
        <w:spacing w:line="282" w:lineRule="auto"/>
      </w:pPr>
    </w:p>
    <w:p w14:paraId="21FE81CD">
      <w:pPr>
        <w:spacing w:before="97" w:line="221" w:lineRule="auto"/>
        <w:ind w:left="2704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第一部分  2024年单位预算说明</w:t>
      </w:r>
    </w:p>
    <w:p w14:paraId="38B6B2D2">
      <w:pPr>
        <w:pStyle w:val="2"/>
        <w:spacing w:line="261" w:lineRule="auto"/>
      </w:pPr>
    </w:p>
    <w:p w14:paraId="38831005">
      <w:pPr>
        <w:pStyle w:val="2"/>
        <w:spacing w:line="261" w:lineRule="auto"/>
      </w:pPr>
    </w:p>
    <w:p w14:paraId="612D6D8B">
      <w:pPr>
        <w:spacing w:before="98" w:line="221" w:lineRule="auto"/>
        <w:ind w:left="308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一、单位基本概况</w:t>
      </w:r>
    </w:p>
    <w:p w14:paraId="7731A629">
      <w:pPr>
        <w:spacing w:before="296" w:line="221" w:lineRule="auto"/>
        <w:ind w:left="31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（一）职能职责</w:t>
      </w:r>
    </w:p>
    <w:p w14:paraId="395AFA44">
      <w:pPr>
        <w:spacing w:before="245" w:line="222" w:lineRule="auto"/>
        <w:ind w:right="57" w:firstLine="32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1、宣传党的文艺方针政策，传承和保护国家非物质文化遗产—</w:t>
      </w:r>
      <w:r>
        <w:rPr>
          <w:rFonts w:ascii="宋体" w:hAnsi="宋体" w:eastAsia="宋体" w:cs="宋体"/>
          <w:spacing w:val="-2"/>
          <w:sz w:val="30"/>
          <w:szCs w:val="30"/>
        </w:rPr>
        <w:t>—巴陵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戏，以及“文化惠民</w:t>
      </w:r>
      <w:r>
        <w:rPr>
          <w:rFonts w:ascii="宋体" w:hAnsi="宋体" w:eastAsia="宋体" w:cs="宋体"/>
          <w:spacing w:val="-94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”“送戏下乡</w:t>
      </w:r>
      <w:r>
        <w:rPr>
          <w:rFonts w:ascii="宋体" w:hAnsi="宋体" w:eastAsia="宋体" w:cs="宋体"/>
          <w:spacing w:val="-110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”等各类公益性文艺演出。</w:t>
      </w:r>
    </w:p>
    <w:p w14:paraId="2992F017">
      <w:pPr>
        <w:spacing w:before="9" w:line="219" w:lineRule="auto"/>
        <w:ind w:left="60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2、完成上级主管部门交办的其他工作。</w:t>
      </w:r>
    </w:p>
    <w:p w14:paraId="30A7DF44">
      <w:pPr>
        <w:spacing w:before="248" w:line="219" w:lineRule="auto"/>
        <w:ind w:left="31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（二）机构设置</w:t>
      </w:r>
    </w:p>
    <w:p w14:paraId="631BF8F0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5" w:h="16837"/>
          <w:pgMar w:top="375" w:right="1259" w:bottom="0" w:left="1145" w:header="0" w:footer="0" w:gutter="0"/>
          <w:cols w:space="720" w:num="1"/>
        </w:sectPr>
      </w:pPr>
    </w:p>
    <w:p w14:paraId="7603D545">
      <w:pPr>
        <w:spacing w:before="60" w:line="219" w:lineRule="auto"/>
        <w:ind w:left="30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根据编委核定，我院内设部室9个，全部纳入202</w:t>
      </w:r>
      <w:r>
        <w:rPr>
          <w:rFonts w:ascii="宋体" w:hAnsi="宋体" w:eastAsia="宋体" w:cs="宋体"/>
          <w:spacing w:val="-1"/>
          <w:sz w:val="30"/>
          <w:szCs w:val="30"/>
        </w:rPr>
        <w:t>3年部门预算编制范围</w:t>
      </w:r>
    </w:p>
    <w:p w14:paraId="72C2EEB3">
      <w:pPr>
        <w:spacing w:before="199" w:line="151" w:lineRule="exact"/>
        <w:ind w:left="3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position w:val="1"/>
          <w:sz w:val="30"/>
          <w:szCs w:val="30"/>
        </w:rPr>
        <w:t>。</w:t>
      </w:r>
    </w:p>
    <w:p w14:paraId="2BF2EDC8">
      <w:pPr>
        <w:spacing w:before="21" w:line="216" w:lineRule="auto"/>
        <w:ind w:left="5" w:right="21" w:firstLine="3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内设部室分别是：综合部、巴陵戏剧室、花鼓戏剧室、民乐队、歌舞工作</w:t>
      </w:r>
      <w:r>
        <w:rPr>
          <w:rFonts w:ascii="宋体" w:hAnsi="宋体" w:eastAsia="宋体" w:cs="宋体"/>
          <w:spacing w:val="15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室  舞美工作室  宣传普教室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2"/>
          <w:sz w:val="30"/>
          <w:szCs w:val="30"/>
        </w:rPr>
        <w:t>艺术研究室  后勤保障部</w:t>
      </w:r>
    </w:p>
    <w:p w14:paraId="2012811B">
      <w:pPr>
        <w:spacing w:line="221" w:lineRule="auto"/>
        <w:ind w:left="308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二、单位预算单位构成</w:t>
      </w:r>
    </w:p>
    <w:p w14:paraId="33B019F7">
      <w:pPr>
        <w:spacing w:before="294" w:line="219" w:lineRule="auto"/>
        <w:ind w:left="30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本单位预算仅含本级预算。</w:t>
      </w:r>
    </w:p>
    <w:p w14:paraId="590F2932">
      <w:pPr>
        <w:spacing w:before="300" w:line="222" w:lineRule="auto"/>
        <w:ind w:left="310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三、单位收支总体情况</w:t>
      </w:r>
    </w:p>
    <w:p w14:paraId="166B499E">
      <w:pPr>
        <w:spacing w:before="150" w:line="222" w:lineRule="auto"/>
        <w:ind w:left="2" w:right="16" w:firstLine="302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本单位2024年没有政府性基金预算拨款、国</w:t>
      </w:r>
      <w:r>
        <w:rPr>
          <w:rFonts w:ascii="宋体" w:hAnsi="宋体" w:eastAsia="宋体" w:cs="宋体"/>
          <w:spacing w:val="-1"/>
          <w:sz w:val="30"/>
          <w:szCs w:val="30"/>
        </w:rPr>
        <w:t>有资本经营预算收入和纳入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专户管理的非税收入拨款收入，也没有使用政府性基金预算拨款、国有资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本经营预算收入和纳入专户管理的非税收入拨款安排的支出，所以公开的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9"/>
          <w:sz w:val="30"/>
          <w:szCs w:val="30"/>
        </w:rPr>
        <w:t>附件15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16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17</w:t>
      </w:r>
      <w:r>
        <w:rPr>
          <w:rFonts w:ascii="宋体" w:hAnsi="宋体" w:eastAsia="宋体" w:cs="宋体"/>
          <w:spacing w:val="16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18</w:t>
      </w:r>
      <w:r>
        <w:rPr>
          <w:rFonts w:ascii="宋体" w:hAnsi="宋体" w:eastAsia="宋体" w:cs="宋体"/>
          <w:spacing w:val="18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9"/>
          <w:sz w:val="30"/>
          <w:szCs w:val="30"/>
        </w:rPr>
        <w:t>19表均为空</w:t>
      </w:r>
    </w:p>
    <w:p w14:paraId="3CBEC238">
      <w:pPr>
        <w:spacing w:before="150" w:line="222" w:lineRule="auto"/>
        <w:ind w:left="2" w:right="16" w:firstLine="302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（一）收入预算</w:t>
      </w:r>
    </w:p>
    <w:p w14:paraId="011EC163">
      <w:pPr>
        <w:spacing w:before="150" w:line="222" w:lineRule="auto"/>
        <w:ind w:left="2" w:right="16" w:firstLine="302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包括一般公共预算、政府性基金、国有资本经营预算等财政拨款收入，以及经营收入、事业收入等单位资金。2024年度本单位收入预算2057.62万元，其中，一般公共预算拨款2057.62万元，政府性基金预算资金0.00万元(所以公开的附件17为空)，国有资本经营预算资金0.00万元(所以公开的附件18为空)，财政专户管理资金0.00万元(所以公开的附件19为空)，上级补助收入资金0.00万元，事业单位经营收入资金0.00万元，上年结转结余0.00万元。(数据来源见表2)本单位2024年收入较去年增加212.15万元，主要是因为人员增加。</w:t>
      </w:r>
    </w:p>
    <w:p w14:paraId="09E2134E">
      <w:pPr>
        <w:spacing w:before="150" w:line="228" w:lineRule="auto"/>
        <w:ind w:left="328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4"/>
          <w:sz w:val="30"/>
          <w:szCs w:val="30"/>
        </w:rPr>
        <w:t>（二）支出预算</w:t>
      </w:r>
      <w:bookmarkStart w:id="0" w:name="_GoBack"/>
      <w:bookmarkEnd w:id="0"/>
    </w:p>
    <w:p w14:paraId="17EEA19A">
      <w:pPr>
        <w:spacing w:before="139" w:line="224" w:lineRule="auto"/>
        <w:ind w:left="23" w:right="5" w:firstLine="28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2024年本单位支出预算2057.62万元，其中，207文化旅游体育与</w:t>
      </w:r>
      <w:r>
        <w:rPr>
          <w:rFonts w:ascii="宋体" w:hAnsi="宋体" w:eastAsia="宋体" w:cs="宋体"/>
          <w:spacing w:val="-1"/>
          <w:sz w:val="30"/>
          <w:szCs w:val="30"/>
        </w:rPr>
        <w:t>传媒支</w:t>
      </w:r>
      <w:r>
        <w:rPr>
          <w:rFonts w:ascii="宋体" w:hAnsi="宋体" w:eastAsia="宋体" w:cs="宋体"/>
          <w:sz w:val="30"/>
          <w:szCs w:val="30"/>
        </w:rPr>
        <w:t xml:space="preserve"> 出1394.90万元，208社会保障和就业支出4</w:t>
      </w:r>
      <w:r>
        <w:rPr>
          <w:rFonts w:ascii="宋体" w:hAnsi="宋体" w:eastAsia="宋体" w:cs="宋体"/>
          <w:spacing w:val="-1"/>
          <w:sz w:val="30"/>
          <w:szCs w:val="30"/>
        </w:rPr>
        <w:t>02.99万元，210卫生健康支出</w:t>
      </w:r>
      <w:r>
        <w:rPr>
          <w:rFonts w:ascii="宋体" w:hAnsi="宋体" w:eastAsia="宋体" w:cs="宋体"/>
          <w:sz w:val="30"/>
          <w:szCs w:val="30"/>
        </w:rPr>
        <w:t xml:space="preserve">  128.15万元，221住房保障支出131.58万元，</w:t>
      </w:r>
      <w:r>
        <w:rPr>
          <w:rFonts w:ascii="宋体" w:hAnsi="宋体" w:eastAsia="宋体" w:cs="宋体"/>
          <w:spacing w:val="-1"/>
          <w:sz w:val="30"/>
          <w:szCs w:val="30"/>
        </w:rPr>
        <w:t>支出较去年增加212.15万</w:t>
      </w:r>
    </w:p>
    <w:p w14:paraId="4F175C8E">
      <w:pPr>
        <w:spacing w:line="217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元  主要是因为人员增加</w:t>
      </w:r>
    </w:p>
    <w:p w14:paraId="5DE5BD37">
      <w:pPr>
        <w:spacing w:before="1" w:line="220" w:lineRule="auto"/>
        <w:ind w:left="321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四、一般公共预算拨款支出预算</w:t>
      </w:r>
    </w:p>
    <w:p w14:paraId="1F06D407">
      <w:pPr>
        <w:spacing w:before="152" w:line="216" w:lineRule="auto"/>
        <w:ind w:left="3" w:firstLine="304"/>
        <w:jc w:val="both"/>
        <w:rPr>
          <w:rFonts w:ascii="宋体" w:hAnsi="宋体" w:eastAsia="宋体" w:cs="宋体"/>
          <w:sz w:val="30"/>
          <w:szCs w:val="30"/>
        </w:rPr>
      </w:pPr>
      <w:r>
        <w:pict>
          <v:shape id="_x0000_s1026" o:spid="_x0000_s1026" o:spt="202" type="#_x0000_t202" style="position:absolute;left:0pt;margin-left:-1pt;margin-top:71.5pt;height:161.9pt;width:497.2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0EF98BB">
                  <w:pPr>
                    <w:spacing w:before="18" w:line="223" w:lineRule="auto"/>
                    <w:ind w:left="20" w:right="20" w:firstLine="317"/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</w:pPr>
                  <w:r>
                    <w:rPr>
                      <w:rFonts w:ascii="宋体" w:hAnsi="宋体" w:eastAsia="宋体" w:cs="宋体"/>
                      <w:sz w:val="30"/>
                      <w:szCs w:val="30"/>
                    </w:rPr>
                    <w:t>（一）基本支出：2024年基本支出年初预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算数为2057.62万元（数据来</w:t>
                  </w:r>
                  <w:r>
                    <w:rPr>
                      <w:rFonts w:ascii="宋体" w:hAnsi="宋体" w:eastAsia="宋体" w:cs="宋体"/>
                      <w:sz w:val="30"/>
                      <w:szCs w:val="30"/>
                    </w:rPr>
                    <w:t xml:space="preserve">  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源见表23</w:t>
                  </w:r>
                  <w:r>
                    <w:rPr>
                      <w:rFonts w:ascii="宋体" w:hAnsi="宋体" w:eastAsia="宋体" w:cs="宋体"/>
                      <w:spacing w:val="11"/>
                      <w:sz w:val="30"/>
                      <w:szCs w:val="30"/>
                    </w:rPr>
                    <w:t>），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是指为保障单位机构正常运转、完成日常工作任务而发生的</w:t>
                  </w:r>
                  <w:r>
                    <w:rPr>
                      <w:rFonts w:ascii="宋体" w:hAnsi="宋体" w:eastAsia="宋体" w:cs="宋体"/>
                      <w:sz w:val="30"/>
                      <w:szCs w:val="30"/>
                    </w:rPr>
                    <w:t xml:space="preserve"> 各项支出，包括用于基本工资、津贴补贴等人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员经费以及办公费、印刷费</w:t>
                  </w:r>
                  <w:r>
                    <w:rPr>
                      <w:rFonts w:ascii="宋体" w:hAnsi="宋体" w:eastAsia="宋体" w:cs="宋体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、水电费、差旅费等日常公用经费。</w:t>
                  </w:r>
                </w:p>
                <w:p w14:paraId="2CD7D72E">
                  <w:pPr>
                    <w:spacing w:before="18" w:line="223" w:lineRule="auto"/>
                    <w:ind w:left="20" w:right="20" w:firstLine="317"/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  <w:t>（二）项目支出：</w:t>
                  </w:r>
                  <w:r>
                    <w:rPr>
                      <w:rFonts w:hint="eastAsia" w:ascii="宋体" w:hAnsi="宋体" w:eastAsia="宋体" w:cs="宋体"/>
                      <w:spacing w:val="-1"/>
                      <w:sz w:val="30"/>
                      <w:szCs w:val="30"/>
                    </w:rPr>
                    <w:t>2024年项目支出年初预算数为0万元（数据来源见表20），是指部门为完成特定行政工作任务或事业发展目标而发生的支出，包括有关业务工作经费、运行维护经费、其他事业发展资金等。本部门当年无项目支出。</w:t>
                  </w:r>
                </w:p>
                <w:p w14:paraId="67883F16">
                  <w:pPr>
                    <w:spacing w:before="18" w:line="223" w:lineRule="auto"/>
                    <w:ind w:left="20" w:right="20" w:firstLine="317"/>
                    <w:rPr>
                      <w:rFonts w:ascii="宋体" w:hAnsi="宋体" w:eastAsia="宋体" w:cs="宋体"/>
                      <w:spacing w:val="-1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rFonts w:ascii="宋体" w:hAnsi="宋体" w:eastAsia="宋体" w:cs="宋体"/>
          <w:sz w:val="30"/>
          <w:szCs w:val="30"/>
        </w:rPr>
        <w:t>2024年一般公共预算拨款支出预算2057.62万元，其中，207文化</w:t>
      </w:r>
      <w:r>
        <w:rPr>
          <w:rFonts w:ascii="宋体" w:hAnsi="宋体" w:eastAsia="宋体" w:cs="宋体"/>
          <w:spacing w:val="-1"/>
          <w:sz w:val="30"/>
          <w:szCs w:val="30"/>
        </w:rPr>
        <w:t>旅游体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育与传媒支出1394.90万元，</w:t>
      </w:r>
      <w:r>
        <w:rPr>
          <w:rFonts w:ascii="宋体" w:hAnsi="宋体" w:eastAsia="宋体" w:cs="宋体"/>
          <w:spacing w:val="-8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占67.79%；208社会保障</w:t>
      </w:r>
      <w:r>
        <w:rPr>
          <w:rFonts w:ascii="宋体" w:hAnsi="宋体" w:eastAsia="宋体" w:cs="宋体"/>
          <w:spacing w:val="-2"/>
          <w:sz w:val="30"/>
          <w:szCs w:val="30"/>
        </w:rPr>
        <w:t>和就业支出402.99万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元，</w:t>
      </w:r>
      <w:r>
        <w:rPr>
          <w:rFonts w:ascii="宋体" w:hAnsi="宋体" w:eastAsia="宋体" w:cs="宋体"/>
          <w:spacing w:val="-75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占19.59%；210卫生健康支出128.15万元，</w:t>
      </w:r>
      <w:r>
        <w:rPr>
          <w:rFonts w:ascii="宋体" w:hAnsi="宋体" w:eastAsia="宋体" w:cs="宋体"/>
          <w:spacing w:val="-89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占6.23%；221住房保障支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3"/>
          <w:sz w:val="30"/>
          <w:szCs w:val="30"/>
        </w:rPr>
        <w:t>出131 58万元</w:t>
      </w:r>
      <w:r>
        <w:rPr>
          <w:rFonts w:ascii="宋体" w:hAnsi="宋体" w:eastAsia="宋体" w:cs="宋体"/>
          <w:spacing w:val="35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3"/>
          <w:sz w:val="30"/>
          <w:szCs w:val="30"/>
        </w:rPr>
        <w:t>占6 39%；具体安排情况如下：</w:t>
      </w:r>
    </w:p>
    <w:p w14:paraId="4224A606">
      <w:pPr>
        <w:pStyle w:val="2"/>
        <w:spacing w:line="267" w:lineRule="auto"/>
      </w:pPr>
    </w:p>
    <w:p w14:paraId="483F4B83">
      <w:pPr>
        <w:pStyle w:val="2"/>
        <w:spacing w:line="267" w:lineRule="auto"/>
      </w:pPr>
    </w:p>
    <w:p w14:paraId="537A939F">
      <w:pPr>
        <w:pStyle w:val="2"/>
        <w:spacing w:line="267" w:lineRule="auto"/>
      </w:pPr>
    </w:p>
    <w:p w14:paraId="516832B7">
      <w:pPr>
        <w:pStyle w:val="2"/>
        <w:spacing w:line="267" w:lineRule="auto"/>
      </w:pPr>
    </w:p>
    <w:p w14:paraId="53417074">
      <w:pPr>
        <w:pStyle w:val="2"/>
        <w:spacing w:line="267" w:lineRule="auto"/>
      </w:pPr>
    </w:p>
    <w:p w14:paraId="580ACDA0">
      <w:pPr>
        <w:pStyle w:val="2"/>
        <w:spacing w:line="268" w:lineRule="auto"/>
      </w:pPr>
    </w:p>
    <w:p w14:paraId="44DE2E5C">
      <w:pPr>
        <w:spacing w:before="98" w:line="191" w:lineRule="auto"/>
        <w:ind w:right="90"/>
        <w:rPr>
          <w:rFonts w:ascii="宋体" w:hAnsi="宋体" w:eastAsia="宋体" w:cs="宋体"/>
          <w:sz w:val="30"/>
          <w:szCs w:val="30"/>
        </w:rPr>
      </w:pPr>
    </w:p>
    <w:p w14:paraId="7B7C1728">
      <w:pPr>
        <w:spacing w:before="1" w:line="194" w:lineRule="auto"/>
        <w:ind w:left="312"/>
        <w:outlineLvl w:val="3"/>
        <w:rPr>
          <w:rFonts w:ascii="黑体" w:hAnsi="黑体" w:eastAsia="黑体" w:cs="黑体"/>
          <w:spacing w:val="-1"/>
          <w:sz w:val="30"/>
          <w:szCs w:val="30"/>
        </w:rPr>
      </w:pPr>
    </w:p>
    <w:p w14:paraId="38F4800D">
      <w:pPr>
        <w:spacing w:before="1" w:line="194" w:lineRule="auto"/>
        <w:ind w:left="312"/>
        <w:outlineLvl w:val="3"/>
        <w:rPr>
          <w:rFonts w:ascii="黑体" w:hAnsi="黑体" w:eastAsia="黑体" w:cs="黑体"/>
          <w:spacing w:val="-1"/>
          <w:sz w:val="30"/>
          <w:szCs w:val="30"/>
        </w:rPr>
      </w:pPr>
    </w:p>
    <w:p w14:paraId="0015728A">
      <w:pPr>
        <w:spacing w:before="1" w:line="194" w:lineRule="auto"/>
        <w:ind w:left="312"/>
        <w:outlineLvl w:val="3"/>
        <w:rPr>
          <w:rFonts w:ascii="黑体" w:hAnsi="黑体" w:eastAsia="黑体" w:cs="黑体"/>
          <w:spacing w:val="-1"/>
          <w:sz w:val="30"/>
          <w:szCs w:val="30"/>
        </w:rPr>
      </w:pPr>
    </w:p>
    <w:p w14:paraId="369543EA">
      <w:pPr>
        <w:spacing w:before="1" w:line="194" w:lineRule="auto"/>
        <w:ind w:firstLine="298" w:firstLineChars="100"/>
        <w:outlineLvl w:val="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五、政府性基金预算支出</w:t>
      </w:r>
    </w:p>
    <w:p w14:paraId="311EA430">
      <w:pPr>
        <w:spacing w:before="149" w:line="225" w:lineRule="auto"/>
        <w:ind w:right="160" w:firstLine="30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2024年度本单位无政府性基金安排的支出，所以公开的</w:t>
      </w:r>
      <w:r>
        <w:rPr>
          <w:rFonts w:ascii="宋体" w:hAnsi="宋体" w:eastAsia="宋体" w:cs="宋体"/>
          <w:spacing w:val="-1"/>
          <w:sz w:val="30"/>
          <w:szCs w:val="30"/>
        </w:rPr>
        <w:t>附件15-17（政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府性基金预算）为空。</w:t>
      </w:r>
    </w:p>
    <w:p w14:paraId="0B62C350">
      <w:pPr>
        <w:spacing w:before="70" w:line="221" w:lineRule="auto"/>
        <w:ind w:left="313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六、其他重要事项的情况说明</w:t>
      </w:r>
    </w:p>
    <w:p w14:paraId="3924F49E">
      <w:pPr>
        <w:spacing w:line="221" w:lineRule="auto"/>
        <w:rPr>
          <w:rFonts w:ascii="黑体" w:hAnsi="黑体" w:eastAsia="黑体" w:cs="黑体"/>
          <w:sz w:val="30"/>
          <w:szCs w:val="30"/>
        </w:rPr>
        <w:sectPr>
          <w:pgSz w:w="11905" w:h="16837"/>
          <w:pgMar w:top="377" w:right="1148" w:bottom="0" w:left="1145" w:header="0" w:footer="0" w:gutter="0"/>
          <w:cols w:space="720" w:num="1"/>
        </w:sectPr>
      </w:pPr>
    </w:p>
    <w:p w14:paraId="7B24C6A2">
      <w:pPr>
        <w:spacing w:before="62" w:line="225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3"/>
          <w:sz w:val="30"/>
          <w:szCs w:val="30"/>
        </w:rPr>
        <w:t>（一）机关运行经费</w:t>
      </w:r>
    </w:p>
    <w:p w14:paraId="49A595E5">
      <w:pPr>
        <w:spacing w:before="142" w:line="225" w:lineRule="auto"/>
        <w:ind w:left="1" w:right="5" w:firstLine="305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本单位2024年机关运行经费当年一般公共预算拨款178.57万</w:t>
      </w:r>
      <w:r>
        <w:rPr>
          <w:rFonts w:ascii="宋体" w:hAnsi="宋体" w:eastAsia="宋体" w:cs="宋体"/>
          <w:spacing w:val="-1"/>
          <w:sz w:val="30"/>
          <w:szCs w:val="30"/>
        </w:rPr>
        <w:t>元（数据来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源见表12</w:t>
      </w:r>
      <w:r>
        <w:rPr>
          <w:rFonts w:ascii="宋体" w:hAnsi="宋体" w:eastAsia="宋体" w:cs="宋体"/>
          <w:spacing w:val="23"/>
          <w:sz w:val="30"/>
          <w:szCs w:val="30"/>
        </w:rPr>
        <w:t>），</w:t>
      </w:r>
      <w:r>
        <w:rPr>
          <w:rFonts w:ascii="宋体" w:hAnsi="宋体" w:eastAsia="宋体" w:cs="宋体"/>
          <w:spacing w:val="-1"/>
          <w:sz w:val="30"/>
          <w:szCs w:val="30"/>
        </w:rPr>
        <w:t>比上一年增加2.11万元，增加1.1</w:t>
      </w:r>
      <w:r>
        <w:rPr>
          <w:rFonts w:ascii="宋体" w:hAnsi="宋体" w:eastAsia="宋体" w:cs="宋体"/>
          <w:spacing w:val="-2"/>
          <w:sz w:val="30"/>
          <w:szCs w:val="30"/>
        </w:rPr>
        <w:t>8%。主要原因是人员增加</w:t>
      </w:r>
    </w:p>
    <w:p w14:paraId="09969654">
      <w:pPr>
        <w:spacing w:before="282" w:line="225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6"/>
          <w:sz w:val="30"/>
          <w:szCs w:val="30"/>
        </w:rPr>
        <w:t>（二）“三公</w:t>
      </w:r>
      <w:r>
        <w:rPr>
          <w:rFonts w:ascii="楷体" w:hAnsi="楷体" w:eastAsia="楷体" w:cs="楷体"/>
          <w:spacing w:val="-102"/>
          <w:sz w:val="30"/>
          <w:szCs w:val="30"/>
        </w:rPr>
        <w:t xml:space="preserve"> </w:t>
      </w:r>
      <w:r>
        <w:rPr>
          <w:rFonts w:ascii="楷体" w:hAnsi="楷体" w:eastAsia="楷体" w:cs="楷体"/>
          <w:spacing w:val="-6"/>
          <w:sz w:val="30"/>
          <w:szCs w:val="30"/>
        </w:rPr>
        <w:t>”经费预算</w:t>
      </w:r>
    </w:p>
    <w:p w14:paraId="3396A62B">
      <w:pPr>
        <w:spacing w:before="139" w:line="219" w:lineRule="auto"/>
        <w:ind w:left="30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本单位2024年“三公</w:t>
      </w:r>
      <w:r>
        <w:rPr>
          <w:rFonts w:ascii="宋体" w:hAnsi="宋体" w:eastAsia="宋体" w:cs="宋体"/>
          <w:spacing w:val="-11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”经费预算数0.3</w:t>
      </w:r>
      <w:r>
        <w:rPr>
          <w:rFonts w:ascii="宋体" w:hAnsi="宋体" w:eastAsia="宋体" w:cs="宋体"/>
          <w:spacing w:val="-2"/>
          <w:sz w:val="30"/>
          <w:szCs w:val="30"/>
        </w:rPr>
        <w:t>0万元（数据来源见表14</w:t>
      </w:r>
      <w:r>
        <w:rPr>
          <w:rFonts w:ascii="宋体" w:hAnsi="宋体" w:eastAsia="宋体" w:cs="宋体"/>
          <w:spacing w:val="7"/>
          <w:sz w:val="30"/>
          <w:szCs w:val="30"/>
        </w:rPr>
        <w:t>），</w:t>
      </w:r>
      <w:r>
        <w:rPr>
          <w:rFonts w:ascii="宋体" w:hAnsi="宋体" w:eastAsia="宋体" w:cs="宋体"/>
          <w:spacing w:val="-2"/>
          <w:sz w:val="30"/>
          <w:szCs w:val="30"/>
        </w:rPr>
        <w:t>其</w:t>
      </w:r>
    </w:p>
    <w:p w14:paraId="054C9111">
      <w:pPr>
        <w:tabs>
          <w:tab w:val="left" w:pos="325"/>
        </w:tabs>
        <w:spacing w:before="12" w:line="224" w:lineRule="auto"/>
        <w:ind w:left="2" w:right="6" w:firstLine="28"/>
        <w:rPr>
          <w:rFonts w:ascii="楷体" w:hAnsi="楷体" w:eastAsia="楷体" w:cs="楷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中，公务接待费0.30万元，因公出国（境）费0.00万元，公务用车购置及</w:t>
      </w:r>
      <w:r>
        <w:rPr>
          <w:rFonts w:ascii="宋体" w:hAnsi="宋体" w:eastAsia="宋体" w:cs="宋体"/>
          <w:spacing w:val="2"/>
          <w:sz w:val="30"/>
          <w:szCs w:val="30"/>
        </w:rPr>
        <w:t xml:space="preserve"> </w:t>
      </w:r>
      <w:r>
        <w:rPr>
          <w:rFonts w:ascii="宋体" w:hAnsi="宋体" w:eastAsia="宋体" w:cs="宋体"/>
          <w:sz w:val="30"/>
          <w:szCs w:val="30"/>
        </w:rPr>
        <w:t>运行费0.00万元（其中，公务用车购置费0.00万元，公务用车运行费0</w:t>
      </w:r>
      <w:r>
        <w:rPr>
          <w:rFonts w:ascii="宋体" w:hAnsi="宋体" w:eastAsia="宋体" w:cs="宋体"/>
          <w:spacing w:val="-1"/>
          <w:sz w:val="30"/>
          <w:szCs w:val="30"/>
        </w:rPr>
        <w:t>.00</w:t>
      </w:r>
      <w:r>
        <w:rPr>
          <w:rFonts w:ascii="宋体" w:hAnsi="宋体" w:eastAsia="宋体" w:cs="宋体"/>
          <w:sz w:val="30"/>
          <w:szCs w:val="30"/>
        </w:rPr>
        <w:t xml:space="preserve"> 万元）  2024年三公经费预算较上年增加/减少0万元  </w:t>
      </w:r>
      <w:r>
        <w:rPr>
          <w:rFonts w:ascii="宋体" w:hAnsi="宋体" w:eastAsia="宋体" w:cs="宋体"/>
          <w:spacing w:val="-1"/>
          <w:sz w:val="30"/>
          <w:szCs w:val="30"/>
        </w:rPr>
        <w:t>主要原因是未增加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楷体" w:hAnsi="楷体" w:eastAsia="楷体" w:cs="楷体"/>
          <w:sz w:val="30"/>
          <w:szCs w:val="30"/>
        </w:rPr>
        <w:tab/>
      </w:r>
      <w:r>
        <w:rPr>
          <w:rFonts w:ascii="楷体" w:hAnsi="楷体" w:eastAsia="楷体" w:cs="楷体"/>
          <w:spacing w:val="-2"/>
          <w:sz w:val="30"/>
          <w:szCs w:val="30"/>
        </w:rPr>
        <w:t>（三）一般性支出情况</w:t>
      </w:r>
    </w:p>
    <w:p w14:paraId="3BE4D9BB">
      <w:pPr>
        <w:spacing w:before="132" w:line="219" w:lineRule="auto"/>
        <w:ind w:left="30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本单位2024年会议费预算0.00万元（数据来源见表13会</w:t>
      </w:r>
      <w:r>
        <w:rPr>
          <w:rFonts w:ascii="宋体" w:hAnsi="宋体" w:eastAsia="宋体" w:cs="宋体"/>
          <w:spacing w:val="-1"/>
          <w:sz w:val="30"/>
          <w:szCs w:val="30"/>
        </w:rPr>
        <w:t>议费、培训</w:t>
      </w:r>
    </w:p>
    <w:p w14:paraId="2EA93BB5">
      <w:pPr>
        <w:spacing w:before="6" w:line="225" w:lineRule="auto"/>
        <w:ind w:left="2" w:right="11" w:firstLine="1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费</w:t>
      </w:r>
      <w:r>
        <w:rPr>
          <w:rFonts w:ascii="宋体" w:hAnsi="宋体" w:eastAsia="宋体" w:cs="宋体"/>
          <w:spacing w:val="5"/>
          <w:sz w:val="30"/>
          <w:szCs w:val="30"/>
        </w:rPr>
        <w:t>），</w:t>
      </w:r>
      <w:r>
        <w:rPr>
          <w:rFonts w:ascii="宋体" w:hAnsi="宋体" w:eastAsia="宋体" w:cs="宋体"/>
          <w:spacing w:val="-1"/>
          <w:sz w:val="30"/>
          <w:szCs w:val="30"/>
        </w:rPr>
        <w:t>拟召开0次会议，人数0人，内容为无；培训费预算2.74万元</w:t>
      </w:r>
      <w:r>
        <w:rPr>
          <w:rFonts w:ascii="宋体" w:hAnsi="宋体" w:eastAsia="宋体" w:cs="宋体"/>
          <w:spacing w:val="-2"/>
          <w:sz w:val="30"/>
          <w:szCs w:val="30"/>
        </w:rPr>
        <w:t>，拟开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z w:val="30"/>
          <w:szCs w:val="30"/>
        </w:rPr>
        <w:t>展1次培训，人数121人，内容为湖南省事业单位工作人</w:t>
      </w:r>
      <w:r>
        <w:rPr>
          <w:rFonts w:ascii="宋体" w:hAnsi="宋体" w:eastAsia="宋体" w:cs="宋体"/>
          <w:spacing w:val="-1"/>
          <w:sz w:val="30"/>
          <w:szCs w:val="30"/>
        </w:rPr>
        <w:t>员培训；计划举办</w:t>
      </w:r>
      <w:r>
        <w:rPr>
          <w:rFonts w:ascii="宋体" w:hAnsi="宋体" w:eastAsia="宋体" w:cs="宋体"/>
          <w:sz w:val="30"/>
          <w:szCs w:val="30"/>
        </w:rPr>
        <w:t xml:space="preserve"> 节庆、晚会、论坛、赛事活动0万元，内容为无。2024年</w:t>
      </w:r>
      <w:r>
        <w:rPr>
          <w:rFonts w:ascii="宋体" w:hAnsi="宋体" w:eastAsia="宋体" w:cs="宋体"/>
          <w:spacing w:val="-1"/>
          <w:sz w:val="30"/>
          <w:szCs w:val="30"/>
        </w:rPr>
        <w:t>度本单位未计划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1"/>
          <w:sz w:val="30"/>
          <w:szCs w:val="30"/>
        </w:rPr>
        <w:t>安排会议、未计划举办节庆、晚会、论坛、赛事活动。</w:t>
      </w:r>
    </w:p>
    <w:p w14:paraId="4D3DF8E0">
      <w:pPr>
        <w:spacing w:before="72" w:line="227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3"/>
          <w:sz w:val="30"/>
          <w:szCs w:val="30"/>
        </w:rPr>
        <w:t>（四）政府采购情况</w:t>
      </w:r>
    </w:p>
    <w:p w14:paraId="57447B06">
      <w:pPr>
        <w:pStyle w:val="2"/>
        <w:spacing w:line="331" w:lineRule="auto"/>
      </w:pPr>
    </w:p>
    <w:p w14:paraId="423039FB">
      <w:pPr>
        <w:spacing w:before="98" w:line="225" w:lineRule="auto"/>
        <w:ind w:left="4" w:right="157" w:firstLine="30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本单位2024年政府采购预算总额0万元，其中工程类0</w:t>
      </w:r>
      <w:r>
        <w:rPr>
          <w:rFonts w:ascii="宋体" w:hAnsi="宋体" w:eastAsia="宋体" w:cs="宋体"/>
          <w:spacing w:val="-1"/>
          <w:sz w:val="30"/>
          <w:szCs w:val="30"/>
        </w:rPr>
        <w:t>万元，货物类0万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元，服务类0万元。2024年度本单位未安排政府采购预算。</w:t>
      </w:r>
    </w:p>
    <w:p w14:paraId="2BDCB443">
      <w:pPr>
        <w:pStyle w:val="2"/>
        <w:spacing w:line="330" w:lineRule="auto"/>
      </w:pPr>
    </w:p>
    <w:p w14:paraId="71FA2091">
      <w:pPr>
        <w:spacing w:before="98" w:line="223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1"/>
          <w:sz w:val="30"/>
          <w:szCs w:val="30"/>
        </w:rPr>
        <w:t>（五）国有资产占有使用及新增资产配置情况</w:t>
      </w:r>
    </w:p>
    <w:p w14:paraId="3AD4DF1A">
      <w:pPr>
        <w:spacing w:before="147" w:line="224" w:lineRule="auto"/>
        <w:ind w:left="4" w:right="10" w:firstLine="299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截至上年底，本单位共有车辆3辆，其中领导干部</w:t>
      </w:r>
      <w:r>
        <w:rPr>
          <w:rFonts w:ascii="宋体" w:hAnsi="宋体" w:eastAsia="宋体" w:cs="宋体"/>
          <w:spacing w:val="-1"/>
          <w:sz w:val="30"/>
          <w:szCs w:val="30"/>
        </w:rPr>
        <w:t>用车0辆，一般公务用</w:t>
      </w:r>
      <w:r>
        <w:rPr>
          <w:rFonts w:ascii="宋体" w:hAnsi="宋体" w:eastAsia="宋体" w:cs="宋体"/>
          <w:sz w:val="30"/>
          <w:szCs w:val="30"/>
        </w:rPr>
        <w:t xml:space="preserve"> 车0辆，其他用车3辆。单位价值50万元以上通用设备0台</w:t>
      </w:r>
      <w:r>
        <w:rPr>
          <w:rFonts w:ascii="宋体" w:hAnsi="宋体" w:eastAsia="宋体" w:cs="宋体"/>
          <w:spacing w:val="-1"/>
          <w:sz w:val="30"/>
          <w:szCs w:val="30"/>
        </w:rPr>
        <w:t>，单位价值100万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元以上专用设备0台。</w:t>
      </w:r>
    </w:p>
    <w:p w14:paraId="5F1763F2">
      <w:pPr>
        <w:spacing w:before="7" w:line="223" w:lineRule="auto"/>
        <w:ind w:right="10" w:firstLine="30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2024年拟报废处置车辆0辆，其中：报废处</w:t>
      </w:r>
      <w:r>
        <w:rPr>
          <w:rFonts w:ascii="宋体" w:hAnsi="宋体" w:eastAsia="宋体" w:cs="宋体"/>
          <w:spacing w:val="-1"/>
          <w:sz w:val="30"/>
          <w:szCs w:val="30"/>
        </w:rPr>
        <w:t>置领导干部用车0辆，报废处</w:t>
      </w:r>
      <w:r>
        <w:rPr>
          <w:rFonts w:ascii="宋体" w:hAnsi="宋体" w:eastAsia="宋体" w:cs="宋体"/>
          <w:sz w:val="30"/>
          <w:szCs w:val="30"/>
        </w:rPr>
        <w:t xml:space="preserve"> 置一般公务用车0辆，报废处置其他用车0辆，报废处置单位价</w:t>
      </w:r>
      <w:r>
        <w:rPr>
          <w:rFonts w:ascii="宋体" w:hAnsi="宋体" w:eastAsia="宋体" w:cs="宋体"/>
          <w:spacing w:val="-1"/>
          <w:sz w:val="30"/>
          <w:szCs w:val="30"/>
        </w:rPr>
        <w:t>值50万元以</w:t>
      </w:r>
      <w:r>
        <w:rPr>
          <w:rFonts w:ascii="宋体" w:hAnsi="宋体" w:eastAsia="宋体" w:cs="宋体"/>
          <w:sz w:val="30"/>
          <w:szCs w:val="30"/>
        </w:rPr>
        <w:t xml:space="preserve"> 上通用设备0台，报废处置单位价值100万元以上通用设备0台</w:t>
      </w:r>
      <w:r>
        <w:rPr>
          <w:rFonts w:ascii="宋体" w:hAnsi="宋体" w:eastAsia="宋体" w:cs="宋体"/>
          <w:spacing w:val="-1"/>
          <w:sz w:val="30"/>
          <w:szCs w:val="30"/>
        </w:rPr>
        <w:t>。拟新增配</w:t>
      </w:r>
      <w:r>
        <w:rPr>
          <w:rFonts w:ascii="宋体" w:hAnsi="宋体" w:eastAsia="宋体" w:cs="宋体"/>
          <w:sz w:val="30"/>
          <w:szCs w:val="30"/>
        </w:rPr>
        <w:t xml:space="preserve">  置车辆0辆，其中领导干部用车0辆，一般公务用车0辆，其他</w:t>
      </w:r>
      <w:r>
        <w:rPr>
          <w:rFonts w:ascii="宋体" w:hAnsi="宋体" w:eastAsia="宋体" w:cs="宋体"/>
          <w:spacing w:val="-1"/>
          <w:sz w:val="30"/>
          <w:szCs w:val="30"/>
        </w:rPr>
        <w:t>用车0辆，主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要用于无，资金来源为无。</w:t>
      </w:r>
    </w:p>
    <w:p w14:paraId="40E3BC54">
      <w:pPr>
        <w:spacing w:before="1" w:line="218" w:lineRule="auto"/>
        <w:ind w:left="30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2024年拟新增配备领导干部用车0辆，</w:t>
      </w:r>
      <w:r>
        <w:rPr>
          <w:rFonts w:ascii="宋体" w:hAnsi="宋体" w:eastAsia="宋体" w:cs="宋体"/>
          <w:spacing w:val="-1"/>
          <w:sz w:val="30"/>
          <w:szCs w:val="30"/>
        </w:rPr>
        <w:t>一般公务用车0辆，其他用车</w:t>
      </w:r>
    </w:p>
    <w:p w14:paraId="4329DD39">
      <w:pPr>
        <w:spacing w:before="11" w:line="224" w:lineRule="auto"/>
        <w:ind w:left="3" w:right="160" w:firstLine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0辆，新增配备单位价值50万元以上通用设备0台，单</w:t>
      </w:r>
      <w:r>
        <w:rPr>
          <w:rFonts w:ascii="宋体" w:hAnsi="宋体" w:eastAsia="宋体" w:cs="宋体"/>
          <w:spacing w:val="-1"/>
          <w:sz w:val="30"/>
          <w:szCs w:val="30"/>
        </w:rPr>
        <w:t>位价值100万元以上</w:t>
      </w:r>
      <w:r>
        <w:rPr>
          <w:rFonts w:ascii="宋体" w:hAnsi="宋体" w:eastAsia="宋体" w:cs="宋体"/>
          <w:sz w:val="30"/>
          <w:szCs w:val="30"/>
        </w:rPr>
        <w:t xml:space="preserve"> 专用设备0台。2024年度本单位未计划处置或新</w:t>
      </w:r>
      <w:r>
        <w:rPr>
          <w:rFonts w:ascii="宋体" w:hAnsi="宋体" w:eastAsia="宋体" w:cs="宋体"/>
          <w:spacing w:val="-1"/>
          <w:sz w:val="30"/>
          <w:szCs w:val="30"/>
        </w:rPr>
        <w:t>增车辆、设备等。</w:t>
      </w:r>
    </w:p>
    <w:p w14:paraId="71E9D744">
      <w:pPr>
        <w:spacing w:before="71" w:line="227" w:lineRule="auto"/>
        <w:ind w:left="33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2"/>
          <w:sz w:val="30"/>
          <w:szCs w:val="30"/>
        </w:rPr>
        <w:t>（六）预算绩效目标说明</w:t>
      </w:r>
    </w:p>
    <w:p w14:paraId="394B7E2A">
      <w:pPr>
        <w:spacing w:before="142" w:line="209" w:lineRule="auto"/>
        <w:ind w:left="3" w:firstLine="604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本单位所有支出实行绩效目标管理。纳入20</w:t>
      </w:r>
      <w:r>
        <w:rPr>
          <w:rFonts w:ascii="宋体" w:hAnsi="宋体" w:eastAsia="宋体" w:cs="宋体"/>
          <w:spacing w:val="-1"/>
          <w:sz w:val="30"/>
          <w:szCs w:val="30"/>
        </w:rPr>
        <w:t>24年单位整体支出绩效目</w:t>
      </w:r>
      <w:r>
        <w:rPr>
          <w:rFonts w:ascii="宋体" w:hAnsi="宋体" w:eastAsia="宋体" w:cs="宋体"/>
          <w:sz w:val="30"/>
          <w:szCs w:val="30"/>
        </w:rPr>
        <w:t xml:space="preserve"> 标的金额为2057.62万元，其中，基本支出2057.62万元，项目支出0.00万</w:t>
      </w:r>
      <w:r>
        <w:rPr>
          <w:rFonts w:ascii="宋体" w:hAnsi="宋体" w:eastAsia="宋体" w:cs="宋体"/>
          <w:spacing w:val="3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元  详见文尾附表中单位预算公开表格的表21 22</w:t>
      </w:r>
    </w:p>
    <w:p w14:paraId="4EEC1542">
      <w:pPr>
        <w:spacing w:line="218" w:lineRule="auto"/>
        <w:ind w:left="30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七、名词解释</w:t>
      </w:r>
    </w:p>
    <w:p w14:paraId="1E704B7B">
      <w:pPr>
        <w:spacing w:line="218" w:lineRule="auto"/>
        <w:rPr>
          <w:rFonts w:ascii="黑体" w:hAnsi="黑体" w:eastAsia="黑体" w:cs="黑体"/>
          <w:sz w:val="30"/>
          <w:szCs w:val="30"/>
        </w:rPr>
        <w:sectPr>
          <w:pgSz w:w="11905" w:h="16837"/>
          <w:pgMar w:top="520" w:right="1153" w:bottom="0" w:left="1144" w:header="0" w:footer="0" w:gutter="0"/>
          <w:cols w:space="720" w:num="1"/>
        </w:sectPr>
      </w:pPr>
    </w:p>
    <w:p w14:paraId="7F8F5D87">
      <w:pPr>
        <w:spacing w:before="61" w:line="225" w:lineRule="auto"/>
        <w:ind w:left="5" w:right="2" w:firstLine="320"/>
        <w:jc w:val="both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1、机关运行经费：是指各单位的公用经费，包括办公及印刷费</w:t>
      </w:r>
      <w:r>
        <w:rPr>
          <w:rFonts w:ascii="宋体" w:hAnsi="宋体" w:eastAsia="宋体" w:cs="宋体"/>
          <w:spacing w:val="-2"/>
          <w:sz w:val="30"/>
          <w:szCs w:val="30"/>
        </w:rPr>
        <w:t>、邮电</w:t>
      </w:r>
      <w:r>
        <w:rPr>
          <w:rFonts w:ascii="宋体" w:hAnsi="宋体" w:eastAsia="宋体" w:cs="宋体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-3"/>
          <w:sz w:val="30"/>
          <w:szCs w:val="30"/>
        </w:rPr>
        <w:t>费、差旅费、会议费、福利费、</w:t>
      </w:r>
      <w:r>
        <w:rPr>
          <w:rFonts w:ascii="宋体" w:hAnsi="宋体" w:eastAsia="宋体" w:cs="宋体"/>
          <w:spacing w:val="-7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日常维修费、专用资料及一般设备购置费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、办公用房水电费、办公用房取暖费、办公用房物业管理费、公务用车运</w:t>
      </w:r>
      <w:r>
        <w:rPr>
          <w:rFonts w:ascii="宋体" w:hAnsi="宋体" w:eastAsia="宋体" w:cs="宋体"/>
          <w:spacing w:val="14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行维护费以及其他费用。</w:t>
      </w:r>
    </w:p>
    <w:p w14:paraId="439CD7F0">
      <w:pPr>
        <w:spacing w:before="240" w:line="225" w:lineRule="auto"/>
        <w:ind w:right="149" w:firstLine="30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2、“三公</w:t>
      </w:r>
      <w:r>
        <w:rPr>
          <w:rFonts w:ascii="宋体" w:hAnsi="宋体" w:eastAsia="宋体" w:cs="宋体"/>
          <w:spacing w:val="-104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”经费：纳入财政预算管理的“三公“经费，是指用一般公</w:t>
      </w:r>
      <w:r>
        <w:rPr>
          <w:rFonts w:ascii="宋体" w:hAnsi="宋体" w:eastAsia="宋体" w:cs="宋体"/>
          <w:sz w:val="30"/>
          <w:szCs w:val="30"/>
        </w:rPr>
        <w:t xml:space="preserve"> 共预算拨款安排的公务接待费、公务用车购</w:t>
      </w:r>
      <w:r>
        <w:rPr>
          <w:rFonts w:ascii="宋体" w:hAnsi="宋体" w:eastAsia="宋体" w:cs="宋体"/>
          <w:spacing w:val="-1"/>
          <w:sz w:val="30"/>
          <w:szCs w:val="30"/>
        </w:rPr>
        <w:t>置及运行维护费和因公出国</w:t>
      </w:r>
    </w:p>
    <w:p w14:paraId="391638B3">
      <w:pPr>
        <w:spacing w:before="2" w:line="223" w:lineRule="auto"/>
        <w:ind w:left="10" w:right="78" w:firstLine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（境）费。其中，公务接待费反映单位按规定开支的各类公</w:t>
      </w:r>
      <w:r>
        <w:rPr>
          <w:rFonts w:ascii="宋体" w:hAnsi="宋体" w:eastAsia="宋体" w:cs="宋体"/>
          <w:spacing w:val="-4"/>
          <w:sz w:val="30"/>
          <w:szCs w:val="30"/>
        </w:rPr>
        <w:t>务接待支出；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公务用车购置及运行费反映单位公务用车车辆购置支出（含车辆购置</w:t>
      </w:r>
    </w:p>
    <w:p w14:paraId="4099B453">
      <w:pPr>
        <w:spacing w:before="2" w:line="226" w:lineRule="auto"/>
        <w:ind w:left="10" w:right="2" w:hanging="1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税</w:t>
      </w:r>
      <w:r>
        <w:rPr>
          <w:rFonts w:ascii="宋体" w:hAnsi="宋体" w:eastAsia="宋体" w:cs="宋体"/>
          <w:spacing w:val="24"/>
          <w:sz w:val="30"/>
          <w:szCs w:val="30"/>
        </w:rPr>
        <w:t>），</w:t>
      </w:r>
      <w:r>
        <w:rPr>
          <w:rFonts w:ascii="宋体" w:hAnsi="宋体" w:eastAsia="宋体" w:cs="宋体"/>
          <w:spacing w:val="-2"/>
          <w:sz w:val="30"/>
          <w:szCs w:val="30"/>
        </w:rPr>
        <w:t>以及燃料费、维修费、保险费等支出；因公出国（境）费反映单位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1"/>
          <w:sz w:val="30"/>
          <w:szCs w:val="30"/>
        </w:rPr>
        <w:t>公务出国（境）的国际旅费  国外城市间交通费  食宿费等支出</w:t>
      </w:r>
    </w:p>
    <w:p w14:paraId="484E1B25">
      <w:pPr>
        <w:pStyle w:val="2"/>
        <w:spacing w:line="264" w:lineRule="auto"/>
      </w:pPr>
    </w:p>
    <w:p w14:paraId="45FAE801">
      <w:pPr>
        <w:pStyle w:val="2"/>
        <w:spacing w:line="264" w:lineRule="auto"/>
      </w:pPr>
    </w:p>
    <w:p w14:paraId="43981CD8">
      <w:pPr>
        <w:pStyle w:val="2"/>
        <w:spacing w:line="264" w:lineRule="auto"/>
      </w:pPr>
    </w:p>
    <w:p w14:paraId="33B2BD82">
      <w:pPr>
        <w:spacing w:before="97" w:line="222" w:lineRule="auto"/>
        <w:ind w:left="2401"/>
        <w:outlineLvl w:val="2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1"/>
          <w:sz w:val="30"/>
          <w:szCs w:val="30"/>
        </w:rPr>
        <w:t>第二部分  2024年单位预算公开表格</w:t>
      </w:r>
    </w:p>
    <w:p w14:paraId="5B2B6976">
      <w:pPr>
        <w:spacing w:before="295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6"/>
          <w:sz w:val="30"/>
          <w:szCs w:val="30"/>
        </w:rPr>
        <w:t>1、收支总表</w:t>
      </w:r>
    </w:p>
    <w:p w14:paraId="47A5FB05">
      <w:pPr>
        <w:spacing w:before="299" w:line="219" w:lineRule="auto"/>
        <w:ind w:left="4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2、收入总表</w:t>
      </w:r>
    </w:p>
    <w:p w14:paraId="498497EE">
      <w:pPr>
        <w:spacing w:before="299" w:line="220" w:lineRule="auto"/>
        <w:ind w:left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3、支出总表</w:t>
      </w:r>
    </w:p>
    <w:p w14:paraId="2033A4CC">
      <w:pPr>
        <w:spacing w:before="298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4、支出预算分类汇总表（按政府预算经济分类）</w:t>
      </w:r>
    </w:p>
    <w:p w14:paraId="65509500">
      <w:pPr>
        <w:spacing w:before="300" w:line="219" w:lineRule="auto"/>
        <w:ind w:left="7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5、支出预算分类汇总表（按部门预算经济分类）</w:t>
      </w:r>
    </w:p>
    <w:p w14:paraId="226CC5F9">
      <w:pPr>
        <w:spacing w:before="299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6、财政拨款收支总表</w:t>
      </w:r>
    </w:p>
    <w:p w14:paraId="6C95EB48">
      <w:pPr>
        <w:spacing w:before="299" w:line="219" w:lineRule="auto"/>
        <w:ind w:left="8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7、一般公共预算支出表</w:t>
      </w:r>
    </w:p>
    <w:p w14:paraId="162D593E">
      <w:pPr>
        <w:spacing w:before="152" w:line="203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1"/>
          <w:sz w:val="30"/>
          <w:szCs w:val="30"/>
        </w:rPr>
        <w:t>8、一般公共预算基本支出表-人员经费（工资福利支出</w:t>
      </w:r>
      <w:r>
        <w:rPr>
          <w:rFonts w:ascii="宋体" w:hAnsi="宋体" w:eastAsia="宋体" w:cs="宋体"/>
          <w:spacing w:val="-21"/>
          <w:sz w:val="30"/>
          <w:szCs w:val="30"/>
        </w:rPr>
        <w:t>）（</w:t>
      </w:r>
      <w:r>
        <w:rPr>
          <w:rFonts w:ascii="宋体" w:hAnsi="宋体" w:eastAsia="宋体" w:cs="宋体"/>
          <w:spacing w:val="1"/>
          <w:sz w:val="30"/>
          <w:szCs w:val="30"/>
        </w:rPr>
        <w:t>按政府预算经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济分类）</w:t>
      </w:r>
    </w:p>
    <w:p w14:paraId="43127F63">
      <w:pPr>
        <w:spacing w:before="1" w:line="201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1"/>
          <w:sz w:val="30"/>
          <w:szCs w:val="30"/>
        </w:rPr>
        <w:t>9、一般公共预算基本支出表-人员经费（工资福利支出</w:t>
      </w:r>
      <w:r>
        <w:rPr>
          <w:rFonts w:ascii="宋体" w:hAnsi="宋体" w:eastAsia="宋体" w:cs="宋体"/>
          <w:spacing w:val="-21"/>
          <w:sz w:val="30"/>
          <w:szCs w:val="30"/>
        </w:rPr>
        <w:t>）（</w:t>
      </w:r>
      <w:r>
        <w:rPr>
          <w:rFonts w:ascii="宋体" w:hAnsi="宋体" w:eastAsia="宋体" w:cs="宋体"/>
          <w:spacing w:val="1"/>
          <w:sz w:val="30"/>
          <w:szCs w:val="30"/>
        </w:rPr>
        <w:t>按部门预算经</w:t>
      </w: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济分类）</w:t>
      </w:r>
    </w:p>
    <w:p w14:paraId="64800CAB">
      <w:pPr>
        <w:spacing w:before="3" w:line="201" w:lineRule="auto"/>
        <w:ind w:right="149" w:firstLine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10、一般公共预算基本支出表-人员经费（对个人和家庭的补助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按政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2"/>
          <w:sz w:val="30"/>
          <w:szCs w:val="30"/>
        </w:rPr>
        <w:t>府预算经济分类）</w:t>
      </w:r>
    </w:p>
    <w:p w14:paraId="0A1D353C">
      <w:pPr>
        <w:spacing w:before="2" w:line="201" w:lineRule="auto"/>
        <w:ind w:left="34" w:right="149" w:hanging="1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11、一般公共预算基本支出表-人员经费（对个人和家庭的补助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按部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6"/>
          <w:sz w:val="30"/>
          <w:szCs w:val="30"/>
        </w:rPr>
        <w:t>门预算经济分类）</w:t>
      </w:r>
    </w:p>
    <w:p w14:paraId="247F39F6">
      <w:pPr>
        <w:spacing w:before="2" w:line="201" w:lineRule="auto"/>
        <w:ind w:left="3" w:right="149" w:firstLine="1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12、一般公共预算基本支出表-公用经费（商品和服务支出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按政府预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算经济分类）</w:t>
      </w:r>
    </w:p>
    <w:p w14:paraId="7E1AE1A9">
      <w:pPr>
        <w:spacing w:line="220" w:lineRule="auto"/>
        <w:ind w:left="3" w:right="149" w:firstLine="1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13、一般公共预算基本支出表-公用经费（商品和服务支出</w:t>
      </w:r>
      <w:r>
        <w:rPr>
          <w:rFonts w:ascii="宋体" w:hAnsi="宋体" w:eastAsia="宋体" w:cs="宋体"/>
          <w:spacing w:val="-16"/>
          <w:sz w:val="30"/>
          <w:szCs w:val="30"/>
        </w:rPr>
        <w:t>）（</w:t>
      </w:r>
      <w:r>
        <w:rPr>
          <w:rFonts w:ascii="宋体" w:hAnsi="宋体" w:eastAsia="宋体" w:cs="宋体"/>
          <w:sz w:val="30"/>
          <w:szCs w:val="30"/>
        </w:rPr>
        <w:t>按部门预</w:t>
      </w:r>
      <w:r>
        <w:rPr>
          <w:rFonts w:ascii="宋体" w:hAnsi="宋体" w:eastAsia="宋体" w:cs="宋体"/>
          <w:spacing w:val="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3"/>
          <w:sz w:val="30"/>
          <w:szCs w:val="30"/>
        </w:rPr>
        <w:t>算经济分类）</w:t>
      </w:r>
    </w:p>
    <w:p w14:paraId="3D55F106">
      <w:pPr>
        <w:spacing w:before="84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14、一般公共预算“三公</w:t>
      </w:r>
      <w:r>
        <w:rPr>
          <w:rFonts w:ascii="宋体" w:hAnsi="宋体" w:eastAsia="宋体" w:cs="宋体"/>
          <w:spacing w:val="-110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</w:rPr>
        <w:t>”经费支出表</w:t>
      </w:r>
    </w:p>
    <w:p w14:paraId="21C1F93B">
      <w:pPr>
        <w:spacing w:before="298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15、政府性基金预算支出表</w:t>
      </w:r>
    </w:p>
    <w:p w14:paraId="082ED954">
      <w:pPr>
        <w:spacing w:before="299" w:line="219" w:lineRule="auto"/>
        <w:ind w:left="2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16、政府性基金预算支出分类汇总表（按政府预算经</w:t>
      </w:r>
      <w:r>
        <w:rPr>
          <w:rFonts w:ascii="宋体" w:hAnsi="宋体" w:eastAsia="宋体" w:cs="宋体"/>
          <w:spacing w:val="-2"/>
          <w:sz w:val="30"/>
          <w:szCs w:val="30"/>
        </w:rPr>
        <w:t>济分类）</w:t>
      </w:r>
    </w:p>
    <w:p w14:paraId="4E62CB73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5" w:h="16837"/>
          <w:pgMar w:top="629" w:right="1167" w:bottom="0" w:left="1145" w:header="0" w:footer="0" w:gutter="0"/>
          <w:cols w:space="720" w:num="1"/>
        </w:sectPr>
      </w:pPr>
    </w:p>
    <w:p w14:paraId="10FEBE8D">
      <w:pPr>
        <w:spacing w:before="59" w:line="219" w:lineRule="auto"/>
        <w:ind w:left="2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17、政府性基金预算支出分类汇总表（按部门预算经</w:t>
      </w:r>
      <w:r>
        <w:rPr>
          <w:rFonts w:ascii="宋体" w:hAnsi="宋体" w:eastAsia="宋体" w:cs="宋体"/>
          <w:spacing w:val="-2"/>
          <w:sz w:val="30"/>
          <w:szCs w:val="30"/>
        </w:rPr>
        <w:t>济分类）</w:t>
      </w:r>
    </w:p>
    <w:p w14:paraId="37C48980">
      <w:pPr>
        <w:spacing w:before="299" w:line="219" w:lineRule="auto"/>
        <w:ind w:left="2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18、国有资本经营预算支出表</w:t>
      </w:r>
    </w:p>
    <w:p w14:paraId="6338BB1C">
      <w:pPr>
        <w:spacing w:before="300" w:line="219" w:lineRule="auto"/>
        <w:ind w:left="2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19、财政专户管理资金预算支出表</w:t>
      </w:r>
    </w:p>
    <w:p w14:paraId="57E91836">
      <w:pPr>
        <w:spacing w:before="300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20、专项资金预算汇总表</w:t>
      </w:r>
    </w:p>
    <w:p w14:paraId="77164A01">
      <w:pPr>
        <w:spacing w:before="298" w:line="220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2"/>
          <w:sz w:val="30"/>
          <w:szCs w:val="30"/>
        </w:rPr>
        <w:t>21、项目支出绩效目标表</w:t>
      </w:r>
    </w:p>
    <w:p w14:paraId="65A7F03F">
      <w:pPr>
        <w:spacing w:before="297" w:line="220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22、单位整体支出绩效目标表</w:t>
      </w:r>
    </w:p>
    <w:p w14:paraId="132BBAA3">
      <w:pPr>
        <w:spacing w:before="296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23、一般公共预算基本支出表</w:t>
      </w:r>
    </w:p>
    <w:p w14:paraId="1A631DE2">
      <w:pPr>
        <w:spacing w:before="299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color w:val="FF0000"/>
          <w:spacing w:val="-2"/>
          <w:sz w:val="30"/>
          <w:szCs w:val="30"/>
        </w:rPr>
        <w:t>注：以上单位预算公开报表中，空表表示本单位无相关收支情况。</w:t>
      </w:r>
    </w:p>
    <w:sectPr>
      <w:pgSz w:w="11905" w:h="16837"/>
      <w:pgMar w:top="523" w:right="1785" w:bottom="0" w:left="114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980C50"/>
    <w:rsid w:val="554938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2965</Words>
  <Characters>3254</Characters>
  <TotalTime>0</TotalTime>
  <ScaleCrop>false</ScaleCrop>
  <LinksUpToDate>false</LinksUpToDate>
  <CharactersWithSpaces>3363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2025-08-08T10:52:00Z</dcterms:created>
  <dc:creator>Apache POI</dc:creator>
  <cp:lastModifiedBy>许帝</cp:lastModifiedBy>
  <dcterms:modified xsi:type="dcterms:W3CDTF">2025-08-25T07:50:29Z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2025-08-08T10:53:05Z</vt:filetime>
  </property>
  <property fmtid="{D5CDD505-2E9C-101B-9397-08002B2CF9AE}" pid="4" name="KSOTemplateDocerSaveRecord">
    <vt:lpwstr>eyJoZGlkIjoiYTM4NDE1ZTc5N2NhM2Q5MjE1ZDAyNGIzOWQzY2I4MjQiLCJ1c2VySWQiOiI0NTkyODA2NzYifQ==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12B979D70630444F9CE1A1282653C3ED_12</vt:lpwstr>
  </property>
</Properties>
</file>