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18860">
      <w:pPr>
        <w:pStyle w:val="13"/>
        <w:jc w:val="center"/>
        <w:rPr>
          <w:sz w:val="56"/>
          <w:szCs w:val="56"/>
        </w:rPr>
      </w:pPr>
    </w:p>
    <w:p w14:paraId="7D18871A">
      <w:pPr>
        <w:pStyle w:val="13"/>
        <w:jc w:val="center"/>
        <w:rPr>
          <w:sz w:val="56"/>
          <w:szCs w:val="56"/>
        </w:rPr>
      </w:pPr>
    </w:p>
    <w:p w14:paraId="2471DD99">
      <w:pPr>
        <w:pStyle w:val="13"/>
        <w:jc w:val="center"/>
        <w:rPr>
          <w:sz w:val="84"/>
          <w:szCs w:val="84"/>
        </w:rPr>
      </w:pPr>
    </w:p>
    <w:p w14:paraId="2B9BD51F">
      <w:pPr>
        <w:pStyle w:val="13"/>
        <w:jc w:val="center"/>
        <w:rPr>
          <w:sz w:val="84"/>
          <w:szCs w:val="84"/>
        </w:rPr>
      </w:pPr>
    </w:p>
    <w:p w14:paraId="2D6878F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3</w:t>
      </w:r>
      <w:r>
        <w:rPr>
          <w:rFonts w:hint="eastAsia" w:ascii="方正小标宋_GBK" w:hAnsi="方正小标宋_GBK" w:eastAsia="方正小标宋_GBK" w:cs="方正小标宋_GBK"/>
          <w:sz w:val="72"/>
          <w:szCs w:val="72"/>
        </w:rPr>
        <w:t>年度</w:t>
      </w:r>
    </w:p>
    <w:p w14:paraId="21A1CCE4">
      <w:pPr>
        <w:pStyle w:val="13"/>
        <w:jc w:val="center"/>
        <w:rPr>
          <w:rFonts w:hint="default"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72"/>
          <w:szCs w:val="72"/>
          <w:lang w:val="en-US" w:eastAsia="zh-CN"/>
        </w:rPr>
        <w:t>岳阳市民主党派机关部门决算</w:t>
      </w:r>
    </w:p>
    <w:p w14:paraId="6EDE989D">
      <w:pPr>
        <w:pStyle w:val="13"/>
        <w:jc w:val="center"/>
        <w:rPr>
          <w:sz w:val="56"/>
          <w:szCs w:val="56"/>
        </w:rPr>
      </w:pPr>
    </w:p>
    <w:p w14:paraId="66B3B76E">
      <w:pPr>
        <w:pStyle w:val="13"/>
        <w:jc w:val="center"/>
        <w:rPr>
          <w:sz w:val="56"/>
          <w:szCs w:val="56"/>
        </w:rPr>
      </w:pPr>
    </w:p>
    <w:p w14:paraId="3CB27784">
      <w:pPr>
        <w:pStyle w:val="13"/>
        <w:jc w:val="center"/>
        <w:rPr>
          <w:sz w:val="56"/>
          <w:szCs w:val="56"/>
        </w:rPr>
      </w:pPr>
    </w:p>
    <w:p w14:paraId="772A2D49">
      <w:pPr>
        <w:pStyle w:val="13"/>
        <w:jc w:val="center"/>
        <w:rPr>
          <w:sz w:val="32"/>
          <w:szCs w:val="32"/>
        </w:rPr>
      </w:pPr>
    </w:p>
    <w:p w14:paraId="70564DF7">
      <w:pPr>
        <w:pStyle w:val="13"/>
        <w:jc w:val="center"/>
        <w:rPr>
          <w:sz w:val="32"/>
          <w:szCs w:val="32"/>
        </w:rPr>
      </w:pPr>
    </w:p>
    <w:p w14:paraId="626E0B2A">
      <w:pPr>
        <w:pStyle w:val="13"/>
        <w:jc w:val="center"/>
        <w:rPr>
          <w:sz w:val="32"/>
          <w:szCs w:val="32"/>
        </w:rPr>
      </w:pPr>
    </w:p>
    <w:p w14:paraId="74056174">
      <w:pPr>
        <w:pStyle w:val="13"/>
        <w:jc w:val="center"/>
        <w:rPr>
          <w:sz w:val="32"/>
          <w:szCs w:val="32"/>
        </w:rPr>
      </w:pPr>
    </w:p>
    <w:p w14:paraId="5C3EF29C">
      <w:pPr>
        <w:pStyle w:val="13"/>
        <w:jc w:val="center"/>
        <w:rPr>
          <w:sz w:val="32"/>
          <w:szCs w:val="32"/>
        </w:rPr>
      </w:pPr>
    </w:p>
    <w:p w14:paraId="3481CA3D">
      <w:pPr>
        <w:pStyle w:val="13"/>
        <w:jc w:val="center"/>
        <w:rPr>
          <w:sz w:val="32"/>
          <w:szCs w:val="32"/>
        </w:rPr>
      </w:pPr>
    </w:p>
    <w:p w14:paraId="36E9D1CB">
      <w:pPr>
        <w:pStyle w:val="13"/>
        <w:jc w:val="center"/>
        <w:rPr>
          <w:sz w:val="32"/>
          <w:szCs w:val="32"/>
        </w:rPr>
      </w:pPr>
    </w:p>
    <w:p w14:paraId="1A2F03F8">
      <w:pPr>
        <w:pStyle w:val="13"/>
        <w:spacing w:line="540" w:lineRule="exact"/>
        <w:jc w:val="center"/>
        <w:rPr>
          <w:sz w:val="56"/>
          <w:szCs w:val="56"/>
        </w:rPr>
      </w:pPr>
    </w:p>
    <w:p w14:paraId="04653C61">
      <w:pPr>
        <w:pStyle w:val="13"/>
        <w:spacing w:line="500" w:lineRule="exact"/>
        <w:jc w:val="both"/>
        <w:rPr>
          <w:b/>
          <w:sz w:val="36"/>
          <w:szCs w:val="28"/>
        </w:rPr>
      </w:pPr>
    </w:p>
    <w:p w14:paraId="07EBD7D2">
      <w:pPr>
        <w:pStyle w:val="13"/>
        <w:spacing w:line="500" w:lineRule="exact"/>
        <w:jc w:val="center"/>
        <w:rPr>
          <w:b/>
          <w:sz w:val="36"/>
          <w:szCs w:val="28"/>
        </w:rPr>
      </w:pPr>
      <w:r>
        <w:rPr>
          <w:rFonts w:hint="eastAsia"/>
          <w:b/>
          <w:sz w:val="36"/>
          <w:szCs w:val="28"/>
        </w:rPr>
        <w:t>目录</w:t>
      </w:r>
    </w:p>
    <w:p w14:paraId="4F2C013C">
      <w:pPr>
        <w:pStyle w:val="13"/>
        <w:spacing w:line="500" w:lineRule="exact"/>
        <w:rPr>
          <w:rFonts w:hint="default" w:ascii="黑体" w:hAnsi="黑体" w:eastAsia="黑体" w:cs="黑体"/>
          <w:b w:val="0"/>
          <w:bCs/>
          <w:sz w:val="28"/>
          <w:szCs w:val="28"/>
          <w:lang w:val="en-US"/>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岳阳市民主党派机关概况</w:t>
      </w:r>
    </w:p>
    <w:p w14:paraId="6940351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56F644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65A5371">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012B9C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88C1D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00EBC1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388660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F0F989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FD7A99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69C018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0CE63D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59EA8A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1173D1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4361BA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BC2F612">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32B11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AB1EC5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C0A5D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F9BC1E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C42D4E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703B5ECD">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72E289C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20F49F4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2FCBF286">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6F4370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02A0BE5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3093843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2601350E">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86B0F41">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A4391D3">
      <w:pPr>
        <w:pStyle w:val="13"/>
        <w:jc w:val="center"/>
        <w:rPr>
          <w:rFonts w:hint="eastAsia" w:ascii="方正小标宋_GBK" w:hAnsi="方正小标宋_GBK" w:eastAsia="方正小标宋_GBK" w:cs="方正小标宋_GBK"/>
          <w:sz w:val="84"/>
          <w:szCs w:val="84"/>
        </w:rPr>
      </w:pPr>
    </w:p>
    <w:p w14:paraId="5F25D4C9">
      <w:pPr>
        <w:pStyle w:val="13"/>
        <w:jc w:val="center"/>
        <w:rPr>
          <w:rFonts w:hint="eastAsia" w:ascii="方正小标宋_GBK" w:hAnsi="方正小标宋_GBK" w:eastAsia="方正小标宋_GBK" w:cs="方正小标宋_GBK"/>
          <w:sz w:val="84"/>
          <w:szCs w:val="84"/>
        </w:rPr>
      </w:pPr>
    </w:p>
    <w:p w14:paraId="293F2E5C">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BA8F997">
      <w:pPr>
        <w:pStyle w:val="13"/>
        <w:jc w:val="center"/>
        <w:rPr>
          <w:rFonts w:hint="eastAsia" w:ascii="方正小标宋_GBK" w:hAnsi="方正小标宋_GBK" w:eastAsia="方正小标宋_GBK" w:cs="方正小标宋_GBK"/>
          <w:sz w:val="84"/>
          <w:szCs w:val="84"/>
        </w:rPr>
      </w:pPr>
    </w:p>
    <w:p w14:paraId="0E524B02">
      <w:pPr>
        <w:pStyle w:val="7"/>
        <w:jc w:val="center"/>
        <w:rPr>
          <w:rFonts w:hint="default"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岳阳市民主党派机关概况</w:t>
      </w:r>
    </w:p>
    <w:p w14:paraId="3153C99B">
      <w:pPr>
        <w:pStyle w:val="3"/>
        <w:rPr>
          <w:rFonts w:hint="eastAsia" w:ascii="方正小标宋_GBK" w:hAnsi="方正小标宋_GBK" w:eastAsia="方正小标宋_GBK" w:cs="方正小标宋_GBK"/>
          <w:sz w:val="84"/>
          <w:szCs w:val="84"/>
        </w:rPr>
      </w:pPr>
    </w:p>
    <w:p w14:paraId="78126966">
      <w:pPr>
        <w:rPr>
          <w:rFonts w:hint="eastAsia" w:ascii="方正小标宋_GBK" w:hAnsi="方正小标宋_GBK" w:eastAsia="方正小标宋_GBK" w:cs="方正小标宋_GBK"/>
          <w:sz w:val="84"/>
          <w:szCs w:val="84"/>
        </w:rPr>
      </w:pPr>
    </w:p>
    <w:p w14:paraId="7698E7C1">
      <w:pPr>
        <w:pStyle w:val="7"/>
        <w:rPr>
          <w:rFonts w:hint="eastAsia" w:ascii="方正小标宋_GBK" w:hAnsi="方正小标宋_GBK" w:eastAsia="方正小标宋_GBK" w:cs="方正小标宋_GBK"/>
          <w:sz w:val="84"/>
          <w:szCs w:val="84"/>
        </w:rPr>
      </w:pPr>
    </w:p>
    <w:p w14:paraId="5BE2C763">
      <w:pPr>
        <w:pStyle w:val="3"/>
        <w:rPr>
          <w:rFonts w:hint="eastAsia" w:ascii="方正小标宋_GBK" w:hAnsi="方正小标宋_GBK" w:eastAsia="方正小标宋_GBK" w:cs="方正小标宋_GBK"/>
          <w:sz w:val="84"/>
          <w:szCs w:val="84"/>
        </w:rPr>
      </w:pPr>
    </w:p>
    <w:p w14:paraId="4AD959A5">
      <w:pPr>
        <w:rPr>
          <w:rFonts w:hint="eastAsia"/>
        </w:rPr>
      </w:pPr>
    </w:p>
    <w:p w14:paraId="402C9AFA">
      <w:pPr>
        <w:pStyle w:val="14"/>
        <w:numPr>
          <w:ilvl w:val="0"/>
          <w:numId w:val="0"/>
        </w:numPr>
        <w:ind w:leftChars="0"/>
        <w:jc w:val="left"/>
        <w:rPr>
          <w:rFonts w:hint="eastAsia" w:ascii="黑体" w:hAnsi="黑体" w:eastAsia="黑体" w:cs="黑体"/>
          <w:b w:val="0"/>
          <w:bCs w:val="0"/>
          <w:sz w:val="32"/>
          <w:szCs w:val="32"/>
        </w:rPr>
      </w:pPr>
    </w:p>
    <w:p w14:paraId="524E203E">
      <w:pPr>
        <w:pStyle w:val="14"/>
        <w:numPr>
          <w:ilvl w:val="0"/>
          <w:numId w:val="0"/>
        </w:numPr>
        <w:ind w:leftChars="0"/>
        <w:jc w:val="left"/>
        <w:rPr>
          <w:rFonts w:hint="eastAsia" w:ascii="黑体" w:hAnsi="黑体" w:eastAsia="黑体" w:cs="黑体"/>
          <w:b w:val="0"/>
          <w:bCs w:val="0"/>
          <w:sz w:val="32"/>
          <w:szCs w:val="32"/>
        </w:rPr>
      </w:pPr>
    </w:p>
    <w:p w14:paraId="2BA80F7A">
      <w:pPr>
        <w:pStyle w:val="14"/>
        <w:numPr>
          <w:ilvl w:val="0"/>
          <w:numId w:val="0"/>
        </w:numPr>
        <w:ind w:leftChars="0" w:firstLine="640" w:firstLineChars="200"/>
        <w:jc w:val="left"/>
        <w:rPr>
          <w:rFonts w:hint="eastAsia" w:ascii="黑体" w:hAnsi="黑体" w:eastAsia="黑体" w:cs="黑体"/>
          <w:b w:val="0"/>
          <w:bCs w:val="0"/>
          <w:sz w:val="32"/>
          <w:szCs w:val="32"/>
          <w:lang w:val="en-US" w:eastAsia="zh-CN"/>
        </w:rPr>
      </w:pPr>
    </w:p>
    <w:p w14:paraId="5227ABAF">
      <w:pPr>
        <w:pStyle w:val="14"/>
        <w:keepNext w:val="0"/>
        <w:keepLines w:val="0"/>
        <w:pageBreakBefore w:val="0"/>
        <w:numPr>
          <w:ilvl w:val="0"/>
          <w:numId w:val="0"/>
        </w:numPr>
        <w:kinsoku/>
        <w:wordWrap/>
        <w:overflowPunct/>
        <w:topLinePunct w:val="0"/>
        <w:bidi w:val="0"/>
        <w:spacing w:line="700" w:lineRule="exact"/>
        <w:ind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部门职责</w:t>
      </w:r>
    </w:p>
    <w:p w14:paraId="63463C7D">
      <w:pPr>
        <w:keepNext w:val="0"/>
        <w:keepLines w:val="0"/>
        <w:pageBreakBefore w:val="0"/>
        <w:widowControl w:val="0"/>
        <w:kinsoku/>
        <w:wordWrap/>
        <w:overflowPunct/>
        <w:topLinePunct w:val="0"/>
        <w:autoSpaceDE w:val="0"/>
        <w:autoSpaceDN w:val="0"/>
        <w:bidi w:val="0"/>
        <w:adjustRightInd w:val="0"/>
        <w:snapToGrid/>
        <w:spacing w:line="70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各民主党派的主要职责是</w:t>
      </w:r>
      <w:r>
        <w:rPr>
          <w:rFonts w:hint="eastAsia" w:ascii="仿宋_GB2312" w:hAnsi="仿宋_GB2312" w:eastAsia="仿宋_GB2312" w:cs="仿宋_GB2312"/>
          <w:sz w:val="28"/>
          <w:szCs w:val="28"/>
          <w:lang w:val="en-US" w:eastAsia="zh-CN"/>
        </w:rPr>
        <w:t>参政议政、政治协商、民主监督和自身建设</w:t>
      </w:r>
      <w:r>
        <w:rPr>
          <w:rFonts w:hint="eastAsia" w:ascii="仿宋_GB2312" w:hAnsi="仿宋_GB2312" w:eastAsia="仿宋_GB2312" w:cs="仿宋_GB2312"/>
          <w:sz w:val="28"/>
          <w:szCs w:val="28"/>
        </w:rPr>
        <w:t>四个主要方面，并围绕市委、市政府的中心工作开展调查研究、献计献策，主要内容如下：</w:t>
      </w:r>
    </w:p>
    <w:p w14:paraId="7B1CDBDA">
      <w:pPr>
        <w:keepNext w:val="0"/>
        <w:keepLines w:val="0"/>
        <w:pageBreakBefore w:val="0"/>
        <w:widowControl w:val="0"/>
        <w:kinsoku/>
        <w:wordWrap/>
        <w:overflowPunct/>
        <w:topLinePunct w:val="0"/>
        <w:autoSpaceDE w:val="0"/>
        <w:autoSpaceDN w:val="0"/>
        <w:bidi w:val="0"/>
        <w:adjustRightInd w:val="0"/>
        <w:snapToGrid/>
        <w:spacing w:line="70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1、团结、组织各民主党派成员和所联系的群众，发挥广大成员与社会各界联系密切的特点和优势，进行政治协商和民主监督。</w:t>
      </w:r>
    </w:p>
    <w:p w14:paraId="73163418">
      <w:pPr>
        <w:keepNext w:val="0"/>
        <w:keepLines w:val="0"/>
        <w:pageBreakBefore w:val="0"/>
        <w:widowControl w:val="0"/>
        <w:kinsoku/>
        <w:wordWrap/>
        <w:overflowPunct/>
        <w:topLinePunct w:val="0"/>
        <w:autoSpaceDE w:val="0"/>
        <w:autoSpaceDN w:val="0"/>
        <w:bidi w:val="0"/>
        <w:adjustRightInd w:val="0"/>
        <w:snapToGrid/>
        <w:spacing w:line="70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2、加强成员的思想政治工作，不断加强自身建设，有计划、有步骤地组织成员认真学习，努力提高参政议政水平。</w:t>
      </w:r>
    </w:p>
    <w:p w14:paraId="661A8F57">
      <w:pPr>
        <w:keepNext w:val="0"/>
        <w:keepLines w:val="0"/>
        <w:pageBreakBefore w:val="0"/>
        <w:widowControl w:val="0"/>
        <w:kinsoku/>
        <w:wordWrap/>
        <w:overflowPunct/>
        <w:topLinePunct w:val="0"/>
        <w:autoSpaceDE w:val="0"/>
        <w:autoSpaceDN w:val="0"/>
        <w:bidi w:val="0"/>
        <w:adjustRightInd w:val="0"/>
        <w:snapToGrid/>
        <w:spacing w:line="70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3、维护成员的合法权益，反映成员的合理要求，做好成员的举荐工作和人大代表、政协委员的联谊工作，积极发挥参政议政、咨询服务的作用。</w:t>
      </w:r>
    </w:p>
    <w:p w14:paraId="69E9A733">
      <w:pPr>
        <w:keepNext w:val="0"/>
        <w:keepLines w:val="0"/>
        <w:pageBreakBefore w:val="0"/>
        <w:widowControl w:val="0"/>
        <w:kinsoku/>
        <w:wordWrap/>
        <w:overflowPunct/>
        <w:topLinePunct w:val="0"/>
        <w:autoSpaceDE w:val="0"/>
        <w:autoSpaceDN w:val="0"/>
        <w:bidi w:val="0"/>
        <w:adjustRightInd w:val="0"/>
        <w:snapToGrid/>
        <w:spacing w:line="700" w:lineRule="exact"/>
        <w:ind w:firstLine="700" w:firstLineChars="250"/>
        <w:jc w:val="left"/>
        <w:textAlignment w:val="auto"/>
        <w:rPr>
          <w:rFonts w:hint="eastAsia" w:ascii="宋体" w:hAnsi="宋体" w:eastAsia="宋体" w:cs="宋体"/>
          <w:color w:val="auto"/>
          <w:sz w:val="28"/>
          <w:szCs w:val="28"/>
          <w:highlight w:val="none"/>
        </w:rPr>
      </w:pPr>
      <w:r>
        <w:rPr>
          <w:rFonts w:hint="eastAsia" w:ascii="仿宋_GB2312" w:hAnsi="仿宋_GB2312" w:eastAsia="仿宋_GB2312" w:cs="仿宋_GB2312"/>
          <w:sz w:val="28"/>
          <w:szCs w:val="28"/>
        </w:rPr>
        <w:t>4、坚持与中共“长期共存、互相监督、肝胆相照、荣辱与共”的方针，协助党和政府落实好政策，协调好关系，发挥纽带作用。结合实际，有针对性地开展调查研究，提出有益的意见和建议。</w:t>
      </w:r>
    </w:p>
    <w:p w14:paraId="55D1D49D">
      <w:pPr>
        <w:keepNext w:val="0"/>
        <w:keepLines w:val="0"/>
        <w:pageBreakBefore w:val="0"/>
        <w:widowControl/>
        <w:kinsoku/>
        <w:wordWrap/>
        <w:overflowPunct/>
        <w:topLinePunct w:val="0"/>
        <w:bidi w:val="0"/>
        <w:spacing w:line="700"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5A4FF67">
      <w:pPr>
        <w:keepNext w:val="0"/>
        <w:keepLines w:val="0"/>
        <w:pageBreakBefore w:val="0"/>
        <w:widowControl w:val="0"/>
        <w:kinsoku/>
        <w:wordWrap/>
        <w:overflowPunct/>
        <w:topLinePunct w:val="0"/>
        <w:autoSpaceDE w:val="0"/>
        <w:autoSpaceDN w:val="0"/>
        <w:bidi w:val="0"/>
        <w:adjustRightInd w:val="0"/>
        <w:snapToGrid/>
        <w:spacing w:line="700" w:lineRule="exact"/>
        <w:ind w:firstLine="700" w:firstLineChars="2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（一）内设机构设置</w:t>
      </w:r>
      <w:r>
        <w:rPr>
          <w:rFonts w:hint="eastAsia" w:ascii="仿宋_GB2312" w:hAnsi="仿宋_GB2312" w:eastAsia="仿宋_GB2312" w:cs="仿宋_GB2312"/>
          <w:sz w:val="28"/>
          <w:szCs w:val="28"/>
          <w:lang w:val="en-US" w:eastAsia="zh-CN"/>
        </w:rPr>
        <w:t>；</w:t>
      </w:r>
    </w:p>
    <w:p w14:paraId="1A3801C3">
      <w:pPr>
        <w:keepNext w:val="0"/>
        <w:keepLines w:val="0"/>
        <w:pageBreakBefore w:val="0"/>
        <w:widowControl w:val="0"/>
        <w:kinsoku/>
        <w:wordWrap/>
        <w:overflowPunct/>
        <w:topLinePunct w:val="0"/>
        <w:autoSpaceDE w:val="0"/>
        <w:autoSpaceDN w:val="0"/>
        <w:bidi w:val="0"/>
        <w:adjustRightInd w:val="0"/>
        <w:snapToGrid/>
        <w:spacing w:line="700" w:lineRule="exact"/>
        <w:ind w:firstLine="700" w:firstLineChars="25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岳阳市民主党派机关系市财政全额预算拨款单位，由民革岳阳市委、民盟岳阳市委、民建岳阳市委、民进岳阳市委、农工党岳阳市委、致公党岳阳市委、九三学社岳阳市委等7个民主党派市委机关和机关事务办构成。       </w:t>
      </w:r>
    </w:p>
    <w:p w14:paraId="0B382861">
      <w:pPr>
        <w:keepNext w:val="0"/>
        <w:keepLines w:val="0"/>
        <w:pageBreakBefore w:val="0"/>
        <w:widowControl w:val="0"/>
        <w:kinsoku/>
        <w:wordWrap/>
        <w:overflowPunct/>
        <w:topLinePunct w:val="0"/>
        <w:autoSpaceDE w:val="0"/>
        <w:autoSpaceDN w:val="0"/>
        <w:bidi w:val="0"/>
        <w:adjustRightInd w:val="0"/>
        <w:snapToGrid/>
        <w:spacing w:line="700" w:lineRule="exact"/>
        <w:ind w:firstLine="700" w:firstLineChars="250"/>
        <w:jc w:val="left"/>
        <w:textAlignment w:val="auto"/>
        <w:rPr>
          <w:rFonts w:hint="eastAsia" w:ascii="宋体" w:hAnsi="宋体"/>
          <w:bCs/>
          <w:kern w:val="0"/>
          <w:sz w:val="32"/>
          <w:szCs w:val="32"/>
          <w:highlight w:val="none"/>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决算单位构成</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岳阳市民主党派机关</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年部门决算汇总公开单位构成包括：</w:t>
      </w:r>
      <w:r>
        <w:rPr>
          <w:rFonts w:hint="eastAsia" w:ascii="仿宋_GB2312" w:hAnsi="仿宋_GB2312" w:eastAsia="仿宋_GB2312" w:cs="仿宋_GB2312"/>
          <w:sz w:val="28"/>
          <w:szCs w:val="28"/>
          <w:lang w:val="en-US" w:eastAsia="zh-CN"/>
        </w:rPr>
        <w:t>本单位无独立下属单位，因此，2023年部门决算汇总公开单位仅包括民主党派机关部门本级。</w:t>
      </w:r>
    </w:p>
    <w:p w14:paraId="754F83DE">
      <w:pPr>
        <w:keepNext w:val="0"/>
        <w:keepLines w:val="0"/>
        <w:pageBreakBefore w:val="0"/>
        <w:kinsoku/>
        <w:wordWrap/>
        <w:overflowPunct/>
        <w:topLinePunct w:val="0"/>
        <w:bidi w:val="0"/>
        <w:spacing w:line="700" w:lineRule="exact"/>
        <w:textAlignment w:val="auto"/>
      </w:pPr>
    </w:p>
    <w:p w14:paraId="261C408F">
      <w:pPr>
        <w:pStyle w:val="7"/>
        <w:keepNext w:val="0"/>
        <w:keepLines w:val="0"/>
        <w:pageBreakBefore w:val="0"/>
        <w:kinsoku/>
        <w:wordWrap/>
        <w:overflowPunct/>
        <w:topLinePunct w:val="0"/>
        <w:bidi w:val="0"/>
        <w:spacing w:line="700" w:lineRule="exact"/>
        <w:textAlignment w:val="auto"/>
      </w:pPr>
    </w:p>
    <w:p w14:paraId="76E9B8F0">
      <w:pPr>
        <w:pStyle w:val="3"/>
      </w:pPr>
    </w:p>
    <w:p w14:paraId="13C34783"/>
    <w:p w14:paraId="46687C9D">
      <w:pPr>
        <w:pStyle w:val="13"/>
        <w:keepNext w:val="0"/>
        <w:keepLines w:val="0"/>
        <w:pageBreakBefore w:val="0"/>
        <w:kinsoku/>
        <w:wordWrap/>
        <w:overflowPunct/>
        <w:topLinePunct w:val="0"/>
        <w:bidi w:val="0"/>
        <w:spacing w:line="700" w:lineRule="exact"/>
        <w:jc w:val="center"/>
        <w:textAlignment w:val="auto"/>
        <w:rPr>
          <w:rFonts w:hint="eastAsia" w:ascii="方正小标宋_GBK" w:hAnsi="方正小标宋_GBK" w:eastAsia="方正小标宋_GBK" w:cs="方正小标宋_GBK"/>
          <w:sz w:val="84"/>
          <w:szCs w:val="84"/>
        </w:rPr>
      </w:pPr>
    </w:p>
    <w:p w14:paraId="147F8E5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07730F3">
      <w:pPr>
        <w:pStyle w:val="13"/>
        <w:jc w:val="center"/>
        <w:rPr>
          <w:rFonts w:hint="eastAsia" w:ascii="方正小标宋_GBK" w:hAnsi="方正小标宋_GBK" w:eastAsia="方正小标宋_GBK" w:cs="方正小标宋_GBK"/>
          <w:sz w:val="84"/>
          <w:szCs w:val="84"/>
        </w:rPr>
      </w:pPr>
    </w:p>
    <w:p w14:paraId="5578AF5E">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7115BB3">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411E60BF">
      <w:pPr>
        <w:pStyle w:val="13"/>
        <w:jc w:val="center"/>
        <w:rPr>
          <w:rFonts w:hint="eastAsia" w:ascii="仿宋_GB2312" w:hAnsi="仿宋_GB2312" w:eastAsia="仿宋_GB2312" w:cs="仿宋_GB2312"/>
          <w:b w:val="0"/>
          <w:bCs w:val="0"/>
          <w:sz w:val="72"/>
          <w:szCs w:val="72"/>
          <w:lang w:eastAsia="zh-CN"/>
        </w:rPr>
      </w:pPr>
    </w:p>
    <w:p w14:paraId="4D91BD25">
      <w:pPr>
        <w:pStyle w:val="13"/>
        <w:jc w:val="center"/>
        <w:rPr>
          <w:rFonts w:hint="eastAsia" w:ascii="仿宋_GB2312" w:hAnsi="仿宋_GB2312" w:eastAsia="仿宋_GB2312" w:cs="仿宋_GB2312"/>
          <w:b w:val="0"/>
          <w:bCs w:val="0"/>
          <w:sz w:val="72"/>
          <w:szCs w:val="72"/>
          <w:lang w:eastAsia="zh-CN"/>
        </w:rPr>
      </w:pPr>
    </w:p>
    <w:p w14:paraId="3C6DE49F">
      <w:pPr>
        <w:pStyle w:val="13"/>
        <w:jc w:val="center"/>
        <w:rPr>
          <w:rFonts w:hint="eastAsia" w:ascii="仿宋_GB2312" w:hAnsi="仿宋_GB2312" w:eastAsia="仿宋_GB2312" w:cs="仿宋_GB2312"/>
          <w:b w:val="0"/>
          <w:bCs w:val="0"/>
          <w:sz w:val="72"/>
          <w:szCs w:val="72"/>
          <w:lang w:eastAsia="zh-CN"/>
        </w:rPr>
      </w:pPr>
    </w:p>
    <w:p w14:paraId="7553C09C">
      <w:pPr>
        <w:pStyle w:val="13"/>
        <w:jc w:val="center"/>
        <w:rPr>
          <w:rFonts w:hint="eastAsia" w:ascii="仿宋_GB2312" w:hAnsi="仿宋_GB2312" w:eastAsia="仿宋_GB2312" w:cs="仿宋_GB2312"/>
          <w:b w:val="0"/>
          <w:bCs w:val="0"/>
          <w:sz w:val="72"/>
          <w:szCs w:val="72"/>
          <w:lang w:eastAsia="zh-CN"/>
        </w:rPr>
      </w:pPr>
    </w:p>
    <w:p w14:paraId="14863813">
      <w:pPr>
        <w:pStyle w:val="13"/>
        <w:jc w:val="center"/>
        <w:rPr>
          <w:rFonts w:hint="eastAsia" w:ascii="仿宋_GB2312" w:hAnsi="仿宋_GB2312" w:eastAsia="仿宋_GB2312" w:cs="仿宋_GB2312"/>
          <w:b w:val="0"/>
          <w:bCs w:val="0"/>
          <w:sz w:val="72"/>
          <w:szCs w:val="72"/>
          <w:lang w:eastAsia="zh-CN"/>
        </w:rPr>
      </w:pPr>
    </w:p>
    <w:p w14:paraId="368A0BD1">
      <w:pPr>
        <w:pStyle w:val="13"/>
        <w:jc w:val="center"/>
        <w:rPr>
          <w:rFonts w:hint="eastAsia" w:ascii="仿宋_GB2312" w:hAnsi="仿宋_GB2312" w:eastAsia="仿宋_GB2312" w:cs="仿宋_GB2312"/>
          <w:b w:val="0"/>
          <w:bCs w:val="0"/>
          <w:sz w:val="72"/>
          <w:szCs w:val="72"/>
          <w:lang w:eastAsia="zh-CN"/>
        </w:rPr>
      </w:pPr>
    </w:p>
    <w:p w14:paraId="6D1234B1">
      <w:pPr>
        <w:pStyle w:val="13"/>
        <w:jc w:val="center"/>
        <w:rPr>
          <w:rFonts w:hint="eastAsia" w:ascii="仿宋_GB2312" w:hAnsi="仿宋_GB2312" w:eastAsia="仿宋_GB2312" w:cs="仿宋_GB2312"/>
          <w:b w:val="0"/>
          <w:bCs w:val="0"/>
          <w:sz w:val="72"/>
          <w:szCs w:val="72"/>
          <w:lang w:eastAsia="zh-CN"/>
        </w:rPr>
      </w:pPr>
    </w:p>
    <w:p w14:paraId="7A971938">
      <w:pPr>
        <w:pStyle w:val="13"/>
        <w:jc w:val="center"/>
        <w:rPr>
          <w:rFonts w:hint="eastAsia" w:ascii="方正小标宋_GBK" w:hAnsi="方正小标宋_GBK" w:eastAsia="方正小标宋_GBK" w:cs="方正小标宋_GBK"/>
          <w:sz w:val="72"/>
          <w:szCs w:val="72"/>
        </w:rPr>
      </w:pPr>
    </w:p>
    <w:p w14:paraId="69BEC225">
      <w:pPr>
        <w:pStyle w:val="13"/>
        <w:jc w:val="center"/>
        <w:rPr>
          <w:rFonts w:hint="eastAsia" w:ascii="方正小标宋_GBK" w:hAnsi="方正小标宋_GBK" w:eastAsia="方正小标宋_GBK" w:cs="方正小标宋_GBK"/>
          <w:sz w:val="72"/>
          <w:szCs w:val="72"/>
        </w:rPr>
      </w:pPr>
    </w:p>
    <w:p w14:paraId="773E5019">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726774C">
      <w:pPr>
        <w:pStyle w:val="13"/>
        <w:jc w:val="center"/>
        <w:rPr>
          <w:rFonts w:hint="eastAsia" w:ascii="方正小标宋_GBK" w:hAnsi="方正小标宋_GBK" w:eastAsia="方正小标宋_GBK" w:cs="方正小标宋_GBK"/>
          <w:sz w:val="70"/>
          <w:szCs w:val="70"/>
        </w:rPr>
      </w:pPr>
    </w:p>
    <w:p w14:paraId="02A95387">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72127E91">
      <w:pPr>
        <w:pStyle w:val="13"/>
        <w:jc w:val="center"/>
        <w:rPr>
          <w:rFonts w:hint="eastAsia" w:ascii="方正小标宋_GBK" w:hAnsi="方正小标宋_GBK" w:eastAsia="方正小标宋_GBK" w:cs="方正小标宋_GBK"/>
          <w:sz w:val="70"/>
          <w:szCs w:val="70"/>
        </w:rPr>
      </w:pPr>
    </w:p>
    <w:p w14:paraId="1892DE59">
      <w:pPr>
        <w:pStyle w:val="13"/>
        <w:jc w:val="center"/>
        <w:rPr>
          <w:rFonts w:hint="eastAsia" w:ascii="方正小标宋_GBK" w:hAnsi="方正小标宋_GBK" w:eastAsia="方正小标宋_GBK" w:cs="方正小标宋_GBK"/>
          <w:sz w:val="70"/>
          <w:szCs w:val="70"/>
        </w:rPr>
      </w:pPr>
    </w:p>
    <w:p w14:paraId="216AF03E">
      <w:pPr>
        <w:pStyle w:val="13"/>
        <w:jc w:val="center"/>
        <w:rPr>
          <w:rFonts w:hint="eastAsia" w:ascii="方正小标宋_GBK" w:hAnsi="方正小标宋_GBK" w:eastAsia="方正小标宋_GBK" w:cs="方正小标宋_GBK"/>
          <w:sz w:val="70"/>
          <w:szCs w:val="70"/>
        </w:rPr>
      </w:pPr>
    </w:p>
    <w:p w14:paraId="7EBBBBCB">
      <w:pPr>
        <w:pStyle w:val="13"/>
        <w:jc w:val="center"/>
        <w:rPr>
          <w:rFonts w:hint="eastAsia" w:ascii="方正小标宋_GBK" w:hAnsi="方正小标宋_GBK" w:eastAsia="方正小标宋_GBK" w:cs="方正小标宋_GBK"/>
          <w:sz w:val="70"/>
          <w:szCs w:val="70"/>
        </w:rPr>
      </w:pPr>
    </w:p>
    <w:p w14:paraId="04C60E44">
      <w:pPr>
        <w:pStyle w:val="13"/>
        <w:jc w:val="center"/>
        <w:rPr>
          <w:rFonts w:hint="eastAsia" w:ascii="方正小标宋_GBK" w:hAnsi="方正小标宋_GBK" w:eastAsia="方正小标宋_GBK" w:cs="方正小标宋_GBK"/>
          <w:sz w:val="70"/>
          <w:szCs w:val="70"/>
        </w:rPr>
      </w:pPr>
    </w:p>
    <w:p w14:paraId="0E251915">
      <w:pPr>
        <w:pStyle w:val="13"/>
        <w:jc w:val="center"/>
        <w:rPr>
          <w:rFonts w:hint="eastAsia" w:ascii="方正小标宋_GBK" w:hAnsi="方正小标宋_GBK" w:eastAsia="方正小标宋_GBK" w:cs="方正小标宋_GBK"/>
          <w:sz w:val="70"/>
          <w:szCs w:val="70"/>
        </w:rPr>
      </w:pPr>
    </w:p>
    <w:p w14:paraId="3C292F62">
      <w:pPr>
        <w:pStyle w:val="13"/>
        <w:jc w:val="center"/>
        <w:rPr>
          <w:rFonts w:hint="eastAsia" w:ascii="方正小标宋_GBK" w:hAnsi="方正小标宋_GBK" w:eastAsia="方正小标宋_GBK" w:cs="方正小标宋_GBK"/>
          <w:sz w:val="70"/>
          <w:szCs w:val="70"/>
        </w:rPr>
      </w:pPr>
    </w:p>
    <w:p w14:paraId="23FACB8E">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6F4E1EB5">
      <w:pPr>
        <w:pStyle w:val="1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D2A549E">
      <w:pPr>
        <w:pStyle w:val="13"/>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1028.89</w:t>
      </w:r>
      <w:r>
        <w:rPr>
          <w:rFonts w:hint="eastAsia" w:ascii="仿宋_GB2312" w:hAnsi="仿宋_GB2312" w:eastAsia="仿宋_GB2312" w:cs="仿宋_GB2312"/>
          <w:sz w:val="32"/>
          <w:szCs w:val="32"/>
        </w:rPr>
        <w:t>元。与上年相比，增加</w:t>
      </w:r>
      <w:r>
        <w:rPr>
          <w:rFonts w:hint="eastAsia" w:ascii="仿宋_GB2312" w:hAnsi="仿宋_GB2312" w:eastAsia="仿宋_GB2312" w:cs="仿宋_GB2312"/>
          <w:sz w:val="32"/>
          <w:szCs w:val="32"/>
          <w:lang w:val="en-US" w:eastAsia="zh-CN"/>
        </w:rPr>
        <w:t>23.79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%，主要是因</w:t>
      </w:r>
      <w:r>
        <w:rPr>
          <w:rFonts w:hint="eastAsia" w:ascii="仿宋_GB2312" w:hAnsi="仿宋_GB2312" w:eastAsia="仿宋_GB2312" w:cs="仿宋_GB2312"/>
          <w:sz w:val="32"/>
          <w:szCs w:val="32"/>
          <w:lang w:val="en-US" w:eastAsia="zh-CN"/>
        </w:rPr>
        <w:t>本年度无疫情的影响，各项调研活动可顺利开展，故本年度费用支出增加。</w:t>
      </w:r>
    </w:p>
    <w:p w14:paraId="7962AF67">
      <w:pPr>
        <w:pStyle w:val="1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F9BDDBC">
      <w:pPr>
        <w:pStyle w:val="1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1028.89</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1005.69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97.75</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23.2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2.25</w:t>
      </w:r>
      <w:r>
        <w:rPr>
          <w:rFonts w:hint="eastAsia" w:ascii="仿宋_GB2312" w:hAnsi="仿宋_GB2312" w:eastAsia="仿宋_GB2312" w:cs="仿宋_GB2312"/>
          <w:sz w:val="32"/>
          <w:szCs w:val="32"/>
        </w:rPr>
        <w:t>%。</w:t>
      </w:r>
    </w:p>
    <w:p w14:paraId="2EE58F36">
      <w:pPr>
        <w:pStyle w:val="1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C1EB038">
      <w:pPr>
        <w:pStyle w:val="1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1028.89</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599.53</w:t>
      </w:r>
      <w:r>
        <w:rPr>
          <w:rFonts w:hint="eastAsia" w:ascii="仿宋_GB2312" w:hAnsi="仿宋_GB2312" w:eastAsia="仿宋_GB2312" w:cs="仿宋_GB2312"/>
          <w:sz w:val="32"/>
          <w:szCs w:val="32"/>
        </w:rPr>
        <w:t>万元，占</w:t>
      </w:r>
      <w:r>
        <w:rPr>
          <w:rFonts w:hint="eastAsia" w:ascii="仿宋_GB2312" w:hAnsi="仿宋_GB2312" w:eastAsia="仿宋_GB2312" w:cs="仿宋_GB2312"/>
          <w:color w:val="0000FF"/>
          <w:sz w:val="32"/>
          <w:szCs w:val="32"/>
          <w:lang w:val="en-US" w:eastAsia="zh-CN"/>
        </w:rPr>
        <w:t>58.27</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429.36</w:t>
      </w:r>
      <w:r>
        <w:rPr>
          <w:rFonts w:hint="eastAsia" w:ascii="仿宋_GB2312" w:hAnsi="仿宋_GB2312" w:eastAsia="仿宋_GB2312" w:cs="仿宋_GB2312"/>
          <w:sz w:val="32"/>
          <w:szCs w:val="32"/>
        </w:rPr>
        <w:t>万元，占</w:t>
      </w:r>
      <w:r>
        <w:rPr>
          <w:rFonts w:hint="eastAsia" w:ascii="仿宋_GB2312" w:hAnsi="仿宋_GB2312" w:eastAsia="仿宋_GB2312" w:cs="仿宋_GB2312"/>
          <w:color w:val="0000FF"/>
          <w:sz w:val="32"/>
          <w:szCs w:val="32"/>
          <w:lang w:val="en-US" w:eastAsia="zh-CN"/>
        </w:rPr>
        <w:t>41.73</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11EACAC9">
      <w:pPr>
        <w:pStyle w:val="1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F58EB27">
      <w:pPr>
        <w:pStyle w:val="13"/>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1005.69</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24.24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2.41</w:t>
      </w:r>
      <w:r>
        <w:rPr>
          <w:rFonts w:hint="eastAsia" w:ascii="仿宋_GB2312" w:hAnsi="仿宋_GB2312" w:eastAsia="仿宋_GB2312" w:cs="仿宋_GB2312"/>
          <w:sz w:val="32"/>
          <w:szCs w:val="32"/>
        </w:rPr>
        <w:t>%，主要是因</w:t>
      </w:r>
      <w:r>
        <w:rPr>
          <w:rFonts w:hint="eastAsia" w:ascii="仿宋_GB2312" w:hAnsi="仿宋_GB2312" w:eastAsia="仿宋_GB2312" w:cs="仿宋_GB2312"/>
          <w:sz w:val="32"/>
          <w:szCs w:val="32"/>
          <w:lang w:val="en-US" w:eastAsia="zh-CN"/>
        </w:rPr>
        <w:t>本年度无疫情的影响，各项调研活动可顺利开展，故本年度费用支出增加</w:t>
      </w:r>
    </w:p>
    <w:p w14:paraId="62BF8831">
      <w:pPr>
        <w:pStyle w:val="1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73CAD64">
      <w:pPr>
        <w:pStyle w:val="1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41E9B6E8">
      <w:pPr>
        <w:pStyle w:val="13"/>
        <w:keepNext w:val="0"/>
        <w:keepLines w:val="0"/>
        <w:pageBreakBefore w:val="0"/>
        <w:widowControl w:val="0"/>
        <w:kinsoku/>
        <w:wordWrap/>
        <w:overflowPunct/>
        <w:topLinePunct w:val="0"/>
        <w:bidi w:val="0"/>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1005.69</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97.75</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24.24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2.41</w:t>
      </w:r>
      <w:r>
        <w:rPr>
          <w:rFonts w:hint="eastAsia" w:ascii="仿宋_GB2312" w:hAnsi="仿宋_GB2312" w:eastAsia="仿宋_GB2312" w:cs="仿宋_GB2312"/>
          <w:sz w:val="32"/>
          <w:szCs w:val="32"/>
        </w:rPr>
        <w:t>%，主要是因</w:t>
      </w:r>
      <w:r>
        <w:rPr>
          <w:rFonts w:hint="eastAsia" w:ascii="仿宋_GB2312" w:hAnsi="仿宋_GB2312" w:eastAsia="仿宋_GB2312" w:cs="仿宋_GB2312"/>
          <w:sz w:val="32"/>
          <w:szCs w:val="32"/>
          <w:lang w:val="en-US" w:eastAsia="zh-CN"/>
        </w:rPr>
        <w:t>本年度无疫情的影响，各项调研活动可顺利开展，故本年度费用支出增加。</w:t>
      </w:r>
    </w:p>
    <w:p w14:paraId="6ABCA809">
      <w:pPr>
        <w:pStyle w:val="13"/>
        <w:keepNext w:val="0"/>
        <w:keepLines w:val="0"/>
        <w:pageBreakBefore w:val="0"/>
        <w:widowControl w:val="0"/>
        <w:kinsoku/>
        <w:wordWrap/>
        <w:overflowPunct/>
        <w:topLinePunct w:val="0"/>
        <w:bidi w:val="0"/>
        <w:snapToGrid/>
        <w:spacing w:line="56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4D1416DF">
      <w:pPr>
        <w:pStyle w:val="13"/>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年度财政拨款支出</w:t>
      </w:r>
      <w:r>
        <w:rPr>
          <w:rFonts w:hint="eastAsia" w:ascii="仿宋_GB2312" w:hAnsi="仿宋_GB2312" w:eastAsia="仿宋_GB2312" w:cs="仿宋_GB2312"/>
          <w:color w:val="auto"/>
          <w:sz w:val="32"/>
          <w:szCs w:val="32"/>
          <w:lang w:val="en-US" w:eastAsia="zh-CN"/>
        </w:rPr>
        <w:t>1005.69</w:t>
      </w:r>
      <w:r>
        <w:rPr>
          <w:rFonts w:hint="eastAsia" w:ascii="仿宋_GB2312" w:hAnsi="仿宋_GB2312" w:eastAsia="仿宋_GB2312" w:cs="仿宋_GB2312"/>
          <w:color w:val="auto"/>
          <w:sz w:val="32"/>
          <w:szCs w:val="32"/>
        </w:rPr>
        <w:t>万元，主要用于以下方面：一般公共服务（类）支出</w:t>
      </w:r>
      <w:r>
        <w:rPr>
          <w:rFonts w:hint="eastAsia" w:ascii="仿宋_GB2312" w:hAnsi="仿宋_GB2312" w:eastAsia="仿宋_GB2312" w:cs="仿宋_GB2312"/>
          <w:color w:val="auto"/>
          <w:sz w:val="32"/>
          <w:szCs w:val="32"/>
          <w:lang w:val="en-US" w:eastAsia="zh-CN"/>
        </w:rPr>
        <w:t>819.7</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0000FF"/>
          <w:sz w:val="32"/>
          <w:szCs w:val="32"/>
          <w:lang w:val="en-US" w:eastAsia="zh-CN"/>
        </w:rPr>
        <w:t>81.51</w:t>
      </w:r>
      <w:r>
        <w:rPr>
          <w:rFonts w:hint="eastAsia" w:ascii="仿宋_GB2312" w:hAnsi="仿宋_GB2312" w:eastAsia="仿宋_GB2312" w:cs="仿宋_GB2312"/>
          <w:color w:val="auto"/>
          <w:sz w:val="32"/>
          <w:szCs w:val="32"/>
        </w:rPr>
        <w:t>%；</w:t>
      </w:r>
      <w:r>
        <w:rPr>
          <w:rFonts w:hint="eastAsia" w:ascii="Times New Roman" w:hAnsi="Times New Roman" w:eastAsia="仿宋_GB2312"/>
          <w:color w:val="auto"/>
          <w:sz w:val="32"/>
          <w:szCs w:val="32"/>
          <w:highlight w:val="none"/>
        </w:rPr>
        <w:t>；社会保障和就业支出</w:t>
      </w:r>
      <w:r>
        <w:rPr>
          <w:rFonts w:hint="eastAsia" w:ascii="Times New Roman" w:hAnsi="Times New Roman" w:eastAsia="仿宋_GB2312"/>
          <w:color w:val="auto"/>
          <w:sz w:val="32"/>
          <w:szCs w:val="32"/>
          <w:highlight w:val="none"/>
          <w:lang w:val="en-US" w:eastAsia="zh-CN"/>
        </w:rPr>
        <w:t>124.17</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0000FF"/>
          <w:sz w:val="32"/>
          <w:szCs w:val="32"/>
          <w:highlight w:val="none"/>
          <w:lang w:val="en-US" w:eastAsia="zh-CN"/>
        </w:rPr>
        <w:t>12.35</w:t>
      </w:r>
      <w:r>
        <w:rPr>
          <w:rFonts w:hint="eastAsia" w:ascii="Times New Roman" w:hAnsi="Times New Roman" w:eastAsia="仿宋_GB2312"/>
          <w:color w:val="0000FF"/>
          <w:sz w:val="32"/>
          <w:szCs w:val="32"/>
          <w:highlight w:val="none"/>
        </w:rPr>
        <w:t>%</w:t>
      </w:r>
      <w:r>
        <w:rPr>
          <w:rFonts w:hint="eastAsia" w:ascii="Times New Roman" w:hAnsi="Times New Roman" w:eastAsia="仿宋_GB2312"/>
          <w:color w:val="auto"/>
          <w:sz w:val="32"/>
          <w:szCs w:val="32"/>
          <w:highlight w:val="none"/>
        </w:rPr>
        <w:t>；卫生健康支出</w:t>
      </w:r>
      <w:r>
        <w:rPr>
          <w:rFonts w:hint="eastAsia" w:ascii="Times New Roman" w:hAnsi="Times New Roman" w:eastAsia="仿宋_GB2312"/>
          <w:color w:val="auto"/>
          <w:sz w:val="32"/>
          <w:szCs w:val="32"/>
          <w:highlight w:val="none"/>
          <w:lang w:val="en-US" w:eastAsia="zh-CN"/>
        </w:rPr>
        <w:t>27.3</w:t>
      </w:r>
      <w:r>
        <w:rPr>
          <w:rFonts w:hint="eastAsia" w:ascii="Times New Roman" w:hAnsi="Times New Roman" w:eastAsia="仿宋_GB2312"/>
          <w:color w:val="auto"/>
          <w:sz w:val="32"/>
          <w:szCs w:val="32"/>
          <w:highlight w:val="none"/>
        </w:rPr>
        <w:t>万元，占</w:t>
      </w:r>
      <w:r>
        <w:rPr>
          <w:rFonts w:hint="eastAsia" w:ascii="Times New Roman" w:hAnsi="Times New Roman" w:eastAsia="仿宋_GB2312"/>
          <w:color w:val="auto"/>
          <w:sz w:val="32"/>
          <w:szCs w:val="32"/>
          <w:highlight w:val="none"/>
          <w:lang w:val="en-US" w:eastAsia="zh-CN"/>
        </w:rPr>
        <w:t>2.71</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；住房公积金</w:t>
      </w:r>
      <w:r>
        <w:rPr>
          <w:rFonts w:hint="eastAsia" w:ascii="Times New Roman" w:hAnsi="Times New Roman" w:eastAsia="仿宋_GB2312"/>
          <w:color w:val="auto"/>
          <w:sz w:val="32"/>
          <w:szCs w:val="32"/>
          <w:highlight w:val="none"/>
          <w:lang w:eastAsia="zh-CN"/>
        </w:rPr>
        <w:t>支出</w:t>
      </w:r>
      <w:r>
        <w:rPr>
          <w:rFonts w:hint="eastAsia" w:ascii="Times New Roman" w:hAnsi="Times New Roman" w:eastAsia="仿宋_GB2312"/>
          <w:color w:val="auto"/>
          <w:sz w:val="32"/>
          <w:szCs w:val="32"/>
          <w:highlight w:val="none"/>
          <w:lang w:val="en-US" w:eastAsia="zh-CN"/>
        </w:rPr>
        <w:t>34.52</w:t>
      </w:r>
      <w:r>
        <w:rPr>
          <w:rFonts w:hint="eastAsia" w:ascii="Times New Roman" w:hAnsi="Times New Roman" w:eastAsia="仿宋_GB2312"/>
          <w:color w:val="auto"/>
          <w:sz w:val="32"/>
          <w:szCs w:val="32"/>
          <w:highlight w:val="none"/>
          <w:lang w:eastAsia="zh-CN"/>
        </w:rPr>
        <w:t>万元，占</w:t>
      </w:r>
      <w:r>
        <w:rPr>
          <w:rFonts w:hint="eastAsia" w:ascii="Times New Roman" w:hAnsi="Times New Roman" w:eastAsia="仿宋_GB2312"/>
          <w:color w:val="auto"/>
          <w:sz w:val="32"/>
          <w:szCs w:val="32"/>
          <w:highlight w:val="none"/>
          <w:lang w:val="en-US" w:eastAsia="zh-CN"/>
        </w:rPr>
        <w:t>3.43</w:t>
      </w:r>
      <w:r>
        <w:rPr>
          <w:rFonts w:hint="eastAsia" w:ascii="Times New Roman" w:hAnsi="Times New Roman" w:eastAsia="仿宋_GB2312"/>
          <w:color w:val="auto"/>
          <w:sz w:val="32"/>
          <w:szCs w:val="32"/>
          <w:highlight w:val="none"/>
          <w:lang w:eastAsia="zh-CN"/>
        </w:rPr>
        <w:t>%。</w:t>
      </w:r>
    </w:p>
    <w:p w14:paraId="41749A1D">
      <w:pPr>
        <w:pStyle w:val="13"/>
        <w:keepNext w:val="0"/>
        <w:keepLines w:val="0"/>
        <w:pageBreakBefore w:val="0"/>
        <w:widowControl w:val="0"/>
        <w:kinsoku/>
        <w:wordWrap/>
        <w:overflowPunct/>
        <w:topLinePunct w:val="0"/>
        <w:bidi w:val="0"/>
        <w:snapToGrid/>
        <w:spacing w:line="56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11729CBC">
      <w:pPr>
        <w:pStyle w:val="13"/>
        <w:keepNext w:val="0"/>
        <w:keepLines w:val="0"/>
        <w:pageBreakBefore w:val="0"/>
        <w:widowControl w:val="0"/>
        <w:kinsoku/>
        <w:wordWrap/>
        <w:overflowPunct/>
        <w:topLinePunct w:val="0"/>
        <w:bidi w:val="0"/>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1028.89</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1005.69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97.75</w:t>
      </w:r>
      <w:r>
        <w:rPr>
          <w:rFonts w:hint="eastAsia" w:ascii="仿宋_GB2312" w:hAnsi="仿宋_GB2312" w:eastAsia="仿宋_GB2312" w:cs="仿宋_GB2312"/>
          <w:sz w:val="32"/>
          <w:szCs w:val="32"/>
        </w:rPr>
        <w:t>%，其中：</w:t>
      </w:r>
    </w:p>
    <w:p w14:paraId="2BDBCE9F">
      <w:pPr>
        <w:pStyle w:val="13"/>
        <w:keepNext w:val="0"/>
        <w:keepLines w:val="0"/>
        <w:pageBreakBefore w:val="0"/>
        <w:kinsoku/>
        <w:wordWrap/>
        <w:overflowPunct/>
        <w:topLinePunct w:val="0"/>
        <w:bidi w:val="0"/>
        <w:snapToGrid/>
        <w:spacing w:line="56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sz w:val="32"/>
          <w:szCs w:val="32"/>
        </w:rPr>
        <w:t>1、</w:t>
      </w:r>
      <w:r>
        <w:rPr>
          <w:rFonts w:hint="eastAsia" w:ascii="Times New Roman" w:hAnsi="Times New Roman" w:eastAsia="仿宋_GB2312"/>
          <w:sz w:val="32"/>
          <w:szCs w:val="32"/>
          <w:highlight w:val="none"/>
          <w:lang w:eastAsia="zh-CN"/>
        </w:rPr>
        <w:t>一般公共服务（类）</w:t>
      </w:r>
      <w:r>
        <w:rPr>
          <w:rFonts w:hint="eastAsia" w:ascii="Times New Roman" w:hAnsi="Times New Roman" w:eastAsia="仿宋_GB2312"/>
          <w:sz w:val="32"/>
          <w:szCs w:val="32"/>
          <w:highlight w:val="none"/>
          <w:lang w:val="en-US" w:eastAsia="zh-CN"/>
        </w:rPr>
        <w:t>民族</w:t>
      </w:r>
      <w:r>
        <w:rPr>
          <w:rFonts w:hint="eastAsia" w:ascii="Times New Roman" w:hAnsi="Times New Roman" w:eastAsia="仿宋_GB2312"/>
          <w:sz w:val="32"/>
          <w:szCs w:val="32"/>
          <w:highlight w:val="none"/>
          <w:lang w:eastAsia="zh-CN"/>
        </w:rPr>
        <w:t>事务（款）</w:t>
      </w:r>
      <w:r>
        <w:rPr>
          <w:rFonts w:hint="eastAsia" w:ascii="Times New Roman" w:hAnsi="Times New Roman" w:eastAsia="仿宋_GB2312"/>
          <w:sz w:val="32"/>
          <w:szCs w:val="32"/>
          <w:highlight w:val="none"/>
          <w:lang w:val="en-US" w:eastAsia="zh-CN"/>
        </w:rPr>
        <w:t>行政运行支出</w:t>
      </w:r>
      <w:r>
        <w:rPr>
          <w:rFonts w:hint="eastAsia" w:ascii="Times New Roman" w:hAnsi="Times New Roman" w:eastAsia="仿宋_GB2312"/>
          <w:sz w:val="32"/>
          <w:szCs w:val="32"/>
          <w:highlight w:val="none"/>
          <w:lang w:eastAsia="zh-CN"/>
        </w:rPr>
        <w:t>（项）。</w:t>
      </w:r>
    </w:p>
    <w:p w14:paraId="4AD60FFB">
      <w:pPr>
        <w:pStyle w:val="13"/>
        <w:keepNext w:val="0"/>
        <w:keepLines w:val="0"/>
        <w:pageBreakBefore w:val="0"/>
        <w:kinsoku/>
        <w:wordWrap/>
        <w:overflowPunct/>
        <w:topLinePunct w:val="0"/>
        <w:bidi w:val="0"/>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10.05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10.05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highlight w:val="none"/>
          <w:lang w:eastAsia="zh-CN"/>
        </w:rPr>
        <w:t>主要原因是支出决算数为全年预算数。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val="en-US" w:eastAsia="zh-CN"/>
        </w:rPr>
        <w:t>民主党派及工商联事务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行政运行支出</w:t>
      </w:r>
      <w:r>
        <w:rPr>
          <w:rFonts w:hint="eastAsia" w:ascii="仿宋_GB2312" w:hAnsi="仿宋_GB2312" w:eastAsia="仿宋_GB2312" w:cs="仿宋_GB2312"/>
          <w:sz w:val="32"/>
          <w:szCs w:val="32"/>
        </w:rPr>
        <w:t>（项）。</w:t>
      </w:r>
    </w:p>
    <w:p w14:paraId="0C417333">
      <w:pPr>
        <w:pStyle w:val="13"/>
        <w:keepNext w:val="0"/>
        <w:keepLines w:val="0"/>
        <w:pageBreakBefore w:val="0"/>
        <w:widowControl w:val="0"/>
        <w:kinsoku/>
        <w:wordWrap/>
        <w:overflowPunct/>
        <w:topLinePunct w:val="0"/>
        <w:bidi w:val="0"/>
        <w:snapToGrid/>
        <w:spacing w:line="56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511.7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511.7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highlight w:val="none"/>
          <w:lang w:eastAsia="zh-CN"/>
        </w:rPr>
        <w:t>主要原因是支出决算数为全年预算数。</w:t>
      </w:r>
    </w:p>
    <w:p w14:paraId="2AA3AA8E">
      <w:pPr>
        <w:pStyle w:val="13"/>
        <w:keepNext w:val="0"/>
        <w:keepLines w:val="0"/>
        <w:pageBreakBefore w:val="0"/>
        <w:widowControl w:val="0"/>
        <w:kinsoku/>
        <w:wordWrap/>
        <w:overflowPunct/>
        <w:topLinePunct w:val="0"/>
        <w:bidi w:val="0"/>
        <w:snapToGrid/>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val="en-US" w:eastAsia="zh-CN"/>
        </w:rPr>
        <w:t>民主党派及工商联事务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一般行政管理事务支出</w:t>
      </w:r>
      <w:r>
        <w:rPr>
          <w:rFonts w:hint="eastAsia" w:ascii="仿宋_GB2312" w:hAnsi="仿宋_GB2312" w:eastAsia="仿宋_GB2312" w:cs="仿宋_GB2312"/>
          <w:sz w:val="32"/>
          <w:szCs w:val="32"/>
        </w:rPr>
        <w:t>（项）。</w:t>
      </w:r>
    </w:p>
    <w:p w14:paraId="4EB6C9A7">
      <w:pPr>
        <w:pStyle w:val="13"/>
        <w:keepNext w:val="0"/>
        <w:keepLines w:val="0"/>
        <w:pageBreakBefore w:val="0"/>
        <w:kinsoku/>
        <w:wordWrap/>
        <w:overflowPunct/>
        <w:topLinePunct w:val="0"/>
        <w:bidi w:val="0"/>
        <w:snapToGrid/>
        <w:spacing w:line="56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281.81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281.81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highlight w:val="none"/>
          <w:lang w:eastAsia="zh-CN"/>
        </w:rPr>
        <w:t>主要原因是支出决算数为全年预算数。</w:t>
      </w:r>
    </w:p>
    <w:p w14:paraId="5F28BAAE">
      <w:pPr>
        <w:pStyle w:val="13"/>
        <w:keepNext w:val="0"/>
        <w:keepLines w:val="0"/>
        <w:pageBreakBefore w:val="0"/>
        <w:kinsoku/>
        <w:wordWrap/>
        <w:overflowPunct/>
        <w:topLinePunct w:val="0"/>
        <w:bidi w:val="0"/>
        <w:snapToGrid/>
        <w:spacing w:line="56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、一般公共服务（类）民主党派及工商联事务（款）其他民主党派及工商联事务支出（项）。</w:t>
      </w:r>
    </w:p>
    <w:p w14:paraId="3919567F">
      <w:pPr>
        <w:pStyle w:val="13"/>
        <w:keepNext w:val="0"/>
        <w:keepLines w:val="0"/>
        <w:pageBreakBefore w:val="0"/>
        <w:kinsoku/>
        <w:wordWrap/>
        <w:overflowPunct/>
        <w:topLinePunct w:val="0"/>
        <w:bidi w:val="0"/>
        <w:snapToGrid/>
        <w:spacing w:line="56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highlight w:val="none"/>
          <w:lang w:eastAsia="zh-CN"/>
        </w:rPr>
        <w:t>主要原因是支出决算数为全年预算数。</w:t>
      </w:r>
    </w:p>
    <w:p w14:paraId="6C17D6A0">
      <w:pPr>
        <w:pStyle w:val="13"/>
        <w:keepNext w:val="0"/>
        <w:keepLines w:val="0"/>
        <w:pageBreakBefore w:val="0"/>
        <w:kinsoku/>
        <w:wordWrap/>
        <w:overflowPunct/>
        <w:topLinePunct w:val="0"/>
        <w:bidi w:val="0"/>
        <w:snapToGrid/>
        <w:spacing w:line="56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一般公共服务（类）</w:t>
      </w:r>
      <w:r>
        <w:rPr>
          <w:rFonts w:hint="eastAsia" w:ascii="Times New Roman" w:hAnsi="Times New Roman" w:eastAsia="仿宋_GB2312"/>
          <w:sz w:val="32"/>
          <w:szCs w:val="32"/>
          <w:highlight w:val="none"/>
          <w:lang w:val="en-US" w:eastAsia="zh-CN"/>
        </w:rPr>
        <w:t>统战事务</w:t>
      </w:r>
      <w:r>
        <w:rPr>
          <w:rFonts w:hint="eastAsia" w:ascii="Times New Roman" w:hAnsi="Times New Roman" w:eastAsia="仿宋_GB2312"/>
          <w:sz w:val="32"/>
          <w:szCs w:val="32"/>
          <w:highlight w:val="none"/>
          <w:lang w:eastAsia="zh-CN"/>
        </w:rPr>
        <w:t>（款）</w:t>
      </w:r>
      <w:r>
        <w:rPr>
          <w:rFonts w:hint="eastAsia" w:ascii="Times New Roman" w:hAnsi="Times New Roman" w:eastAsia="仿宋_GB2312"/>
          <w:sz w:val="32"/>
          <w:szCs w:val="32"/>
          <w:highlight w:val="none"/>
          <w:lang w:val="en-US" w:eastAsia="zh-CN"/>
        </w:rPr>
        <w:t>其他统战事务</w:t>
      </w:r>
      <w:r>
        <w:rPr>
          <w:rFonts w:hint="eastAsia" w:ascii="Times New Roman" w:hAnsi="Times New Roman" w:eastAsia="仿宋_GB2312"/>
          <w:sz w:val="32"/>
          <w:szCs w:val="32"/>
          <w:highlight w:val="none"/>
          <w:lang w:eastAsia="zh-CN"/>
        </w:rPr>
        <w:t>支出（项）。</w:t>
      </w:r>
    </w:p>
    <w:p w14:paraId="61505734">
      <w:pPr>
        <w:pStyle w:val="13"/>
        <w:keepNext w:val="0"/>
        <w:keepLines w:val="0"/>
        <w:pageBreakBefore w:val="0"/>
        <w:kinsoku/>
        <w:wordWrap/>
        <w:overflowPunct/>
        <w:topLinePunct w:val="0"/>
        <w:bidi w:val="0"/>
        <w:snapToGrid/>
        <w:spacing w:line="56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highlight w:val="none"/>
          <w:lang w:eastAsia="zh-CN"/>
        </w:rPr>
        <w:t>主要原因是支出决算数为全年预算数。</w:t>
      </w:r>
    </w:p>
    <w:p w14:paraId="726A7F90">
      <w:pPr>
        <w:pStyle w:val="13"/>
        <w:keepNext w:val="0"/>
        <w:keepLines w:val="0"/>
        <w:pageBreakBefore w:val="0"/>
        <w:kinsoku/>
        <w:wordWrap/>
        <w:overflowPunct/>
        <w:topLinePunct w:val="0"/>
        <w:bidi w:val="0"/>
        <w:snapToGrid/>
        <w:spacing w:line="56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一般公共服务（类）</w:t>
      </w:r>
      <w:r>
        <w:rPr>
          <w:rFonts w:hint="eastAsia" w:ascii="Times New Roman" w:hAnsi="Times New Roman" w:eastAsia="仿宋_GB2312"/>
          <w:sz w:val="32"/>
          <w:szCs w:val="32"/>
          <w:highlight w:val="none"/>
          <w:lang w:val="en-US" w:eastAsia="zh-CN"/>
        </w:rPr>
        <w:t>公共服务</w:t>
      </w:r>
      <w:r>
        <w:rPr>
          <w:rFonts w:hint="eastAsia" w:ascii="Times New Roman" w:hAnsi="Times New Roman" w:eastAsia="仿宋_GB2312"/>
          <w:sz w:val="32"/>
          <w:szCs w:val="32"/>
          <w:highlight w:val="none"/>
          <w:lang w:eastAsia="zh-CN"/>
        </w:rPr>
        <w:t>（款）</w:t>
      </w:r>
      <w:r>
        <w:rPr>
          <w:rFonts w:hint="eastAsia" w:ascii="Times New Roman" w:hAnsi="Times New Roman" w:eastAsia="仿宋_GB2312"/>
          <w:sz w:val="32"/>
          <w:szCs w:val="32"/>
          <w:highlight w:val="none"/>
          <w:lang w:val="en-US" w:eastAsia="zh-CN"/>
        </w:rPr>
        <w:t>其他一般公共服务支出</w:t>
      </w:r>
      <w:r>
        <w:rPr>
          <w:rFonts w:hint="eastAsia" w:ascii="Times New Roman" w:hAnsi="Times New Roman" w:eastAsia="仿宋_GB2312"/>
          <w:sz w:val="32"/>
          <w:szCs w:val="32"/>
          <w:highlight w:val="none"/>
          <w:lang w:eastAsia="zh-CN"/>
        </w:rPr>
        <w:t>（项）</w:t>
      </w:r>
    </w:p>
    <w:p w14:paraId="1DB3F49B">
      <w:pPr>
        <w:pStyle w:val="13"/>
        <w:keepNext w:val="0"/>
        <w:keepLines w:val="0"/>
        <w:pageBreakBefore w:val="0"/>
        <w:kinsoku/>
        <w:wordWrap/>
        <w:overflowPunct/>
        <w:topLinePunct w:val="0"/>
        <w:bidi w:val="0"/>
        <w:snapToGrid/>
        <w:spacing w:line="56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5.98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5.98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highlight w:val="none"/>
          <w:lang w:eastAsia="zh-CN"/>
        </w:rPr>
        <w:t>主要原因是支出决算数为全年预算数。</w:t>
      </w:r>
    </w:p>
    <w:p w14:paraId="69FC963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hAnsi="黑体" w:cs="黑体"/>
          <w:b w:val="0"/>
          <w:bCs/>
          <w:sz w:val="32"/>
          <w:szCs w:val="32"/>
          <w:lang w:val="en-US" w:eastAsia="zh-CN"/>
        </w:rPr>
        <w:t>7、</w:t>
      </w:r>
      <w:r>
        <w:rPr>
          <w:rFonts w:hint="eastAsia" w:ascii="Times New Roman" w:hAnsi="Times New Roman" w:eastAsia="仿宋_GB2312"/>
          <w:sz w:val="32"/>
          <w:szCs w:val="32"/>
          <w:highlight w:val="none"/>
          <w:lang w:eastAsia="zh-CN"/>
        </w:rPr>
        <w:t>社会保障和就业支出（类）行政事业单位养老支出（款）行政单位离退休（项）。</w:t>
      </w:r>
    </w:p>
    <w:p w14:paraId="598AD64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70.26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70.26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highlight w:val="none"/>
          <w:lang w:eastAsia="zh-CN"/>
        </w:rPr>
        <w:t>主要原因是支出决算数为全年预算数。</w:t>
      </w:r>
    </w:p>
    <w:p w14:paraId="69076EE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w:t>
      </w:r>
      <w:r>
        <w:rPr>
          <w:rFonts w:hint="default" w:ascii="Times New Roman" w:hAnsi="Times New Roman" w:eastAsia="仿宋_GB2312"/>
          <w:sz w:val="32"/>
          <w:szCs w:val="32"/>
          <w:highlight w:val="none"/>
          <w:lang w:val="en-US" w:eastAsia="zh-CN"/>
        </w:rPr>
        <w:t>社会保障和就业支出（类）行政事业单位养老支出（款</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机关事业单位基本养老保险缴费支出（项）</w:t>
      </w:r>
      <w:r>
        <w:rPr>
          <w:rFonts w:hint="eastAsia" w:ascii="Times New Roman" w:hAnsi="Times New Roman" w:eastAsia="仿宋_GB2312"/>
          <w:sz w:val="32"/>
          <w:szCs w:val="32"/>
          <w:highlight w:val="none"/>
          <w:lang w:val="en-US" w:eastAsia="zh-CN"/>
        </w:rPr>
        <w:t>。</w:t>
      </w:r>
    </w:p>
    <w:p w14:paraId="7D83F23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35.12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35.12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highlight w:val="none"/>
          <w:lang w:eastAsia="zh-CN"/>
        </w:rPr>
        <w:t>主要原因是支出决算数为全年预算数。</w:t>
      </w:r>
    </w:p>
    <w:p w14:paraId="2E4F17A6">
      <w:pPr>
        <w:pStyle w:val="13"/>
        <w:numPr>
          <w:ilvl w:val="0"/>
          <w:numId w:val="0"/>
        </w:numPr>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w:t>
      </w:r>
      <w:r>
        <w:rPr>
          <w:rFonts w:hint="default" w:ascii="Times New Roman" w:hAnsi="Times New Roman" w:eastAsia="仿宋_GB2312"/>
          <w:sz w:val="32"/>
          <w:szCs w:val="32"/>
          <w:highlight w:val="none"/>
          <w:lang w:val="en-US" w:eastAsia="zh-CN"/>
        </w:rPr>
        <w:t>、社会保障和就业支出（类）抚恤（款）其他优抚支出（项）。</w:t>
      </w:r>
    </w:p>
    <w:p w14:paraId="2B07F59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18.79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18.79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highlight w:val="none"/>
          <w:lang w:eastAsia="zh-CN"/>
        </w:rPr>
        <w:t>主要原因是支出决算数为全年预算数。</w:t>
      </w:r>
    </w:p>
    <w:p w14:paraId="5015BC6B">
      <w:pPr>
        <w:pStyle w:val="13"/>
        <w:numPr>
          <w:ilvl w:val="0"/>
          <w:numId w:val="0"/>
        </w:numPr>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w:t>
      </w:r>
      <w:r>
        <w:rPr>
          <w:rFonts w:hint="default" w:ascii="Times New Roman" w:hAnsi="Times New Roman" w:eastAsia="仿宋_GB2312"/>
          <w:sz w:val="32"/>
          <w:szCs w:val="32"/>
          <w:highlight w:val="none"/>
          <w:lang w:val="en-US" w:eastAsia="zh-CN"/>
        </w:rPr>
        <w:t>卫生健康支出（类）行政事业单位医疗（款）行政单位医疗</w:t>
      </w:r>
      <w:r>
        <w:rPr>
          <w:rFonts w:hint="eastAsia" w:ascii="Times New Roman" w:hAnsi="Times New Roman" w:eastAsia="仿宋_GB2312"/>
          <w:sz w:val="32"/>
          <w:szCs w:val="32"/>
          <w:highlight w:val="none"/>
          <w:lang w:val="en-US" w:eastAsia="zh-CN"/>
        </w:rPr>
        <w:t>支出</w:t>
      </w:r>
      <w:r>
        <w:rPr>
          <w:rFonts w:hint="default" w:ascii="Times New Roman" w:hAnsi="Times New Roman" w:eastAsia="仿宋_GB2312"/>
          <w:sz w:val="32"/>
          <w:szCs w:val="32"/>
          <w:highlight w:val="none"/>
          <w:lang w:val="en-US" w:eastAsia="zh-CN"/>
        </w:rPr>
        <w:t>（项）。</w:t>
      </w:r>
    </w:p>
    <w:p w14:paraId="282EC62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27.3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27.3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highlight w:val="none"/>
          <w:lang w:eastAsia="zh-CN"/>
        </w:rPr>
        <w:t>主要原因是支出决算数为全年预算数。</w:t>
      </w:r>
    </w:p>
    <w:p w14:paraId="52E6F5A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11、住房保障支出</w:t>
      </w:r>
      <w:r>
        <w:rPr>
          <w:rFonts w:hint="default" w:ascii="Times New Roman" w:hAnsi="Times New Roman" w:eastAsia="仿宋_GB2312"/>
          <w:sz w:val="32"/>
          <w:szCs w:val="32"/>
          <w:highlight w:val="none"/>
          <w:lang w:val="en-US" w:eastAsia="zh-CN"/>
        </w:rPr>
        <w:t>（类）</w:t>
      </w:r>
      <w:r>
        <w:rPr>
          <w:rFonts w:hint="eastAsia" w:ascii="Times New Roman" w:hAnsi="Times New Roman" w:eastAsia="仿宋_GB2312"/>
          <w:sz w:val="32"/>
          <w:szCs w:val="32"/>
          <w:highlight w:val="none"/>
          <w:lang w:val="en-US" w:eastAsia="zh-CN"/>
        </w:rPr>
        <w:t>住房改革</w:t>
      </w:r>
      <w:r>
        <w:rPr>
          <w:rFonts w:hint="default" w:ascii="Times New Roman" w:hAnsi="Times New Roman" w:eastAsia="仿宋_GB2312"/>
          <w:sz w:val="32"/>
          <w:szCs w:val="32"/>
          <w:highlight w:val="none"/>
          <w:lang w:val="en-US" w:eastAsia="zh-CN"/>
        </w:rPr>
        <w:t>（款）</w:t>
      </w:r>
      <w:r>
        <w:rPr>
          <w:rFonts w:hint="eastAsia" w:ascii="Times New Roman" w:hAnsi="Times New Roman" w:eastAsia="仿宋_GB2312"/>
          <w:sz w:val="32"/>
          <w:szCs w:val="32"/>
          <w:highlight w:val="none"/>
          <w:lang w:val="en-US" w:eastAsia="zh-CN"/>
        </w:rPr>
        <w:t>住房公积金支出</w:t>
      </w:r>
      <w:r>
        <w:rPr>
          <w:rFonts w:hint="default" w:ascii="Times New Roman" w:hAnsi="Times New Roman" w:eastAsia="仿宋_GB2312"/>
          <w:sz w:val="32"/>
          <w:szCs w:val="32"/>
          <w:highlight w:val="none"/>
          <w:lang w:val="en-US" w:eastAsia="zh-CN"/>
        </w:rPr>
        <w:t>（项）。</w:t>
      </w:r>
    </w:p>
    <w:p w14:paraId="0E0EBC8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34.52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34.52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highlight w:val="none"/>
          <w:lang w:eastAsia="zh-CN"/>
        </w:rPr>
        <w:t>主要原因是支出决算数为全年预算数。</w:t>
      </w:r>
    </w:p>
    <w:p w14:paraId="2E48645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C7FAE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599.52</w:t>
      </w:r>
      <w:r>
        <w:rPr>
          <w:rFonts w:hint="eastAsia" w:ascii="仿宋_GB2312" w:hAnsi="仿宋_GB2312" w:eastAsia="仿宋_GB2312" w:cs="仿宋_GB2312"/>
          <w:sz w:val="32"/>
          <w:szCs w:val="32"/>
        </w:rPr>
        <w:t>万元，其中：</w:t>
      </w:r>
    </w:p>
    <w:p w14:paraId="075C458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541.34</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90.3</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机关事业单位基本养老保险缴费、职工基本医疗保险缴费、其他社会保险缴费、住房公积金、退休费、抚恤金、医疗补助、和其他工资福利支出。</w:t>
      </w:r>
    </w:p>
    <w:p w14:paraId="2D6E830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58.18</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%，主要包括办公费、</w:t>
      </w:r>
      <w:r>
        <w:rPr>
          <w:rFonts w:hint="eastAsia" w:ascii="仿宋_GB2312" w:hAnsi="仿宋_GB2312" w:eastAsia="仿宋_GB2312" w:cs="仿宋_GB2312"/>
          <w:sz w:val="32"/>
          <w:szCs w:val="32"/>
          <w:lang w:val="en-US" w:eastAsia="zh-CN"/>
        </w:rPr>
        <w:t>工会经费、劳务费、车辆维护费、其他交通费和其他商品和劳务支出。</w:t>
      </w:r>
    </w:p>
    <w:p w14:paraId="6D2F402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2A5CC24F">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黑体" w:hAnsi="黑体" w:eastAsia="黑体" w:cs="黑体"/>
          <w:b w:val="0"/>
          <w:bCs/>
          <w:color w:val="auto"/>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color w:val="auto"/>
          <w:sz w:val="32"/>
          <w:szCs w:val="32"/>
        </w:rPr>
        <w:t xml:space="preserve">   </w:t>
      </w:r>
      <w:r>
        <w:rPr>
          <w:rFonts w:hint="eastAsia" w:ascii="仿宋_GB2312" w:hAnsi="仿宋_GB2312" w:eastAsia="仿宋_GB2312" w:cs="仿宋_GB2312"/>
          <w:color w:val="000000"/>
          <w:kern w:val="0"/>
          <w:sz w:val="32"/>
          <w:szCs w:val="32"/>
          <w:lang w:val="en-US" w:eastAsia="zh-CN" w:bidi="ar-SA"/>
        </w:rPr>
        <w:t xml:space="preserve"> 2023年度政府性基金预算财政拨款收入0万元；年初结转和结余0万元；支出0万元，其中基本支出0万元，项目支出0万元；年末结转和结余0万元。</w:t>
      </w:r>
    </w:p>
    <w:p w14:paraId="7055BA7D">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DB19274">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2023年度国有资本经营预算财政拨款收入0万元；年初结转和结余0万；支出0万元，其中：基本支出0万元，项目支出0万元；年末结转和结余0万元。</w:t>
      </w:r>
    </w:p>
    <w:p w14:paraId="613CDBE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1E70147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46E380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万元，决算数等于预算数的主要原因是</w:t>
      </w:r>
      <w:r>
        <w:rPr>
          <w:rFonts w:hint="eastAsia" w:ascii="仿宋_GB2312" w:hAnsi="仿宋_GB2312" w:eastAsia="仿宋_GB2312" w:cs="仿宋_GB2312"/>
          <w:sz w:val="32"/>
          <w:szCs w:val="32"/>
          <w:lang w:val="en-US" w:eastAsia="zh-CN"/>
        </w:rPr>
        <w:t>财政严控各项费用支出及党派响应从简出发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p>
    <w:p w14:paraId="0F7B00A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800" w:firstLineChars="250"/>
        <w:textAlignment w:val="auto"/>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0000FF"/>
          <w:sz w:val="32"/>
          <w:szCs w:val="32"/>
        </w:rPr>
        <w:t>因公出国（境）费支出预算为</w:t>
      </w:r>
      <w:r>
        <w:rPr>
          <w:rFonts w:hint="eastAsia" w:ascii="仿宋_GB2312" w:hAnsi="仿宋_GB2312" w:eastAsia="仿宋_GB2312" w:cs="仿宋_GB2312"/>
          <w:color w:val="0000FF"/>
          <w:sz w:val="32"/>
          <w:szCs w:val="32"/>
          <w:lang w:val="en-US" w:eastAsia="zh-CN"/>
        </w:rPr>
        <w:t>0</w:t>
      </w:r>
      <w:r>
        <w:rPr>
          <w:rFonts w:hint="eastAsia" w:ascii="仿宋_GB2312" w:hAnsi="仿宋_GB2312" w:eastAsia="仿宋_GB2312" w:cs="仿宋_GB2312"/>
          <w:color w:val="0000FF"/>
          <w:sz w:val="32"/>
          <w:szCs w:val="32"/>
        </w:rPr>
        <w:t>万元，支出决算为</w:t>
      </w:r>
      <w:r>
        <w:rPr>
          <w:rFonts w:hint="eastAsia" w:ascii="仿宋_GB2312" w:hAnsi="仿宋_GB2312" w:eastAsia="仿宋_GB2312" w:cs="仿宋_GB2312"/>
          <w:color w:val="0000FF"/>
          <w:sz w:val="32"/>
          <w:szCs w:val="32"/>
          <w:lang w:val="en-US" w:eastAsia="zh-CN"/>
        </w:rPr>
        <w:t>0</w:t>
      </w:r>
      <w:r>
        <w:rPr>
          <w:rFonts w:hint="eastAsia" w:ascii="仿宋_GB2312" w:hAnsi="仿宋_GB2312" w:eastAsia="仿宋_GB2312" w:cs="仿宋_GB2312"/>
          <w:color w:val="0000FF"/>
          <w:sz w:val="32"/>
          <w:szCs w:val="32"/>
        </w:rPr>
        <w:t>万元，决算数等于预算数的主要原因是</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color w:val="0000FF"/>
          <w:sz w:val="32"/>
          <w:szCs w:val="32"/>
          <w:lang w:val="en-US" w:eastAsia="zh-CN"/>
        </w:rPr>
        <w:t>本年度党派无因公出国（境）费用支出</w:t>
      </w:r>
      <w:r>
        <w:rPr>
          <w:rFonts w:hint="eastAsia" w:ascii="仿宋_GB2312" w:hAnsi="仿宋_GB2312" w:eastAsia="仿宋_GB2312" w:cs="仿宋_GB2312"/>
          <w:color w:val="0000FF"/>
          <w:sz w:val="32"/>
          <w:szCs w:val="32"/>
          <w:lang w:eastAsia="zh-CN"/>
        </w:rPr>
        <w:t>。</w:t>
      </w:r>
    </w:p>
    <w:p w14:paraId="79155D9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4.99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99.8</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highlight w:val="none"/>
        </w:rPr>
        <w:t>按照过紧日子要求严控公务接待支出</w:t>
      </w:r>
      <w:r>
        <w:rPr>
          <w:rFonts w:hint="eastAsia" w:ascii="Times New Roman" w:hAnsi="Times New Roman" w:eastAsia="仿宋_GB2312"/>
          <w:sz w:val="32"/>
          <w:szCs w:val="32"/>
          <w:highlight w:val="none"/>
          <w:lang w:eastAsia="zh-CN"/>
        </w:rPr>
        <w:t>，</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0.32</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减少</w:t>
      </w:r>
      <w:r>
        <w:rPr>
          <w:rFonts w:hint="eastAsia" w:ascii="仿宋_GB2312" w:hAnsi="仿宋_GB2312" w:eastAsia="仿宋_GB2312" w:cs="仿宋_GB2312"/>
          <w:color w:val="auto"/>
          <w:sz w:val="32"/>
          <w:szCs w:val="32"/>
          <w:lang w:val="en-US" w:eastAsia="zh-CN"/>
        </w:rPr>
        <w:t>6.02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减少（增长）的主要原因是</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highlight w:val="none"/>
        </w:rPr>
        <w:t>按照过紧日子要求严控公务接待支出</w:t>
      </w:r>
      <w:r>
        <w:rPr>
          <w:rFonts w:hint="eastAsia" w:ascii="仿宋_GB2312" w:hAnsi="仿宋_GB2312" w:eastAsia="仿宋_GB2312" w:cs="仿宋_GB2312"/>
          <w:sz w:val="32"/>
          <w:szCs w:val="32"/>
        </w:rPr>
        <w:t>。</w:t>
      </w:r>
    </w:p>
    <w:p w14:paraId="125865D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highlight w:val="none"/>
          <w:lang w:eastAsia="zh-CN"/>
        </w:rPr>
        <w:t>支出决算数为全年预算数</w:t>
      </w:r>
      <w:r>
        <w:rPr>
          <w:rFonts w:hint="eastAsia" w:ascii="Times New Roman" w:hAnsi="Times New Roman" w:eastAsia="仿宋_GB2312"/>
          <w:sz w:val="32"/>
          <w:szCs w:val="32"/>
          <w:highlight w:val="none"/>
          <w:lang w:val="en-US" w:eastAsia="zh-CN"/>
        </w:rPr>
        <w:t>并与上年一致的原因是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本年度无公务用车购置费用支出。</w:t>
      </w:r>
    </w:p>
    <w:p w14:paraId="7356723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highlight w:val="none"/>
        </w:rPr>
        <w:t>按照过紧日子要求严控一般性支出</w:t>
      </w:r>
      <w:r>
        <w:rPr>
          <w:rFonts w:hint="eastAsia" w:ascii="Times New Roman" w:hAnsi="Times New Roman" w:eastAsia="仿宋_GB2312"/>
          <w:sz w:val="32"/>
          <w:szCs w:val="32"/>
          <w:highlight w:val="none"/>
          <w:lang w:eastAsia="zh-CN"/>
        </w:rPr>
        <w:t>，</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2.76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53.17</w:t>
      </w:r>
      <w:r>
        <w:rPr>
          <w:rFonts w:hint="eastAsia" w:ascii="仿宋_GB2312" w:hAnsi="仿宋_GB2312" w:eastAsia="仿宋_GB2312" w:cs="仿宋_GB2312"/>
          <w:sz w:val="32"/>
          <w:szCs w:val="32"/>
        </w:rPr>
        <w:t>%,减少（增长）的主要原因是</w:t>
      </w:r>
      <w:r>
        <w:rPr>
          <w:rFonts w:hint="eastAsia" w:ascii="仿宋_GB2312" w:hAnsi="仿宋_GB2312" w:eastAsia="仿宋_GB2312" w:cs="仿宋_GB2312"/>
          <w:sz w:val="32"/>
          <w:szCs w:val="32"/>
          <w:lang w:eastAsia="zh-CN"/>
        </w:rPr>
        <w:t>：</w:t>
      </w:r>
      <w:r>
        <w:rPr>
          <w:rFonts w:hint="eastAsia" w:ascii="Times New Roman" w:hAnsi="Times New Roman" w:eastAsia="仿宋_GB2312"/>
          <w:sz w:val="32"/>
          <w:szCs w:val="32"/>
          <w:highlight w:val="none"/>
        </w:rPr>
        <w:t>按照过紧日子要求严控一般性支出</w:t>
      </w:r>
      <w:r>
        <w:rPr>
          <w:rFonts w:hint="eastAsia" w:ascii="Times New Roman" w:hAnsi="Times New Roman" w:eastAsia="仿宋_GB2312"/>
          <w:sz w:val="32"/>
          <w:szCs w:val="32"/>
          <w:highlight w:val="none"/>
          <w:lang w:eastAsia="zh-CN"/>
        </w:rPr>
        <w:t>。</w:t>
      </w:r>
    </w:p>
    <w:p w14:paraId="656F77C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50E60A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4.99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67.3</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2.43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32.7</w:t>
      </w:r>
      <w:r>
        <w:rPr>
          <w:rFonts w:hint="eastAsia" w:ascii="仿宋_GB2312" w:hAnsi="仿宋_GB2312" w:eastAsia="仿宋_GB2312" w:cs="仿宋_GB2312"/>
          <w:sz w:val="32"/>
          <w:szCs w:val="32"/>
        </w:rPr>
        <w:t>%。其中：</w:t>
      </w:r>
    </w:p>
    <w:p w14:paraId="1089B4C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我单位2023年度无因公出国（境）费用支出。</w:t>
      </w:r>
    </w:p>
    <w:p w14:paraId="5EF2183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4.99</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380</w:t>
      </w:r>
      <w:r>
        <w:rPr>
          <w:rFonts w:hint="eastAsia" w:ascii="仿宋_GB2312" w:hAnsi="仿宋_GB2312" w:eastAsia="仿宋_GB2312" w:cs="仿宋_GB2312"/>
          <w:sz w:val="32"/>
          <w:szCs w:val="32"/>
        </w:rPr>
        <w:t>人次，主要是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调研、走访、会议接待发生的接待支出。</w:t>
      </w:r>
    </w:p>
    <w:p w14:paraId="34D9EB34">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2.43</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岳阳市民主党派机关更新公务用车0辆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2.43</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val="en-US" w:eastAsia="zh-CN"/>
        </w:rPr>
        <w:t>公务然油费、车辆保险费、维修保养</w:t>
      </w:r>
      <w:r>
        <w:rPr>
          <w:rFonts w:hint="eastAsia" w:ascii="仿宋_GB2312" w:hAnsi="仿宋_GB2312" w:eastAsia="仿宋_GB2312" w:cs="仿宋_GB2312"/>
          <w:sz w:val="32"/>
          <w:szCs w:val="32"/>
        </w:rPr>
        <w:t>支出，截止202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p>
    <w:p w14:paraId="1A61DF0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65813756">
      <w:pPr>
        <w:pStyle w:val="13"/>
        <w:ind w:firstLine="640" w:firstLineChars="200"/>
        <w:rPr>
          <w:rFonts w:hint="default" w:ascii="Times New Roman" w:hAnsi="Times New Roman" w:eastAsia="仿宋_GB2312"/>
          <w:sz w:val="32"/>
          <w:szCs w:val="32"/>
          <w:lang w:val="en-US" w:eastAsia="zh-CN"/>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58.18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决</w:t>
      </w:r>
      <w:r>
        <w:rPr>
          <w:rFonts w:hint="eastAsia" w:ascii="仿宋_GB2312" w:hAnsi="仿宋_GB2312" w:eastAsia="仿宋_GB2312" w:cs="仿宋_GB2312"/>
          <w:sz w:val="32"/>
          <w:szCs w:val="32"/>
        </w:rPr>
        <w:t>算数增加</w:t>
      </w:r>
      <w:r>
        <w:rPr>
          <w:rFonts w:hint="eastAsia" w:ascii="仿宋_GB2312" w:hAnsi="仿宋_GB2312" w:eastAsia="仿宋_GB2312" w:cs="仿宋_GB2312"/>
          <w:sz w:val="32"/>
          <w:szCs w:val="32"/>
          <w:lang w:val="en-US" w:eastAsia="zh-CN"/>
        </w:rPr>
        <w:t>29.46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102.5</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本年度公用经费纳入运行经费导致本年度费用增加。</w:t>
      </w:r>
    </w:p>
    <w:p w14:paraId="60B03A3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4834A24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val="0"/>
          <w:iCs w:val="0"/>
          <w:color w:val="FF0000"/>
          <w:kern w:val="0"/>
          <w:sz w:val="84"/>
          <w:szCs w:val="84"/>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30.9万元，支出决算为20.9万元，完成年初预算的67.64%。用于革2021年成果汇报会暨2022年工作部署会议、致公党2022年工作总结会议、民建中央来岳开展民主监督调研会议、民建长江论坛会议费、民革为召开《华容之子-刘公武传》出版座谈会议、民盟《岳阳民盟志》编务工作会议、民进中央参政党理论研究年会；</w:t>
      </w:r>
      <w:r>
        <w:rPr>
          <w:rFonts w:hint="eastAsia" w:ascii="仿宋_GB2312" w:hAnsi="仿宋_GB2312" w:eastAsia="仿宋_GB2312" w:cs="仿宋_GB2312"/>
          <w:color w:val="000000"/>
          <w:kern w:val="0"/>
          <w:sz w:val="32"/>
          <w:szCs w:val="32"/>
          <w:lang w:val="en-US" w:eastAsia="zh-CN" w:bidi="ar-SA"/>
        </w:rPr>
        <w:t>培训费年初预算7.95万元，支出决算为7.88万元，完成年初预算的99%。用于开展党史教育及新党员培训，人数396人，内容为各党派党史教育培训、新党员培训</w:t>
      </w:r>
      <w:r>
        <w:rPr>
          <w:rFonts w:hint="eastAsia" w:ascii="仿宋_GB2312" w:hAnsi="仿宋_GB2312" w:eastAsia="仿宋_GB2312" w:cs="仿宋_GB2312"/>
          <w:sz w:val="32"/>
          <w:szCs w:val="32"/>
          <w:lang w:val="en-US" w:eastAsia="zh-CN"/>
        </w:rPr>
        <w:t>、民革团结读书会培训、致公党气排球赛教练培训、民进新会员活动培训、民建承办巴陵统战young户外拓展活动教练培训、民革培训授课；举办节庆、晚会、论坛、赛事活动年初预算3万元，支出决算为3万元，完成年初预算的100%，主要是开展三八妇女节、重阳节、乒乓球赛、气排球赛。</w:t>
      </w:r>
    </w:p>
    <w:p w14:paraId="3B0737D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14590D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FF"/>
          <w:sz w:val="32"/>
          <w:szCs w:val="32"/>
        </w:rPr>
        <w:t>本部门2023年度政府采购支出总额0万元，其中：政府采购货物支出0 万元、政府采购工程支出0万元、政府采购服务支出0万元。授予中小企业合同金额0万元（由于政府采购支出总额为0，故无法计算占政府采购支出总额的比重），其中：授予小微企业合同金额0万元（由于授予中小企业合同金额为0，故无法计算占授予中小企业合同金额的比重）。货物采购授予中小企业合同金额占货物支出金额的比重，工程采购授予中小企业合同金额占工程支出金额的比重，服务采购授予中小企业合同金额占服务支出金额的比重，由于以上各项合同金额为0，故无法计算各项占比。</w:t>
      </w:r>
      <w:r>
        <w:rPr>
          <w:rFonts w:hint="eastAsia" w:ascii="仿宋_GB2312" w:hAnsi="仿宋_GB2312" w:eastAsia="仿宋_GB2312" w:cs="仿宋_GB2312"/>
          <w:sz w:val="32"/>
          <w:szCs w:val="32"/>
        </w:rPr>
        <w:t>”</w:t>
      </w:r>
    </w:p>
    <w:p w14:paraId="6CE7520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07DA72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3640D1E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AC2D4C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28DD557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14:paraId="6146ECE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1005.69万元，政府性基金预算支出0万元，国有资本经营预算支出0万元。从评价情况来看，整体支出绩效评价中，2023年整体支出1028.89万元，其中：基本支出559.53万元，项目支出429.36万元，本单位整体支出绩效自评综合评分99分，评价结果等次为一等。</w:t>
      </w:r>
    </w:p>
    <w:p w14:paraId="6185DAF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组织对一般公共预算项目支出全面开展绩效自评，项目10个，共涉及资金429.36万元，占一般公共预算项目支出总额的</w:t>
      </w:r>
      <w:r>
        <w:rPr>
          <w:rFonts w:hint="eastAsia" w:ascii="仿宋_GB2312" w:hAnsi="仿宋_GB2312" w:eastAsia="仿宋_GB2312" w:cs="仿宋_GB2312"/>
          <w:b w:val="0"/>
          <w:bCs w:val="0"/>
          <w:color w:val="0000FF"/>
          <w:kern w:val="0"/>
          <w:sz w:val="32"/>
          <w:szCs w:val="32"/>
          <w:lang w:val="en-US" w:eastAsia="zh-CN" w:bidi="ar-SA"/>
        </w:rPr>
        <w:t>105.71%</w:t>
      </w:r>
      <w:r>
        <w:rPr>
          <w:rFonts w:hint="eastAsia" w:ascii="仿宋_GB2312" w:hAnsi="仿宋_GB2312" w:eastAsia="仿宋_GB2312" w:cs="仿宋_GB2312"/>
          <w:b w:val="0"/>
          <w:bCs w:val="0"/>
          <w:color w:val="000000"/>
          <w:kern w:val="0"/>
          <w:sz w:val="32"/>
          <w:szCs w:val="32"/>
          <w:lang w:val="en-US" w:eastAsia="zh-CN" w:bidi="ar-SA"/>
        </w:rPr>
        <w:t>%。组织对政府性基金预算项目支出开展绩效自评，项目0个，共涉及资金0万元，占政府性基金预算项目支出总额的0%。组织对国有资本经营预算项目支出开展绩效自评，项目0个，共涉及资金0万元，占国有资本经营预算项目支出总额的0%。从评价情况来看，项目绩效自评得分99分，评价结果等次为一等。</w:t>
      </w:r>
    </w:p>
    <w:p w14:paraId="3EFAD2E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7631ED29">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根据年初设定的绩效目标，绩效自评得分为99分。全年预算数为1028.89万元，执行数为1028.89万元，完成预算的100%。</w:t>
      </w:r>
      <w:r>
        <w:rPr>
          <w:rFonts w:hint="eastAsia" w:ascii="仿宋_GB2312" w:hAnsi="仿宋_GB2312" w:eastAsia="仿宋_GB2312" w:cs="仿宋_GB2312"/>
          <w:b w:val="0"/>
          <w:bCs w:val="0"/>
          <w:sz w:val="32"/>
          <w:szCs w:val="32"/>
          <w:highlight w:val="none"/>
          <w:lang w:val="en-US" w:eastAsia="zh-CN"/>
        </w:rPr>
        <w:t>绩效目标完成情况：一是加强自身建设；二是开展参政议政；三是推进政治协商；四是开展民主监督；五是开展社会服务。发现的主要问题及原因：一是年初未作预算安排，但本年实际发生了支出的现象，预算的执行有待进一步加强；二是资金使用管理需进一步强化。下一步改进措施：一是细化预算编制工作，认真做好预算的编制；二是进一步严控三公经费支出，严格控制三公经费的规模和比例，严格三公经费支出的审核审批流程；进一步细化三公经费的管理，抓好公车的节能降耗工作。</w:t>
      </w:r>
    </w:p>
    <w:p w14:paraId="6257EC0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0765B9C3">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47CE3B26">
      <w:pPr>
        <w:pStyle w:val="13"/>
        <w:jc w:val="center"/>
        <w:rPr>
          <w:sz w:val="72"/>
          <w:szCs w:val="72"/>
        </w:rPr>
      </w:pPr>
    </w:p>
    <w:p w14:paraId="4A720AA7">
      <w:pPr>
        <w:pStyle w:val="13"/>
        <w:jc w:val="center"/>
        <w:rPr>
          <w:sz w:val="72"/>
          <w:szCs w:val="72"/>
        </w:rPr>
      </w:pPr>
    </w:p>
    <w:p w14:paraId="61302D64">
      <w:pPr>
        <w:pStyle w:val="13"/>
        <w:jc w:val="center"/>
        <w:rPr>
          <w:sz w:val="72"/>
          <w:szCs w:val="72"/>
        </w:rPr>
      </w:pPr>
    </w:p>
    <w:p w14:paraId="05EB98DA">
      <w:pPr>
        <w:pStyle w:val="13"/>
        <w:jc w:val="center"/>
        <w:rPr>
          <w:sz w:val="72"/>
          <w:szCs w:val="72"/>
        </w:rPr>
      </w:pPr>
    </w:p>
    <w:p w14:paraId="0E5F47B1">
      <w:pPr>
        <w:pStyle w:val="13"/>
        <w:jc w:val="center"/>
        <w:rPr>
          <w:rFonts w:hint="eastAsia" w:ascii="方正小标宋_GBK" w:hAnsi="方正小标宋_GBK" w:eastAsia="方正小标宋_GBK" w:cs="方正小标宋_GBK"/>
          <w:sz w:val="70"/>
          <w:szCs w:val="70"/>
          <w:lang w:eastAsia="zh-CN"/>
        </w:rPr>
      </w:pPr>
    </w:p>
    <w:p w14:paraId="309C690A">
      <w:pPr>
        <w:pStyle w:val="13"/>
        <w:jc w:val="center"/>
        <w:rPr>
          <w:rFonts w:hint="eastAsia" w:ascii="方正小标宋_GBK" w:hAnsi="方正小标宋_GBK" w:eastAsia="方正小标宋_GBK" w:cs="方正小标宋_GBK"/>
          <w:sz w:val="72"/>
          <w:szCs w:val="72"/>
        </w:rPr>
      </w:pPr>
    </w:p>
    <w:p w14:paraId="4B5BD3FE">
      <w:pPr>
        <w:pStyle w:val="13"/>
        <w:jc w:val="center"/>
        <w:rPr>
          <w:rFonts w:hint="eastAsia" w:ascii="方正小标宋_GBK" w:hAnsi="方正小标宋_GBK" w:eastAsia="方正小标宋_GBK" w:cs="方正小标宋_GBK"/>
          <w:sz w:val="72"/>
          <w:szCs w:val="72"/>
        </w:rPr>
      </w:pPr>
    </w:p>
    <w:p w14:paraId="53AEC017">
      <w:pPr>
        <w:pStyle w:val="13"/>
        <w:jc w:val="center"/>
        <w:rPr>
          <w:rFonts w:hint="eastAsia" w:ascii="方正小标宋_GBK" w:hAnsi="方正小标宋_GBK" w:eastAsia="方正小标宋_GBK" w:cs="方正小标宋_GBK"/>
          <w:sz w:val="72"/>
          <w:szCs w:val="72"/>
        </w:rPr>
      </w:pPr>
      <w:bookmarkStart w:id="0" w:name="_GoBack"/>
      <w:bookmarkEnd w:id="0"/>
    </w:p>
    <w:p w14:paraId="6B917A2C">
      <w:pPr>
        <w:pStyle w:val="13"/>
        <w:jc w:val="center"/>
        <w:rPr>
          <w:rFonts w:hint="eastAsia" w:ascii="方正小标宋_GBK" w:hAnsi="方正小标宋_GBK" w:eastAsia="方正小标宋_GBK" w:cs="方正小标宋_GBK"/>
          <w:sz w:val="72"/>
          <w:szCs w:val="72"/>
        </w:rPr>
      </w:pPr>
    </w:p>
    <w:p w14:paraId="142ED238">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CAF1254">
      <w:pPr>
        <w:jc w:val="center"/>
        <w:rPr>
          <w:rFonts w:hint="eastAsia" w:ascii="方正小标宋_GBK" w:hAnsi="方正小标宋_GBK" w:eastAsia="方正小标宋_GBK" w:cs="方正小标宋_GBK"/>
          <w:color w:val="000000"/>
          <w:kern w:val="0"/>
          <w:sz w:val="70"/>
          <w:szCs w:val="70"/>
        </w:rPr>
      </w:pPr>
    </w:p>
    <w:p w14:paraId="582D0408">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60FF934D">
      <w:pPr>
        <w:pStyle w:val="7"/>
      </w:pPr>
    </w:p>
    <w:p w14:paraId="7153DA90">
      <w:pPr>
        <w:pStyle w:val="3"/>
      </w:pPr>
    </w:p>
    <w:p w14:paraId="7C146B56"/>
    <w:p w14:paraId="04634DEA">
      <w:pPr>
        <w:pStyle w:val="7"/>
      </w:pPr>
    </w:p>
    <w:p w14:paraId="6E2E2488">
      <w:pPr>
        <w:pStyle w:val="3"/>
      </w:pPr>
    </w:p>
    <w:p w14:paraId="445410B9"/>
    <w:p w14:paraId="5DC3CCD8">
      <w:pPr>
        <w:pStyle w:val="7"/>
      </w:pPr>
    </w:p>
    <w:p w14:paraId="70052AA2">
      <w:pPr>
        <w:pStyle w:val="3"/>
      </w:pPr>
    </w:p>
    <w:p w14:paraId="01E2D978"/>
    <w:p w14:paraId="6DD9424E">
      <w:pPr>
        <w:pStyle w:val="7"/>
      </w:pPr>
    </w:p>
    <w:p w14:paraId="0BB49247">
      <w:pPr>
        <w:pStyle w:val="3"/>
      </w:pPr>
    </w:p>
    <w:p w14:paraId="53399543"/>
    <w:p w14:paraId="2E7352F9">
      <w:pPr>
        <w:pStyle w:val="7"/>
      </w:pPr>
    </w:p>
    <w:p w14:paraId="63FA6B65">
      <w:pPr>
        <w:pStyle w:val="3"/>
      </w:pPr>
    </w:p>
    <w:p w14:paraId="6A448980"/>
    <w:p w14:paraId="31B1003F">
      <w:pPr>
        <w:pStyle w:val="7"/>
      </w:pPr>
    </w:p>
    <w:p w14:paraId="6700D1AF">
      <w:pPr>
        <w:pStyle w:val="3"/>
      </w:pPr>
    </w:p>
    <w:p w14:paraId="37E01F12"/>
    <w:p w14:paraId="3572BE45">
      <w:pPr>
        <w:pStyle w:val="7"/>
      </w:pPr>
    </w:p>
    <w:p w14:paraId="07CD4107">
      <w:pPr>
        <w:pStyle w:val="3"/>
      </w:pPr>
    </w:p>
    <w:p w14:paraId="164327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25B9C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240E9C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val="en-US" w:eastAsia="zh-CN"/>
        </w:rPr>
        <w:t>财政拨款收：指本级财政当年拨付的奖金。</w:t>
      </w:r>
    </w:p>
    <w:p w14:paraId="3416AB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四、上年结转和结余：指以前年度尚未完成、结转到本年按有关规定继续使用的资金。</w:t>
      </w:r>
    </w:p>
    <w:p w14:paraId="4830E46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五、年末结转和结余资金：指本年度或以前年度预算安排、因客观条件发生变化无法按原计划实施，需要延迟到以后年度按有关规定继续使用的资金。</w:t>
      </w:r>
    </w:p>
    <w:p w14:paraId="471E0A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w:t>
      </w:r>
    </w:p>
    <w:p w14:paraId="02DF92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七、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42A24A78">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八、基本支出：指保障机构正常运转、完成支日常工作任务而发生的人员支出和公用支出。</w:t>
      </w:r>
    </w:p>
    <w:p w14:paraId="489543FD">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九、项目支出：指在基本支出之外为完成特定行政任务和事业发展目标所发生的支出。</w:t>
      </w:r>
    </w:p>
    <w:p w14:paraId="5701F43F">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十、工资福利支出：反映单位开支的在职职工和编制外长期聘用人员的各类劳动报酬，以及为上述人员缴纳的各项社会保险费等。</w:t>
      </w:r>
    </w:p>
    <w:p w14:paraId="31CA8254">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一、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14:paraId="49AF0762">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十二、津贴补贴：反映经国家批准建立的机关事业单位艰苦边远地区津贴、机关工作人员地区附加津贴、机关工作人员岗位津贴、事业单位工作人员特殊岗位津贴补贴等。</w:t>
      </w:r>
    </w:p>
    <w:p w14:paraId="771B6717">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十三、奖金：反映机关工作人员年终一次性奖金。</w:t>
      </w:r>
    </w:p>
    <w:p w14:paraId="721DB1FB">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十四、伙食补助费：反映单位发给职工的伙食补助费，如误餐补助等。</w:t>
      </w:r>
    </w:p>
    <w:p w14:paraId="131478A4">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十五、机关事业单位基本养老保险缴费：反映机关事业单位缴纳的基本养老保险费。由单位代扣的工作人员基本养老保险缴费，不在此科目反映。</w:t>
      </w:r>
    </w:p>
    <w:p w14:paraId="1ED76BA6">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六、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7690DAA4">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十七、对个人和家庭的补助：反映政府用于对个人和家庭的补助支出。</w:t>
      </w:r>
    </w:p>
    <w:p w14:paraId="447F8B44">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十八、抚恤金：反映按规定开支的烈士遗属、牺牲病故人员遗属的一次性和定期抚恤金，伤残人员的抚恤金，离退休人员等其他人员的各项抚恤金。</w:t>
      </w:r>
    </w:p>
    <w:p w14:paraId="07B57DA2">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九、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14:paraId="5D5DDEC8">
      <w:pPr>
        <w:ind w:firstLine="640" w:firstLineChars="20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二十、其他资本性支出：反映发展与改革部门以外的其他部门安排的用于购置固定资产、战略性和应急性储备、土地和无形资产，以及购建基础设施、大型修缮和财政支持企业更新改造所发生的支出。</w:t>
      </w:r>
    </w:p>
    <w:p w14:paraId="4C762070">
      <w:pPr>
        <w:ind w:firstLine="640" w:firstLineChars="200"/>
        <w:jc w:val="left"/>
        <w:rPr>
          <w:rFonts w:hint="eastAsia"/>
          <w:sz w:val="72"/>
          <w:szCs w:val="72"/>
          <w:highlight w:val="none"/>
        </w:rPr>
      </w:pPr>
      <w:r>
        <w:rPr>
          <w:rFonts w:hint="eastAsia" w:ascii="仿宋_GB2312" w:hAnsi="仿宋_GB2312" w:eastAsia="仿宋_GB2312" w:cs="仿宋_GB2312"/>
          <w:color w:val="000000"/>
          <w:kern w:val="0"/>
          <w:sz w:val="32"/>
          <w:szCs w:val="32"/>
          <w:lang w:val="en-US" w:eastAsia="zh-CN"/>
        </w:rPr>
        <w:t>二十一、办公设备购置：反映用于购置并按财务会计制度规定纳入固定资产核算范围的办公家具和办公设备的支出，以及按规定提取的修购基金。</w:t>
      </w:r>
    </w:p>
    <w:p w14:paraId="0AE0F02E">
      <w:pPr>
        <w:pStyle w:val="13"/>
        <w:jc w:val="center"/>
        <w:rPr>
          <w:rFonts w:hint="eastAsia"/>
          <w:sz w:val="72"/>
          <w:szCs w:val="72"/>
          <w:highlight w:val="none"/>
        </w:rPr>
      </w:pPr>
    </w:p>
    <w:p w14:paraId="4552B130">
      <w:pPr>
        <w:pStyle w:val="13"/>
        <w:jc w:val="center"/>
        <w:rPr>
          <w:rFonts w:hint="eastAsia"/>
          <w:sz w:val="72"/>
          <w:szCs w:val="72"/>
          <w:highlight w:val="none"/>
        </w:rPr>
      </w:pPr>
    </w:p>
    <w:p w14:paraId="1A0B9BE1">
      <w:pPr>
        <w:pStyle w:val="13"/>
        <w:jc w:val="center"/>
        <w:rPr>
          <w:rFonts w:hint="eastAsia"/>
          <w:sz w:val="72"/>
          <w:szCs w:val="72"/>
          <w:highlight w:val="none"/>
        </w:rPr>
      </w:pPr>
    </w:p>
    <w:p w14:paraId="739654BF">
      <w:pPr>
        <w:pStyle w:val="13"/>
        <w:jc w:val="center"/>
        <w:rPr>
          <w:rFonts w:hint="eastAsia"/>
          <w:sz w:val="72"/>
          <w:szCs w:val="72"/>
          <w:highlight w:val="none"/>
        </w:rPr>
      </w:pPr>
    </w:p>
    <w:p w14:paraId="102AF698">
      <w:pPr>
        <w:pStyle w:val="13"/>
        <w:jc w:val="center"/>
        <w:rPr>
          <w:rFonts w:hint="eastAsia"/>
          <w:sz w:val="72"/>
          <w:szCs w:val="72"/>
          <w:highlight w:val="none"/>
        </w:rPr>
      </w:pPr>
    </w:p>
    <w:p w14:paraId="5C4A8762">
      <w:pPr>
        <w:pStyle w:val="13"/>
        <w:jc w:val="center"/>
        <w:rPr>
          <w:rFonts w:hint="eastAsia"/>
          <w:sz w:val="72"/>
          <w:szCs w:val="72"/>
          <w:highlight w:val="none"/>
        </w:rPr>
      </w:pPr>
    </w:p>
    <w:p w14:paraId="28B9AC1C">
      <w:pPr>
        <w:pStyle w:val="13"/>
        <w:jc w:val="center"/>
        <w:rPr>
          <w:rFonts w:hint="eastAsia"/>
          <w:sz w:val="72"/>
          <w:szCs w:val="72"/>
          <w:highlight w:val="none"/>
        </w:rPr>
      </w:pPr>
    </w:p>
    <w:p w14:paraId="0EB3A213">
      <w:pPr>
        <w:pStyle w:val="13"/>
        <w:jc w:val="center"/>
        <w:rPr>
          <w:rFonts w:hint="eastAsia"/>
          <w:sz w:val="72"/>
          <w:szCs w:val="72"/>
          <w:highlight w:val="none"/>
        </w:rPr>
      </w:pPr>
    </w:p>
    <w:p w14:paraId="095C39FD">
      <w:pPr>
        <w:pStyle w:val="13"/>
        <w:jc w:val="center"/>
        <w:rPr>
          <w:rFonts w:hint="eastAsia"/>
          <w:sz w:val="72"/>
          <w:szCs w:val="72"/>
          <w:highlight w:val="none"/>
        </w:rPr>
      </w:pPr>
    </w:p>
    <w:p w14:paraId="2BECC39C">
      <w:pPr>
        <w:pStyle w:val="3"/>
      </w:pPr>
    </w:p>
    <w:p w14:paraId="591F6222">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23EC288">
      <w:pPr>
        <w:pStyle w:val="13"/>
        <w:jc w:val="both"/>
        <w:rPr>
          <w:rFonts w:hint="eastAsia" w:ascii="方正小标宋_GBK" w:hAnsi="方正小标宋_GBK" w:eastAsia="方正小标宋_GBK" w:cs="方正小标宋_GBK"/>
          <w:sz w:val="70"/>
          <w:szCs w:val="70"/>
          <w:lang w:eastAsia="zh-CN"/>
        </w:rPr>
      </w:pPr>
    </w:p>
    <w:p w14:paraId="13BA8F27">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7FD036C">
      <w:pPr>
        <w:ind w:firstLine="640" w:firstLineChars="200"/>
        <w:jc w:val="left"/>
        <w:rPr>
          <w:rFonts w:hint="eastAsia" w:ascii="宋体" w:hAnsi="宋体" w:eastAsia="宋体" w:cs="黑体"/>
          <w:b/>
          <w:color w:val="000000"/>
          <w:kern w:val="0"/>
          <w:sz w:val="32"/>
          <w:szCs w:val="32"/>
          <w:lang w:val="en-US" w:eastAsia="zh-CN"/>
        </w:rPr>
      </w:pPr>
    </w:p>
    <w:p w14:paraId="44BEB73B">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14:paraId="4AD86446">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14:paraId="40A722C5"/>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ZDk0YjZhMWI5NTYzOGRhYTdlYTMxMzE2Yjg1NTA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17202A"/>
    <w:rsid w:val="0BAB0084"/>
    <w:rsid w:val="1021564D"/>
    <w:rsid w:val="12583BA5"/>
    <w:rsid w:val="12E442F1"/>
    <w:rsid w:val="13BA5B9C"/>
    <w:rsid w:val="182932F0"/>
    <w:rsid w:val="1D97DEFF"/>
    <w:rsid w:val="1DFF72E5"/>
    <w:rsid w:val="1EFC6F07"/>
    <w:rsid w:val="22AC03C2"/>
    <w:rsid w:val="2FDF85B8"/>
    <w:rsid w:val="2FFFEE04"/>
    <w:rsid w:val="31C95635"/>
    <w:rsid w:val="34DF85B0"/>
    <w:rsid w:val="36913BEB"/>
    <w:rsid w:val="397B17EF"/>
    <w:rsid w:val="3B8F36BC"/>
    <w:rsid w:val="3D8B1845"/>
    <w:rsid w:val="46244F73"/>
    <w:rsid w:val="46EA501D"/>
    <w:rsid w:val="491FF225"/>
    <w:rsid w:val="496F29F9"/>
    <w:rsid w:val="4FFD214C"/>
    <w:rsid w:val="5352765A"/>
    <w:rsid w:val="560E6742"/>
    <w:rsid w:val="5777D4F5"/>
    <w:rsid w:val="59DD8326"/>
    <w:rsid w:val="5DEF592A"/>
    <w:rsid w:val="5FC6BB1E"/>
    <w:rsid w:val="5FF720F1"/>
    <w:rsid w:val="626F5370"/>
    <w:rsid w:val="631039EB"/>
    <w:rsid w:val="67FF5C0B"/>
    <w:rsid w:val="6BAA4A2F"/>
    <w:rsid w:val="6EFC0924"/>
    <w:rsid w:val="6FB74722"/>
    <w:rsid w:val="6FEF8B7E"/>
    <w:rsid w:val="70F32264"/>
    <w:rsid w:val="71A6591B"/>
    <w:rsid w:val="737D59BA"/>
    <w:rsid w:val="737F32B1"/>
    <w:rsid w:val="77C37683"/>
    <w:rsid w:val="782D4EC5"/>
    <w:rsid w:val="78F11D24"/>
    <w:rsid w:val="79FF515B"/>
    <w:rsid w:val="7E4234E1"/>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7051</Words>
  <Characters>7609</Characters>
  <Lines>63</Lines>
  <Paragraphs>18</Paragraphs>
  <TotalTime>0</TotalTime>
  <ScaleCrop>false</ScaleCrop>
  <LinksUpToDate>false</LinksUpToDate>
  <CharactersWithSpaces>7639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豆浆吖（斐吉留学）</cp:lastModifiedBy>
  <cp:lastPrinted>2024-08-08T10:20:00Z</cp:lastPrinted>
  <dcterms:modified xsi:type="dcterms:W3CDTF">2025-09-18T02:41:23Z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F9CB093DBEF04AB99AFDCFD861A1770D_13</vt:lpwstr>
  </property>
  <property fmtid="{D5CDD505-2E9C-101B-9397-08002B2CF9AE}" pid="4" name="KSOTemplateDocerSaveRecord">
    <vt:lpwstr>eyJoZGlkIjoiZjY4ZDk0YjZhMWI5NTYzOGRhYTdlYTMxMzE2Yjg1NTAiLCJ1c2VySWQiOiIxMTY2NjQ1NTA3In0=</vt:lpwstr>
  </property>
</Properties>
</file>