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岳阳市工商业联合会</w:t>
      </w:r>
    </w:p>
    <w:p>
      <w:pPr>
        <w:pStyle w:val="13"/>
        <w:jc w:val="center"/>
        <w:rPr>
          <w:rFonts w:hint="eastAsia" w:ascii="方正小标宋_GBK" w:hAnsi="方正小标宋_GBK" w:eastAsia="方正小标宋_GBK" w:cs="方正小标宋_GBK"/>
          <w:sz w:val="56"/>
          <w:szCs w:val="56"/>
        </w:rPr>
      </w:pPr>
      <w:r>
        <w:rPr>
          <w:rFonts w:hint="eastAsia" w:ascii="方正小标宋_GBK" w:hAnsi="方正小标宋_GBK" w:eastAsia="方正小标宋_GBK" w:cs="方正小标宋_GBK"/>
          <w:sz w:val="84"/>
          <w:szCs w:val="84"/>
        </w:rPr>
        <w:t>部门决算</w:t>
      </w: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岳阳市工商业联合会概况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岳阳市工商业联合会概况</w:t>
      </w:r>
    </w:p>
    <w:p>
      <w:pPr>
        <w:pStyle w:val="8"/>
        <w:rPr>
          <w:rFonts w:hint="eastAsia" w:ascii="方正小标宋_GBK" w:hAnsi="方正小标宋_GBK" w:eastAsia="方正小标宋_GBK" w:cs="方正小标宋_GBK"/>
          <w:sz w:val="84"/>
          <w:szCs w:val="84"/>
        </w:rPr>
      </w:pPr>
    </w:p>
    <w:p>
      <w:pPr>
        <w:pStyle w:val="4"/>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8"/>
        <w:rPr>
          <w:rFonts w:hint="eastAsia" w:ascii="方正小标宋_GBK" w:hAnsi="方正小标宋_GBK" w:eastAsia="方正小标宋_GBK" w:cs="方正小标宋_GBK"/>
          <w:sz w:val="84"/>
          <w:szCs w:val="84"/>
        </w:rPr>
      </w:pPr>
    </w:p>
    <w:p>
      <w:pPr>
        <w:pStyle w:val="4"/>
        <w:rPr>
          <w:rFonts w:hint="eastAsia" w:ascii="方正小标宋_GBK" w:hAnsi="方正小标宋_GBK" w:eastAsia="方正小标宋_GBK" w:cs="方正小标宋_GBK"/>
          <w:sz w:val="84"/>
          <w:szCs w:val="84"/>
        </w:rPr>
      </w:pPr>
    </w:p>
    <w:p>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第一条 加强和改进非公有制经济人士思想政治工作。</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一）引导非公有制经济人士践行社会主义核心价值体系，树立中国特色社会主义共同理想，树立义利兼顾、以义为先理念，学习、贯彻党和国家的方针政策，发扬自我教育的优良传统，自觉地把自身企业的发展与国家的发展结合起来，把个人富裕与全体人民的共同富裕结合起来，把遵循市场法则与发扬社会主义道德结合起来，爱国、敬业、诚信、守法、贡献，做合格的中国特色社会主义事业建设者。宣传表彰他们中的先进典型。</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二）引导非公有制经济人士弘扬中华传统美德，弘扬时代新风，致富思源、富而思进，积极承担社会责任，热心公益事业，投身光彩事业，加强企业文化建设，支持企业党建工作，为基层党组织开展活动、发挥作用提供必要条件。</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第二条 参与政治协商，发挥民主监督作用，积极参政议政。</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（一）密切同非公有制经济人士的联系，深入了解他们的意愿和要求，向党和政府提出相关意见和建议。</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（二）围绕贯彻落实党的路线方针政策，参与国家有关政策、法律法规的制定和贯彻执行，促进非公有制经济市场环境、政策环境、法治环境、社会环境的改善。</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（三）帮助非公有制经济代表人士提高参政议政能力和水平，积极反映社情民意，有序参与政治生活和社会事务。</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（四）做好非公有制经济代表人士的发现、培养、推荐和管理工作。</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第三条 协助政府管理和服务非公有制经济。</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一）积极探索建立适应社会主义市场经济要求的服务载体和机制，为非公有制企业提供政策、信息、法律、融资、技术、人才等方面服务，引导非公有制企业按照科学发展观要求，加快经济发展方式转变和产业优化升级，推进结构调整和自主创新，不断增强市场竞争能力、抵御风险能力和可持续发展能力。</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（二）增强与香港特别行政区、澳门特别行政区和台湾地区工商界的联系，促进经贸合作。积极开展民间外交，加强同国外工商界的交流合作，为非公有制企业开展国际合作提供服务。</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（三）承办政府和有关部门委托事项。组织非公有制企业参与实施国家区域发展战略，为地方经济建设服务，促进城乡、区域统筹协调发展。</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第四条 促进行业协会商会改革发展。</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一）履行社会团体业务主管单位职责，指导和推动商会组织依照法律法规和本章程制定商会章程，完善法人治理结构，规范内部管理，发挥宣传政策、提供服务、反映诉求、维护权益、加强自律的作用，培育和发展中国特色商会组织。</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（二）参与行业协会商会政策法律的制定。指导商会反映行业发展动态，促进行业健康发展。</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第五条 参与协调劳动关系，协同社会管理，促进社会和谐稳定。</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一）参与协调劳动关系三方会议，同政府部门、工会组织和其他有关企业方代表一道，共同推动劳动关系立法、健全劳动标准体系和劳动关系协调机制，共同研究解决劳动关系中的重大问题，参与劳动争议调解、仲裁。</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（二）引导非公有制企业依法与工会就职工工资、生活福利、社会保险等涉及职工切身利益问题进行平等协商，签订集体合同。</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三）协调处理投资者利益和劳动者权益的关系，引导非公有制企业构建和谐劳动关系，积极创造就业岗位，严格遵守国家相关法律法规和政策措施，尊重和维护员工合法权益，协助指导非公有制企业党建工作，推动其建立工会等群团组织，积极开展活动。</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sz w:val="32"/>
          <w:szCs w:val="32"/>
        </w:rPr>
        <w:t>第六条 反映非公有制企业和非公有制经济人士利益诉求，维护其合法权益。参与经济纠纷的调解、仲裁。</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Times New Roman" w:hAnsi="Times New Roman" w:eastAsia="仿宋_GB2312" w:cs="仿宋_GB2312"/>
          <w:sz w:val="32"/>
          <w:szCs w:val="32"/>
        </w:rPr>
      </w:pPr>
      <w:r>
        <w:rPr>
          <w:rFonts w:hint="eastAsia" w:ascii="仿宋_GB2312" w:hAnsi="Calibri" w:eastAsia="仿宋_GB2312" w:cs="Times New Roman"/>
          <w:sz w:val="32"/>
          <w:szCs w:val="32"/>
        </w:rPr>
        <w:t>第七条 依法加强会产管理和保护。</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（一）内设机构设置。岳阳市工商业联合会内设机构包括：办公室，会员</w:t>
      </w:r>
      <w:r>
        <w:rPr>
          <w:rFonts w:hint="eastAsia" w:ascii="Times New Roman" w:hAnsi="Times New Roman" w:eastAsia="仿宋_GB2312" w:cs="仿宋_GB2312"/>
          <w:bCs/>
          <w:kern w:val="0"/>
          <w:sz w:val="32"/>
          <w:szCs w:val="32"/>
          <w:lang w:eastAsia="zh-CN"/>
        </w:rPr>
        <w:t>科</w:t>
      </w:r>
      <w:r>
        <w:rPr>
          <w:rFonts w:hint="eastAsia" w:ascii="Times New Roman" w:hAnsi="Times New Roman" w:eastAsia="仿宋_GB2312" w:cs="仿宋_GB2312"/>
          <w:bCs/>
          <w:kern w:val="0"/>
          <w:sz w:val="32"/>
          <w:szCs w:val="32"/>
        </w:rPr>
        <w:t>，经济</w:t>
      </w:r>
      <w:r>
        <w:rPr>
          <w:rFonts w:hint="eastAsia" w:ascii="Times New Roman" w:hAnsi="Times New Roman" w:eastAsia="仿宋_GB2312" w:cs="仿宋_GB2312"/>
          <w:bCs/>
          <w:kern w:val="0"/>
          <w:sz w:val="32"/>
          <w:szCs w:val="32"/>
          <w:lang w:eastAsia="zh-CN"/>
        </w:rPr>
        <w:t>科</w:t>
      </w:r>
      <w:r>
        <w:rPr>
          <w:rFonts w:hint="eastAsia" w:ascii="Times New Roman" w:hAnsi="Times New Roman" w:eastAsia="仿宋_GB2312" w:cs="仿宋_GB2312"/>
          <w:bCs/>
          <w:kern w:val="0"/>
          <w:sz w:val="32"/>
          <w:szCs w:val="32"/>
        </w:rPr>
        <w:t>（维权</w:t>
      </w:r>
      <w:r>
        <w:rPr>
          <w:rFonts w:hint="eastAsia" w:ascii="Times New Roman" w:hAnsi="Times New Roman" w:eastAsia="仿宋_GB2312" w:cs="仿宋_GB2312"/>
          <w:bCs/>
          <w:kern w:val="0"/>
          <w:sz w:val="32"/>
          <w:szCs w:val="32"/>
          <w:lang w:eastAsia="zh-CN"/>
        </w:rPr>
        <w:t>科</w:t>
      </w:r>
      <w:r>
        <w:rPr>
          <w:rFonts w:hint="eastAsia" w:ascii="Times New Roman" w:hAnsi="Times New Roman" w:eastAsia="仿宋_GB2312" w:cs="仿宋_GB2312"/>
          <w:bCs/>
          <w:kern w:val="0"/>
          <w:sz w:val="32"/>
          <w:szCs w:val="32"/>
        </w:rPr>
        <w:t>），宣教人事</w:t>
      </w:r>
      <w:r>
        <w:rPr>
          <w:rFonts w:hint="eastAsia" w:ascii="Times New Roman" w:hAnsi="Times New Roman" w:eastAsia="仿宋_GB2312" w:cs="仿宋_GB2312"/>
          <w:bCs/>
          <w:kern w:val="0"/>
          <w:sz w:val="32"/>
          <w:szCs w:val="32"/>
          <w:lang w:eastAsia="zh-CN"/>
        </w:rPr>
        <w:t>科</w:t>
      </w:r>
      <w:r>
        <w:rPr>
          <w:rFonts w:hint="eastAsia" w:ascii="Times New Roman" w:hAnsi="Times New Roman" w:eastAsia="仿宋_GB2312" w:cs="仿宋_GB2312"/>
          <w:bCs/>
          <w:kern w:val="0"/>
          <w:sz w:val="32"/>
          <w:szCs w:val="32"/>
        </w:rPr>
        <w:t>（非公党建</w:t>
      </w:r>
      <w:r>
        <w:rPr>
          <w:rFonts w:hint="eastAsia" w:ascii="Times New Roman" w:hAnsi="Times New Roman" w:eastAsia="仿宋_GB2312" w:cs="仿宋_GB2312"/>
          <w:bCs/>
          <w:kern w:val="0"/>
          <w:sz w:val="32"/>
          <w:szCs w:val="32"/>
          <w:lang w:eastAsia="zh-CN"/>
        </w:rPr>
        <w:t>科</w:t>
      </w:r>
      <w:r>
        <w:rPr>
          <w:rFonts w:hint="eastAsia" w:ascii="Times New Roman" w:hAnsi="Times New Roman" w:eastAsia="仿宋_GB2312" w:cs="仿宋_GB2312"/>
          <w:bCs/>
          <w:kern w:val="0"/>
          <w:sz w:val="32"/>
          <w:szCs w:val="32"/>
        </w:rPr>
        <w:t>），商会</w:t>
      </w:r>
      <w:r>
        <w:rPr>
          <w:rFonts w:hint="eastAsia" w:ascii="Times New Roman" w:hAnsi="Times New Roman" w:eastAsia="仿宋_GB2312" w:cs="仿宋_GB2312"/>
          <w:bCs/>
          <w:kern w:val="0"/>
          <w:sz w:val="32"/>
          <w:szCs w:val="32"/>
          <w:lang w:eastAsia="zh-CN"/>
        </w:rPr>
        <w:t>科</w:t>
      </w:r>
      <w:r>
        <w:rPr>
          <w:rFonts w:hint="eastAsia" w:ascii="Times New Roman" w:hAnsi="Times New Roman" w:eastAsia="仿宋_GB2312" w:cs="仿宋_GB2312"/>
          <w:bCs/>
          <w:kern w:val="0"/>
          <w:sz w:val="32"/>
          <w:szCs w:val="32"/>
        </w:rPr>
        <w:t>5个</w:t>
      </w:r>
      <w:r>
        <w:rPr>
          <w:rFonts w:hint="eastAsia" w:ascii="Times New Roman" w:hAnsi="Times New Roman" w:eastAsia="仿宋_GB2312" w:cs="仿宋_GB2312"/>
          <w:bCs/>
          <w:kern w:val="0"/>
          <w:sz w:val="32"/>
          <w:szCs w:val="32"/>
          <w:lang w:eastAsia="zh-CN"/>
        </w:rPr>
        <w:t>科</w:t>
      </w:r>
      <w:r>
        <w:rPr>
          <w:rFonts w:hint="eastAsia" w:ascii="Times New Roman" w:hAnsi="Times New Roman" w:eastAsia="仿宋_GB2312" w:cs="仿宋_GB2312"/>
          <w:bCs/>
          <w:kern w:val="0"/>
          <w:sz w:val="32"/>
          <w:szCs w:val="32"/>
        </w:rPr>
        <w:t>室</w:t>
      </w:r>
      <w:r>
        <w:rPr>
          <w:rFonts w:hint="eastAsia" w:ascii="Times New Roman" w:hAnsi="Times New Roman" w:eastAsia="仿宋_GB2312" w:cs="仿宋_GB2312"/>
          <w:bCs/>
          <w:kern w:val="0"/>
          <w:sz w:val="32"/>
          <w:szCs w:val="32"/>
          <w:lang w:eastAsia="zh-CN"/>
        </w:rPr>
        <w:t>。根据编办核定，我联行政编制1</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lang w:eastAsia="zh-CN"/>
        </w:rPr>
        <w:t>个，下设二级机构</w:t>
      </w:r>
      <w:r>
        <w:rPr>
          <w:rFonts w:hint="eastAsia" w:ascii="Times New Roman" w:hAnsi="Times New Roman" w:eastAsia="仿宋_GB2312" w:cs="仿宋_GB2312"/>
          <w:bCs/>
          <w:kern w:val="0"/>
          <w:sz w:val="32"/>
          <w:szCs w:val="32"/>
          <w:lang w:val="en-US" w:eastAsia="zh-CN"/>
        </w:rPr>
        <w:t>民营企业服务中心（未独立），事业编制7个，</w:t>
      </w:r>
      <w:r>
        <w:rPr>
          <w:rFonts w:hint="eastAsia" w:ascii="Times New Roman" w:hAnsi="Times New Roman" w:eastAsia="仿宋_GB2312" w:cs="仿宋_GB2312"/>
          <w:bCs/>
          <w:kern w:val="0"/>
          <w:sz w:val="32"/>
          <w:szCs w:val="32"/>
          <w:lang w:eastAsia="zh-CN"/>
        </w:rPr>
        <w:t>工勤编制2个，实有人数</w:t>
      </w:r>
      <w:r>
        <w:rPr>
          <w:rFonts w:hint="eastAsia" w:ascii="Times New Roman" w:hAnsi="Times New Roman" w:eastAsia="仿宋_GB2312" w:cs="仿宋_GB2312"/>
          <w:bCs/>
          <w:kern w:val="0"/>
          <w:sz w:val="32"/>
          <w:szCs w:val="32"/>
          <w:lang w:val="en-US" w:eastAsia="zh-CN"/>
        </w:rPr>
        <w:t>20人</w:t>
      </w:r>
      <w:r>
        <w:rPr>
          <w:rFonts w:hint="eastAsia" w:ascii="Times New Roman" w:hAnsi="Times New Roman" w:eastAsia="仿宋_GB2312" w:cs="仿宋_GB2312"/>
          <w:bCs/>
          <w:kern w:val="0"/>
          <w:sz w:val="32"/>
          <w:szCs w:val="32"/>
          <w:lang w:eastAsia="zh-CN"/>
        </w:rPr>
        <w:t>。</w:t>
      </w:r>
    </w:p>
    <w:p>
      <w:pPr>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（二）决算单位构成。岳阳市工商业联合会202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本部门无独立核算的下属单位，</w:t>
      </w:r>
      <w:r>
        <w:rPr>
          <w:rFonts w:hint="eastAsia" w:ascii="Times New Roman" w:hAnsi="Times New Roman" w:eastAsia="仿宋_GB2312" w:cs="仿宋_GB2312"/>
          <w:bCs/>
          <w:kern w:val="0"/>
          <w:sz w:val="32"/>
          <w:szCs w:val="32"/>
          <w:lang w:val="en-US" w:eastAsia="zh-CN"/>
        </w:rPr>
        <w:t>2023年度部门决算汇总公开单位仅包括岳阳市工商业联合会本级</w:t>
      </w:r>
      <w:r>
        <w:rPr>
          <w:rFonts w:hint="eastAsia" w:ascii="Times New Roman" w:hAnsi="Times New Roman" w:eastAsia="仿宋_GB2312" w:cs="仿宋_GB2312"/>
          <w:bCs/>
          <w:kern w:val="0"/>
          <w:sz w:val="32"/>
          <w:szCs w:val="32"/>
        </w:rPr>
        <w:t>。</w:t>
      </w:r>
    </w:p>
    <w:p>
      <w:pPr>
        <w:jc w:val="left"/>
        <w:rPr>
          <w:rFonts w:hint="eastAsia" w:ascii="Times New Roman" w:hAnsi="Times New Roman" w:eastAsia="仿宋_GB2312" w:cs="仿宋_GB2312"/>
          <w:bCs/>
          <w:kern w:val="0"/>
          <w:sz w:val="32"/>
          <w:szCs w:val="32"/>
        </w:rPr>
      </w:pPr>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年度收、支总计575.99万元。与上年相比，增加109.44万元，增长23.46%，主要是因为</w:t>
      </w:r>
      <w:r>
        <w:rPr>
          <w:rFonts w:hint="eastAsia" w:ascii="仿宋_GB2312" w:hAnsi="仿宋_GB2312" w:eastAsia="仿宋_GB2312" w:cs="仿宋_GB2312"/>
          <w:sz w:val="32"/>
          <w:szCs w:val="32"/>
          <w:lang w:eastAsia="zh-CN"/>
        </w:rPr>
        <w:t>人员增加，相关人员经费增加。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年度收入合计575.99万元，其中：财政拨款收入</w:t>
      </w:r>
      <w:r>
        <w:rPr>
          <w:rFonts w:hint="eastAsia" w:ascii="仿宋_GB2312" w:hAnsi="仿宋_GB2312" w:eastAsia="仿宋_GB2312" w:cs="仿宋_GB2312"/>
          <w:sz w:val="32"/>
          <w:szCs w:val="32"/>
          <w:lang w:val="en-US" w:eastAsia="zh-CN"/>
        </w:rPr>
        <w:t>572.66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99.42</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3.33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0.58</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年度支出合计576.00万元，其中：基本支出327.71万元，</w:t>
      </w:r>
      <w:r>
        <w:rPr>
          <w:rFonts w:hint="eastAsia" w:ascii="仿宋_GB2312" w:hAnsi="仿宋_GB2312" w:eastAsia="仿宋_GB2312" w:cs="仿宋_GB2312"/>
          <w:sz w:val="32"/>
          <w:szCs w:val="32"/>
          <w:highlight w:val="none"/>
        </w:rPr>
        <w:t>占56.</w:t>
      </w:r>
      <w:r>
        <w:rPr>
          <w:rFonts w:hint="eastAsia" w:ascii="仿宋_GB2312" w:hAnsi="仿宋_GB2312" w:eastAsia="仿宋_GB2312" w:cs="仿宋_GB2312"/>
          <w:sz w:val="32"/>
          <w:szCs w:val="32"/>
          <w:highlight w:val="none"/>
          <w:lang w:val="en-US" w:eastAsia="zh-CN"/>
        </w:rPr>
        <w:t>89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项目支出248.29万元，</w:t>
      </w:r>
      <w:r>
        <w:rPr>
          <w:rFonts w:hint="eastAsia" w:ascii="仿宋_GB2312" w:hAnsi="仿宋_GB2312" w:eastAsia="仿宋_GB2312" w:cs="仿宋_GB2312"/>
          <w:sz w:val="32"/>
          <w:szCs w:val="32"/>
          <w:highlight w:val="none"/>
        </w:rPr>
        <w:t>占43.1</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%；上</w:t>
      </w:r>
      <w:r>
        <w:rPr>
          <w:rFonts w:hint="eastAsia" w:ascii="仿宋_GB2312" w:hAnsi="仿宋_GB2312" w:eastAsia="仿宋_GB2312" w:cs="仿宋_GB2312"/>
          <w:sz w:val="32"/>
          <w:szCs w:val="32"/>
        </w:rPr>
        <w:t>缴上级支出</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年度财政拨款收、支总计572.66万元，与上年相比，增加146.15万元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增长34.27%，主要是因为</w:t>
      </w:r>
      <w:r>
        <w:rPr>
          <w:rFonts w:hint="eastAsia" w:ascii="仿宋_GB2312" w:hAnsi="仿宋_GB2312" w:eastAsia="仿宋_GB2312" w:cs="仿宋_GB2312"/>
          <w:sz w:val="32"/>
          <w:szCs w:val="32"/>
          <w:lang w:eastAsia="zh-CN"/>
        </w:rPr>
        <w:t>人员增加，相关人员经费增加。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年度财政拨款支出572.66万元，占本年支出合计的99.42%，与上年相比，财政拨款支出增加146.15万元，增长34.27%，主要是因为</w:t>
      </w:r>
      <w:r>
        <w:rPr>
          <w:rFonts w:hint="eastAsia" w:ascii="仿宋_GB2312" w:hAnsi="仿宋_GB2312" w:eastAsia="仿宋_GB2312" w:cs="仿宋_GB2312"/>
          <w:sz w:val="32"/>
          <w:szCs w:val="32"/>
          <w:lang w:eastAsia="zh-CN"/>
        </w:rPr>
        <w:t>人员增加，相关人员经费增加。</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年度财政拨款支出572.66万元，主要用于以下方面：一般公共服务支出</w:t>
      </w:r>
      <w:r>
        <w:rPr>
          <w:rFonts w:hint="eastAsia" w:ascii="仿宋_GB2312" w:hAnsi="仿宋_GB2312" w:eastAsia="仿宋_GB2312" w:cs="仿宋_GB2312"/>
          <w:sz w:val="32"/>
          <w:szCs w:val="32"/>
          <w:highlight w:val="none"/>
        </w:rPr>
        <w:t>540.7</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，占94.43%；社会保障和就业支出14.15万元，占2.47%；卫生健康支出6.89万元，占1.20%；住房保障支出10.90万元，占1.90%</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年度财政拨款支出年初预算数为298.90万元，支出决算数为572.66万元，完成年初预算的191.59%，其中：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1、一般公共服务支出（类）商贸事务（款）招商引资（项）</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年初预算为0.00万元，支出决算为5.00万元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年初未做预算，年中追加</w:t>
      </w:r>
      <w:r>
        <w:rPr>
          <w:rFonts w:hint="eastAsia" w:ascii="仿宋_GB2312" w:hAnsi="仿宋_GB2312" w:eastAsia="仿宋_GB2312" w:cs="仿宋_GB2312"/>
          <w:sz w:val="32"/>
          <w:szCs w:val="32"/>
        </w:rPr>
        <w:t>招商引资</w:t>
      </w:r>
      <w:r>
        <w:rPr>
          <w:rFonts w:hint="eastAsia" w:ascii="仿宋_GB2312" w:hAnsi="仿宋_GB2312" w:eastAsia="仿宋_GB2312" w:cs="仿宋_GB2312"/>
          <w:sz w:val="32"/>
          <w:szCs w:val="32"/>
          <w:lang w:eastAsia="zh-CN"/>
        </w:rPr>
        <w:t>支出。</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2、一般公共服务支出（类）港澳台事务（款）行政运行（项）</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年初预算为0.00万元，支出决算为2.35万元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年初未做预算，年中追加</w:t>
      </w:r>
      <w:r>
        <w:rPr>
          <w:rFonts w:hint="eastAsia" w:ascii="仿宋_GB2312" w:hAnsi="仿宋_GB2312" w:eastAsia="仿宋_GB2312" w:cs="仿宋_GB2312"/>
          <w:sz w:val="32"/>
          <w:szCs w:val="32"/>
        </w:rPr>
        <w:t>港澳台事务</w:t>
      </w:r>
      <w:r>
        <w:rPr>
          <w:rFonts w:hint="eastAsia" w:ascii="仿宋_GB2312" w:hAnsi="仿宋_GB2312" w:eastAsia="仿宋_GB2312" w:cs="仿宋_GB2312"/>
          <w:sz w:val="32"/>
          <w:szCs w:val="32"/>
          <w:lang w:eastAsia="zh-CN"/>
        </w:rPr>
        <w:t>支出。</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3、一般公共服务支出（类）民主党派及工商联事务（款）行政运行（项）</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年初预算为194.32万元，支出决算为290.25万元，完成年初预算的149.37%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年初未做预算，年中追加</w:t>
      </w:r>
      <w:r>
        <w:rPr>
          <w:rFonts w:hint="eastAsia" w:ascii="仿宋_GB2312" w:hAnsi="仿宋_GB2312" w:eastAsia="仿宋_GB2312" w:cs="仿宋_GB2312"/>
          <w:sz w:val="32"/>
          <w:szCs w:val="32"/>
        </w:rPr>
        <w:t>民主党派及工商联事务</w:t>
      </w:r>
      <w:r>
        <w:rPr>
          <w:rFonts w:hint="eastAsia" w:ascii="仿宋_GB2312" w:hAnsi="仿宋_GB2312" w:eastAsia="仿宋_GB2312" w:cs="仿宋_GB2312"/>
          <w:sz w:val="32"/>
          <w:szCs w:val="32"/>
          <w:lang w:eastAsia="zh-CN"/>
        </w:rPr>
        <w:t>支出。</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4、一般公共服务支出（类）民主党派及工商联事务（款）一般行政管理事务（项）</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年初预算为61.50万元，支出决算为61.95万元，完成年初预算的100.73%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决算数大于年初预算数的主要原因是：民主党派及工商联事务</w:t>
      </w:r>
      <w:r>
        <w:rPr>
          <w:rFonts w:hint="eastAsia" w:ascii="仿宋_GB2312" w:hAnsi="仿宋_GB2312" w:eastAsia="仿宋_GB2312" w:cs="仿宋_GB2312"/>
          <w:sz w:val="32"/>
          <w:szCs w:val="32"/>
          <w:lang w:eastAsia="zh-CN"/>
        </w:rPr>
        <w:t>较多。</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5、一般公共服务支出（类）民主党派及工商联事务（款）其他民主党派及工商联事务支出（项）</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年初预算为0.00万元，支出决算为181.18万元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决算数大于年初预算数的主要原因是：民主党派及工商联事务</w:t>
      </w:r>
      <w:r>
        <w:rPr>
          <w:rFonts w:hint="eastAsia" w:ascii="仿宋_GB2312" w:hAnsi="仿宋_GB2312" w:eastAsia="仿宋_GB2312" w:cs="仿宋_GB2312"/>
          <w:sz w:val="32"/>
          <w:szCs w:val="32"/>
          <w:lang w:eastAsia="zh-CN"/>
        </w:rPr>
        <w:t>较多。</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6、社会保障和就业支出（类）行政事业单位养老支出（款）机关事业单位基本养老保险缴费支出（项）</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年初预算为14.15万元，支出决算为14.15万元，完成年初预算的100.00%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严格按照预算执行。</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7、卫生健康支出（类）行政事业单位医疗（款）行政单位医疗（项）</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年初预算为11.33万元，支出决算为6.89万元，完成年初预算的60.81%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年内人员变动，导致相关人员经费变动。</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8、卫生健康支出（类）行政事业单位医疗（款）公务员医疗补助（项）</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年初预算为3.54万元，支出决算为0.00万元，完成年初预算的0.00%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会计核算时，未细化到具体支出。</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9、住房保障支出（类）住房改革支出（款）住房公积金（项）</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年初预算为14.05万元，支出决算为10.90万元，完成年初预算的77.58%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年内人员变动，导致相关人员经费变动。</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年度财政拨款基本支出324.38万元，其中：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rPr>
        <w:t>283.57万元，占基本支出的</w:t>
      </w:r>
      <w:r>
        <w:rPr>
          <w:rFonts w:hint="eastAsia" w:ascii="仿宋_GB2312" w:hAnsi="仿宋_GB2312" w:eastAsia="仿宋_GB2312" w:cs="仿宋_GB2312"/>
          <w:sz w:val="32"/>
          <w:szCs w:val="32"/>
          <w:lang w:val="en-US" w:eastAsia="zh-CN"/>
        </w:rPr>
        <w:t>87.42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主要包括基本工资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伙食补助费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职工基本医疗保险缴费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其他工资福利支出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退休费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其他对个人和家庭的补助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rPr>
        <w:t>40.81万元，占基本支出的</w:t>
      </w:r>
      <w:r>
        <w:rPr>
          <w:rFonts w:hint="eastAsia" w:ascii="仿宋_GB2312" w:hAnsi="仿宋_GB2312" w:eastAsia="仿宋_GB2312" w:cs="仿宋_GB2312"/>
          <w:sz w:val="32"/>
          <w:szCs w:val="32"/>
          <w:lang w:val="en-US" w:eastAsia="zh-CN"/>
        </w:rPr>
        <w:t>12.58</w:t>
      </w:r>
      <w:r>
        <w:rPr>
          <w:rFonts w:hint="eastAsia" w:ascii="仿宋_GB2312" w:hAnsi="仿宋_GB2312" w:eastAsia="仿宋_GB2312" w:cs="仿宋_GB2312"/>
          <w:sz w:val="32"/>
          <w:szCs w:val="32"/>
        </w:rPr>
        <w:t>%，主要包括办公费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维修（护）费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租赁费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会议费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工会经费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其他商品和服务支出。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2023年度国有资本经营预算财政拨款收入0.00万元；年初结转和结余0.00万元；支出0.00万元；年末结转和结余0.00万元。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三公”经费财政拨款支出预算为</w:t>
      </w:r>
      <w:r>
        <w:rPr>
          <w:rFonts w:hint="eastAsia" w:ascii="仿宋_GB2312" w:hAnsi="仿宋_GB2312" w:eastAsia="仿宋_GB2312" w:cs="仿宋_GB2312"/>
          <w:color w:val="auto"/>
          <w:sz w:val="32"/>
          <w:szCs w:val="32"/>
          <w:highlight w:val="none"/>
          <w:lang w:val="en-US" w:eastAsia="zh-CN"/>
        </w:rPr>
        <w:t>5.02</w:t>
      </w:r>
      <w:r>
        <w:rPr>
          <w:rFonts w:hint="eastAsia" w:ascii="仿宋_GB2312" w:hAnsi="仿宋_GB2312" w:eastAsia="仿宋_GB2312" w:cs="仿宋_GB2312"/>
          <w:color w:val="auto"/>
          <w:sz w:val="32"/>
          <w:szCs w:val="32"/>
          <w:highlight w:val="none"/>
        </w:rPr>
        <w:t>万元，支出决算为5.02万元，完成预算的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val="en-US" w:eastAsia="zh-CN"/>
        </w:rPr>
        <w:t>等于</w:t>
      </w:r>
      <w:r>
        <w:rPr>
          <w:rFonts w:hint="eastAsia" w:ascii="仿宋_GB2312" w:hAnsi="仿宋_GB2312" w:eastAsia="仿宋_GB2312" w:cs="仿宋_GB2312"/>
          <w:color w:val="auto"/>
          <w:sz w:val="32"/>
          <w:szCs w:val="32"/>
          <w:highlight w:val="none"/>
        </w:rPr>
        <w:t>预算数的主要原因是</w:t>
      </w:r>
      <w:r>
        <w:rPr>
          <w:rFonts w:hint="eastAsia" w:ascii="仿宋_GB2312" w:hAnsi="仿宋_GB2312" w:eastAsia="仿宋_GB2312" w:cs="仿宋_GB2312"/>
          <w:color w:val="auto"/>
          <w:sz w:val="32"/>
          <w:szCs w:val="32"/>
          <w:highlight w:val="none"/>
          <w:lang w:eastAsia="zh-CN"/>
        </w:rPr>
        <w:t>严格控制“三公”经费，</w:t>
      </w:r>
      <w:r>
        <w:rPr>
          <w:rFonts w:hint="eastAsia" w:ascii="仿宋_GB2312" w:hAnsi="仿宋_GB2312" w:eastAsia="仿宋_GB2312" w:cs="仿宋_GB2312"/>
          <w:color w:val="auto"/>
          <w:sz w:val="32"/>
          <w:szCs w:val="32"/>
          <w:highlight w:val="none"/>
        </w:rPr>
        <w:t>与上年相比</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rPr>
        <w:t>21.36万元，减少80.97%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减少的主要原因是</w:t>
      </w:r>
      <w:r>
        <w:rPr>
          <w:rFonts w:hint="eastAsia" w:ascii="仿宋_GB2312" w:hAnsi="仿宋_GB2312" w:eastAsia="仿宋_GB2312" w:cs="仿宋_GB2312"/>
          <w:color w:val="auto"/>
          <w:sz w:val="32"/>
          <w:szCs w:val="32"/>
          <w:highlight w:val="none"/>
          <w:lang w:eastAsia="zh-CN"/>
        </w:rPr>
        <w:t>本年未支付</w:t>
      </w:r>
      <w:r>
        <w:rPr>
          <w:rFonts w:hint="eastAsia" w:ascii="仿宋_GB2312" w:hAnsi="仿宋_GB2312" w:eastAsia="仿宋_GB2312" w:cs="仿宋_GB2312"/>
          <w:b w:val="0"/>
          <w:bCs/>
          <w:color w:val="auto"/>
          <w:kern w:val="0"/>
          <w:sz w:val="32"/>
          <w:szCs w:val="32"/>
          <w:highlight w:val="none"/>
          <w:lang w:val="en-US" w:eastAsia="zh-CN" w:bidi="ar-SA"/>
        </w:rPr>
        <w:t>因公出国（境）费用，本年</w:t>
      </w:r>
      <w:r>
        <w:rPr>
          <w:rFonts w:hint="eastAsia" w:ascii="仿宋_GB2312" w:hAnsi="仿宋_GB2312" w:eastAsia="仿宋_GB2312" w:cs="仿宋_GB2312"/>
          <w:color w:val="auto"/>
          <w:sz w:val="32"/>
          <w:szCs w:val="32"/>
          <w:highlight w:val="none"/>
        </w:rPr>
        <w:t>因公出国（境）费</w:t>
      </w:r>
      <w:r>
        <w:rPr>
          <w:rFonts w:hint="eastAsia" w:ascii="仿宋_GB2312" w:hAnsi="仿宋_GB2312" w:eastAsia="仿宋_GB2312" w:cs="仿宋_GB2312"/>
          <w:b w:val="0"/>
          <w:bCs/>
          <w:color w:val="auto"/>
          <w:kern w:val="0"/>
          <w:sz w:val="32"/>
          <w:szCs w:val="32"/>
          <w:highlight w:val="none"/>
          <w:lang w:val="en-US" w:eastAsia="zh-CN" w:bidi="ar-SA"/>
        </w:rPr>
        <w:t>减少，去年按照计划购置公务用车，本年购置费减少</w:t>
      </w:r>
      <w:r>
        <w:rPr>
          <w:rFonts w:hint="eastAsia" w:ascii="仿宋_GB2312" w:hAnsi="仿宋_GB2312" w:eastAsia="仿宋_GB2312" w:cs="仿宋_GB2312"/>
          <w:color w:val="auto"/>
          <w:sz w:val="32"/>
          <w:szCs w:val="32"/>
          <w:highlight w:val="none"/>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b/>
          <w:bCs/>
          <w:i/>
          <w:color w:val="auto"/>
          <w:sz w:val="32"/>
          <w:szCs w:val="32"/>
          <w:highlight w:val="none"/>
          <w:lang w:val="en-US"/>
        </w:rPr>
      </w:pPr>
      <w:r>
        <w:rPr>
          <w:rFonts w:hint="eastAsia" w:ascii="仿宋_GB2312" w:hAnsi="仿宋_GB2312" w:eastAsia="仿宋_GB2312" w:cs="仿宋_GB2312"/>
          <w:color w:val="auto"/>
          <w:sz w:val="32"/>
          <w:szCs w:val="32"/>
          <w:highlight w:val="none"/>
        </w:rPr>
        <w:t>因公出国（境）费支出预算为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万元，决算数等于预算数的主要原因是</w:t>
      </w:r>
      <w:r>
        <w:rPr>
          <w:rFonts w:hint="eastAsia" w:ascii="仿宋_GB2312" w:hAnsi="仿宋_GB2312" w:eastAsia="仿宋_GB2312" w:cs="仿宋_GB2312"/>
          <w:color w:val="auto"/>
          <w:sz w:val="32"/>
          <w:szCs w:val="32"/>
          <w:highlight w:val="none"/>
          <w:lang w:val="en-US" w:eastAsia="zh-CN"/>
        </w:rPr>
        <w:t>本年无</w:t>
      </w:r>
      <w:r>
        <w:rPr>
          <w:rFonts w:hint="eastAsia" w:ascii="仿宋_GB2312" w:hAnsi="仿宋_GB2312" w:eastAsia="仿宋_GB2312" w:cs="仿宋_GB2312"/>
          <w:b w:val="0"/>
          <w:bCs/>
          <w:color w:val="auto"/>
          <w:kern w:val="0"/>
          <w:sz w:val="32"/>
          <w:szCs w:val="32"/>
          <w:highlight w:val="none"/>
          <w:lang w:val="en-US" w:eastAsia="zh-CN" w:bidi="ar-SA"/>
        </w:rPr>
        <w:t>因公出国（境）费用。与上年相比无变化，主要原因是未</w:t>
      </w:r>
      <w:bookmarkStart w:id="0" w:name="_GoBack"/>
      <w:r>
        <w:rPr>
          <w:rFonts w:hint="eastAsia" w:ascii="仿宋_GB2312" w:hAnsi="仿宋_GB2312" w:eastAsia="仿宋_GB2312" w:cs="仿宋_GB2312"/>
          <w:b w:val="0"/>
          <w:bCs/>
          <w:color w:val="auto"/>
          <w:kern w:val="0"/>
          <w:sz w:val="32"/>
          <w:szCs w:val="32"/>
          <w:highlight w:val="none"/>
          <w:lang w:val="en-US" w:eastAsia="zh-CN" w:bidi="ar-SA"/>
        </w:rPr>
        <w:t>安排外事出访活动</w:t>
      </w:r>
      <w:bookmarkEnd w:id="0"/>
      <w:r>
        <w:rPr>
          <w:rFonts w:hint="eastAsia" w:ascii="仿宋_GB2312" w:hAnsi="仿宋_GB2312" w:eastAsia="仿宋_GB2312" w:cs="仿宋_GB2312"/>
          <w:b w:val="0"/>
          <w:bCs/>
          <w:color w:val="auto"/>
          <w:kern w:val="0"/>
          <w:sz w:val="32"/>
          <w:szCs w:val="32"/>
          <w:highlight w:val="none"/>
          <w:lang w:val="en-US" w:eastAsia="zh-CN" w:bidi="ar-SA"/>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公务接待费支出预算为</w:t>
      </w:r>
      <w:r>
        <w:rPr>
          <w:rFonts w:hint="eastAsia" w:ascii="仿宋_GB2312" w:hAnsi="仿宋_GB2312" w:eastAsia="仿宋_GB2312" w:cs="仿宋_GB2312"/>
          <w:color w:val="auto"/>
          <w:sz w:val="32"/>
          <w:szCs w:val="32"/>
          <w:highlight w:val="none"/>
          <w:lang w:val="en-US" w:eastAsia="zh-CN"/>
        </w:rPr>
        <w:t>2.89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2.89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val="en-US" w:eastAsia="zh-CN"/>
        </w:rPr>
        <w:t>等于</w:t>
      </w:r>
      <w:r>
        <w:rPr>
          <w:rFonts w:hint="eastAsia" w:ascii="仿宋_GB2312" w:hAnsi="仿宋_GB2312" w:eastAsia="仿宋_GB2312" w:cs="仿宋_GB2312"/>
          <w:color w:val="auto"/>
          <w:sz w:val="32"/>
          <w:szCs w:val="32"/>
          <w:highlight w:val="none"/>
        </w:rPr>
        <w:t>预算数的主要原因是</w:t>
      </w:r>
      <w:r>
        <w:rPr>
          <w:rFonts w:hint="eastAsia" w:ascii="仿宋_GB2312" w:hAnsi="仿宋_GB2312" w:eastAsia="仿宋_GB2312" w:cs="仿宋_GB2312"/>
          <w:color w:val="auto"/>
          <w:sz w:val="32"/>
          <w:szCs w:val="32"/>
          <w:highlight w:val="none"/>
          <w:lang w:eastAsia="zh-CN"/>
        </w:rPr>
        <w:t>落实中央八项规定精神，严格控制“三公”经费</w:t>
      </w:r>
      <w:r>
        <w:rPr>
          <w:rFonts w:hint="eastAsia" w:ascii="仿宋_GB2312" w:hAnsi="仿宋_GB2312" w:eastAsia="仿宋_GB2312" w:cs="仿宋_GB2312"/>
          <w:color w:val="auto"/>
          <w:sz w:val="32"/>
          <w:szCs w:val="32"/>
          <w:highlight w:val="none"/>
        </w:rPr>
        <w:t>，与上年相比增加0.27万元，增长10.31%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增长的主要原因是</w:t>
      </w:r>
      <w:r>
        <w:rPr>
          <w:rFonts w:hint="eastAsia" w:ascii="仿宋_GB2312" w:hAnsi="仿宋_GB2312" w:eastAsia="仿宋_GB2312" w:cs="仿宋_GB2312"/>
          <w:color w:val="auto"/>
          <w:sz w:val="32"/>
          <w:szCs w:val="32"/>
          <w:highlight w:val="none"/>
          <w:lang w:eastAsia="zh-CN"/>
        </w:rPr>
        <w:t>公务接待活动增加</w:t>
      </w:r>
      <w:r>
        <w:rPr>
          <w:rFonts w:hint="eastAsia" w:ascii="仿宋_GB2312" w:hAnsi="仿宋_GB2312" w:eastAsia="仿宋_GB2312" w:cs="仿宋_GB2312"/>
          <w:color w:val="auto"/>
          <w:sz w:val="32"/>
          <w:szCs w:val="32"/>
          <w:highlight w:val="none"/>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公务用车购置费支出预算为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于预算数的主要原因是</w:t>
      </w:r>
      <w:r>
        <w:rPr>
          <w:rFonts w:hint="eastAsia" w:ascii="仿宋_GB2312" w:hAnsi="仿宋_GB2312" w:eastAsia="仿宋_GB2312" w:cs="仿宋_GB2312"/>
          <w:color w:val="auto"/>
          <w:sz w:val="32"/>
          <w:szCs w:val="32"/>
          <w:highlight w:val="none"/>
          <w:lang w:eastAsia="zh-CN"/>
        </w:rPr>
        <w:t>本年</w:t>
      </w:r>
      <w:r>
        <w:rPr>
          <w:rFonts w:hint="eastAsia" w:ascii="仿宋_GB2312" w:hAnsi="仿宋_GB2312" w:eastAsia="仿宋_GB2312" w:cs="仿宋_GB2312"/>
          <w:b w:val="0"/>
          <w:bCs/>
          <w:color w:val="auto"/>
          <w:kern w:val="0"/>
          <w:sz w:val="32"/>
          <w:szCs w:val="32"/>
          <w:highlight w:val="none"/>
          <w:lang w:val="en-US" w:eastAsia="zh-CN" w:bidi="ar-SA"/>
        </w:rPr>
        <w:t>未购置公务用车</w:t>
      </w:r>
      <w:r>
        <w:rPr>
          <w:rFonts w:hint="eastAsia" w:ascii="仿宋_GB2312" w:hAnsi="仿宋_GB2312" w:eastAsia="仿宋_GB2312" w:cs="仿宋_GB2312"/>
          <w:color w:val="auto"/>
          <w:sz w:val="32"/>
          <w:szCs w:val="32"/>
          <w:highlight w:val="none"/>
        </w:rPr>
        <w:t>，与上年相比减少19.96万元，减少100.00%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减少的主要原因是</w:t>
      </w:r>
      <w:r>
        <w:rPr>
          <w:rFonts w:hint="eastAsia" w:ascii="仿宋_GB2312" w:hAnsi="仿宋_GB2312" w:eastAsia="仿宋_GB2312" w:cs="仿宋_GB2312"/>
          <w:b w:val="0"/>
          <w:bCs/>
          <w:color w:val="auto"/>
          <w:kern w:val="0"/>
          <w:sz w:val="32"/>
          <w:szCs w:val="32"/>
          <w:highlight w:val="none"/>
          <w:lang w:val="en-US" w:eastAsia="zh-CN" w:bidi="ar-SA"/>
        </w:rPr>
        <w:t>本年未购置公务用车</w:t>
      </w:r>
      <w:r>
        <w:rPr>
          <w:rFonts w:hint="eastAsia" w:ascii="仿宋_GB2312" w:hAnsi="仿宋_GB2312" w:eastAsia="仿宋_GB2312" w:cs="仿宋_GB2312"/>
          <w:color w:val="auto"/>
          <w:sz w:val="32"/>
          <w:szCs w:val="32"/>
          <w:highlight w:val="none"/>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公务用车运行维护费支出预算为</w:t>
      </w:r>
      <w:r>
        <w:rPr>
          <w:rFonts w:hint="eastAsia" w:ascii="仿宋_GB2312" w:hAnsi="仿宋_GB2312" w:eastAsia="仿宋_GB2312" w:cs="仿宋_GB2312"/>
          <w:color w:val="auto"/>
          <w:sz w:val="32"/>
          <w:szCs w:val="32"/>
          <w:highlight w:val="none"/>
          <w:lang w:val="en-US" w:eastAsia="zh-CN"/>
        </w:rPr>
        <w:t>2.13</w:t>
      </w:r>
      <w:r>
        <w:rPr>
          <w:rFonts w:hint="eastAsia" w:ascii="仿宋_GB2312" w:hAnsi="仿宋_GB2312" w:eastAsia="仿宋_GB2312" w:cs="仿宋_GB2312"/>
          <w:color w:val="auto"/>
          <w:sz w:val="32"/>
          <w:szCs w:val="32"/>
          <w:highlight w:val="none"/>
        </w:rPr>
        <w:t>万元，支出决算为2.13万元，完成预算的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val="en-US" w:eastAsia="zh-CN"/>
        </w:rPr>
        <w:t>等于</w:t>
      </w:r>
      <w:r>
        <w:rPr>
          <w:rFonts w:hint="eastAsia" w:ascii="仿宋_GB2312" w:hAnsi="仿宋_GB2312" w:eastAsia="仿宋_GB2312" w:cs="仿宋_GB2312"/>
          <w:color w:val="auto"/>
          <w:sz w:val="32"/>
          <w:szCs w:val="32"/>
          <w:highlight w:val="none"/>
        </w:rPr>
        <w:t>预算数的主要原因是“过紧日子”</w:t>
      </w:r>
      <w:r>
        <w:rPr>
          <w:rFonts w:hint="eastAsia" w:ascii="仿宋_GB2312" w:hAnsi="仿宋_GB2312" w:eastAsia="仿宋_GB2312" w:cs="仿宋_GB2312"/>
          <w:color w:val="auto"/>
          <w:sz w:val="32"/>
          <w:szCs w:val="32"/>
          <w:highlight w:val="none"/>
          <w:lang w:eastAsia="zh-CN"/>
        </w:rPr>
        <w:t>，落实中央八项规定精神，严格控制“三公”经费</w:t>
      </w:r>
      <w:r>
        <w:rPr>
          <w:rFonts w:hint="eastAsia" w:ascii="仿宋_GB2312" w:hAnsi="仿宋_GB2312" w:eastAsia="仿宋_GB2312" w:cs="仿宋_GB2312"/>
          <w:color w:val="auto"/>
          <w:sz w:val="32"/>
          <w:szCs w:val="32"/>
          <w:highlight w:val="none"/>
        </w:rPr>
        <w:t>，与上年相比减少1.67万元，减少43.95%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减少的主要原因是“过紧日子”</w:t>
      </w:r>
      <w:r>
        <w:rPr>
          <w:rFonts w:hint="eastAsia" w:ascii="仿宋_GB2312" w:hAnsi="仿宋_GB2312" w:eastAsia="仿宋_GB2312" w:cs="仿宋_GB2312"/>
          <w:color w:val="auto"/>
          <w:sz w:val="32"/>
          <w:szCs w:val="32"/>
          <w:highlight w:val="none"/>
          <w:lang w:eastAsia="zh-CN"/>
        </w:rPr>
        <w:t>，落实中央八项规定精神，严格控制“三公”经费</w:t>
      </w:r>
      <w:r>
        <w:rPr>
          <w:rFonts w:hint="eastAsia" w:ascii="仿宋_GB2312" w:hAnsi="仿宋_GB2312" w:eastAsia="仿宋_GB2312" w:cs="仿宋_GB2312"/>
          <w:color w:val="auto"/>
          <w:sz w:val="32"/>
          <w:szCs w:val="32"/>
          <w:highlight w:val="none"/>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2.89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57.57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42.43</w:t>
      </w:r>
      <w:r>
        <w:rPr>
          <w:rFonts w:hint="eastAsia" w:ascii="仿宋_GB2312" w:hAnsi="仿宋_GB2312" w:eastAsia="仿宋_GB2312" w:cs="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b/>
          <w:bCs/>
          <w:i/>
          <w:color w:val="auto"/>
          <w:sz w:val="32"/>
          <w:szCs w:val="32"/>
          <w:lang w:val="en-US"/>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因公出国（境）费支出决算为</w:t>
      </w:r>
      <w:r>
        <w:rPr>
          <w:rFonts w:hint="eastAsia" w:ascii="仿宋_GB2312" w:hAnsi="仿宋_GB2312" w:eastAsia="仿宋_GB2312" w:cs="仿宋_GB2312"/>
          <w:color w:val="auto"/>
          <w:sz w:val="32"/>
          <w:szCs w:val="32"/>
          <w:lang w:eastAsia="zh-CN"/>
        </w:rPr>
        <w:t>0.00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color w:val="auto"/>
          <w:kern w:val="0"/>
          <w:sz w:val="32"/>
          <w:szCs w:val="32"/>
          <w:lang w:val="en-US" w:eastAsia="zh-CN" w:bidi="ar-SA"/>
        </w:rPr>
        <w:t>全年安排因公出国（境）团组1个，累计5人次，我单位2023年度因公出国（境）费支出主要原因是：因当时会计休产假，临时在外聘请的会计人员，出国（境）预算金额做得不够精细，导致2023年在支付出国境费用时无法支付，后经请示报告相关单位领导批准，年末追加了出国境预算，于2024年2月支付成功。</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2、公务接待费支出决算为</w:t>
      </w:r>
      <w:r>
        <w:rPr>
          <w:rFonts w:hint="eastAsia" w:ascii="仿宋_GB2312" w:hAnsi="仿宋_GB2312" w:eastAsia="仿宋_GB2312" w:cs="仿宋_GB2312"/>
          <w:color w:val="auto"/>
          <w:sz w:val="32"/>
          <w:szCs w:val="32"/>
          <w:lang w:val="en-US" w:eastAsia="zh-CN"/>
        </w:rPr>
        <w:t>2.89</w:t>
      </w:r>
      <w:r>
        <w:rPr>
          <w:rFonts w:hint="eastAsia" w:ascii="仿宋_GB2312" w:hAnsi="仿宋_GB2312" w:eastAsia="仿宋_GB2312" w:cs="仿宋_GB2312"/>
          <w:color w:val="auto"/>
          <w:sz w:val="32"/>
          <w:szCs w:val="32"/>
        </w:rPr>
        <w:t>万元，全年共接待来访团组</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个、来宾</w:t>
      </w:r>
      <w:r>
        <w:rPr>
          <w:rFonts w:hint="eastAsia" w:ascii="仿宋_GB2312" w:hAnsi="仿宋_GB2312" w:eastAsia="仿宋_GB2312" w:cs="仿宋_GB2312"/>
          <w:color w:val="auto"/>
          <w:sz w:val="32"/>
          <w:szCs w:val="32"/>
          <w:lang w:val="en-US" w:eastAsia="zh-CN"/>
        </w:rPr>
        <w:t>160</w:t>
      </w:r>
      <w:r>
        <w:rPr>
          <w:rFonts w:hint="eastAsia" w:ascii="仿宋_GB2312" w:hAnsi="仿宋_GB2312" w:eastAsia="仿宋_GB2312" w:cs="仿宋_GB2312"/>
          <w:color w:val="auto"/>
          <w:sz w:val="32"/>
          <w:szCs w:val="32"/>
        </w:rPr>
        <w:t>人次，主要是</w:t>
      </w:r>
      <w:r>
        <w:rPr>
          <w:rFonts w:hint="eastAsia" w:ascii="Times New Roman" w:hAnsi="Times New Roman" w:eastAsia="仿宋_GB2312"/>
          <w:sz w:val="32"/>
          <w:szCs w:val="32"/>
          <w:lang w:eastAsia="zh-CN"/>
        </w:rPr>
        <w:t>调研活动和客商来岳考察</w:t>
      </w:r>
      <w:r>
        <w:rPr>
          <w:rFonts w:hint="eastAsia" w:ascii="仿宋_GB2312" w:hAnsi="仿宋_GB2312" w:eastAsia="仿宋_GB2312" w:cs="仿宋_GB2312"/>
          <w:color w:val="auto"/>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color w:val="auto"/>
          <w:sz w:val="32"/>
          <w:szCs w:val="32"/>
        </w:rPr>
        <w:t>3、公务用车购置费及运行维护费支出决算为</w:t>
      </w:r>
      <w:r>
        <w:rPr>
          <w:rFonts w:hint="eastAsia" w:ascii="仿宋_GB2312" w:hAnsi="仿宋_GB2312" w:eastAsia="仿宋_GB2312" w:cs="仿宋_GB2312"/>
          <w:color w:val="auto"/>
          <w:sz w:val="32"/>
          <w:szCs w:val="32"/>
          <w:lang w:val="en-US" w:eastAsia="zh-CN"/>
        </w:rPr>
        <w:t>2.13</w:t>
      </w:r>
      <w:r>
        <w:rPr>
          <w:rFonts w:hint="eastAsia" w:ascii="仿宋_GB2312" w:hAnsi="仿宋_GB2312" w:eastAsia="仿宋_GB2312" w:cs="仿宋_GB2312"/>
          <w:color w:val="auto"/>
          <w:sz w:val="32"/>
          <w:szCs w:val="32"/>
        </w:rPr>
        <w:t>万元，其中：公务用车购置费</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val="0"/>
          <w:bCs/>
          <w:color w:val="auto"/>
          <w:kern w:val="0"/>
          <w:sz w:val="32"/>
          <w:szCs w:val="32"/>
          <w:lang w:val="en-US" w:eastAsia="zh-CN" w:bidi="ar-SA"/>
        </w:rPr>
        <w:t>当年没有购置公务用车</w:t>
      </w:r>
      <w:r>
        <w:rPr>
          <w:rFonts w:hint="eastAsia" w:ascii="仿宋_GB2312" w:hAnsi="仿宋_GB2312" w:eastAsia="仿宋_GB2312" w:cs="仿宋_GB2312"/>
          <w:color w:val="auto"/>
          <w:sz w:val="32"/>
          <w:szCs w:val="32"/>
        </w:rPr>
        <w:t>。公务用车运行维护费</w:t>
      </w:r>
      <w:r>
        <w:rPr>
          <w:rFonts w:hint="eastAsia" w:ascii="仿宋_GB2312" w:hAnsi="仿宋_GB2312" w:eastAsia="仿宋_GB2312" w:cs="仿宋_GB2312"/>
          <w:color w:val="auto"/>
          <w:sz w:val="32"/>
          <w:szCs w:val="32"/>
          <w:lang w:eastAsia="zh-CN"/>
        </w:rPr>
        <w:t>0.00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，主要是</w:t>
      </w:r>
      <w:r>
        <w:rPr>
          <w:rFonts w:hint="eastAsia" w:ascii="Times New Roman" w:hAnsi="Times New Roman" w:eastAsia="仿宋_GB2312"/>
          <w:sz w:val="32"/>
          <w:szCs w:val="32"/>
          <w:lang w:eastAsia="zh-CN"/>
        </w:rPr>
        <w:t>油费、过路过桥费和维修保养等支出</w:t>
      </w:r>
      <w:r>
        <w:rPr>
          <w:rFonts w:hint="eastAsia" w:ascii="仿宋_GB2312" w:hAnsi="仿宋_GB2312" w:eastAsia="仿宋_GB2312" w:cs="仿宋_GB2312"/>
          <w:color w:val="auto"/>
          <w:sz w:val="32"/>
          <w:szCs w:val="32"/>
        </w:rPr>
        <w:t>，截</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年12月31日，我单位开支财政拨款的公务用车保有量为</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3"/>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年度机关运行经费支出40.81万元，比年初预算数减少1.57万元，降低3.70%。主要原因是：</w:t>
      </w:r>
      <w:r>
        <w:rPr>
          <w:rFonts w:hint="eastAsia" w:ascii="仿宋_GB2312" w:hAnsi="仿宋_GB2312" w:eastAsia="仿宋_GB2312" w:cs="仿宋_GB2312"/>
          <w:sz w:val="32"/>
          <w:szCs w:val="32"/>
          <w:lang w:eastAsia="zh-CN"/>
        </w:rPr>
        <w:t>合理控制办公经费支出</w:t>
      </w:r>
      <w:r>
        <w:rPr>
          <w:rFonts w:hint="eastAsia" w:ascii="楷体" w:hAnsi="楷体" w:eastAsia="楷体" w:cs="楷体"/>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3"/>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3年度，会议费年初预算2.00万元，支出决算为1.09万元，完成年初预算的54.50%。用于召开3次会议，</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人，内容为全市工商联系统工作会议</w:t>
      </w:r>
      <w:r>
        <w:rPr>
          <w:rFonts w:hint="eastAsia" w:ascii="仿宋_GB2312" w:hAnsi="仿宋_GB2312" w:eastAsia="仿宋_GB2312" w:cs="仿宋_GB2312"/>
          <w:sz w:val="32"/>
          <w:szCs w:val="32"/>
          <w:lang w:eastAsia="zh-CN"/>
        </w:rPr>
        <w:t>。</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培训费年初预算0.30万元，支出决算为0.26万元，完成年初预算的86.67%。用于开展2次培训，人数60人，内容为法律风险培训班和商协会业务培训。</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举办节庆、晚会、论坛、赛事活动年初预算0.00万元，支出决算为0.00万元。本部门无举办节庆、晚会、论坛、赛事等活动的预算和支出决算数。</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年度政府采购支出总额134.53万元，其中：政府采购货物支出22.58万元、政府采购工程支出1.85万元、政府采购服务支出110.10万元。授予中小企业合同金额134.53万元，占政府采购支出总额的</w:t>
      </w:r>
      <w:r>
        <w:rPr>
          <w:rFonts w:hint="eastAsia" w:ascii="仿宋_GB2312" w:hAnsi="仿宋_GB2312" w:eastAsia="仿宋_GB2312" w:cs="仿宋_GB2312"/>
          <w:sz w:val="32"/>
          <w:szCs w:val="32"/>
          <w:lang w:eastAsia="zh-CN"/>
        </w:rPr>
        <w:t>100.00</w:t>
      </w:r>
      <w:r>
        <w:rPr>
          <w:rFonts w:hint="eastAsia" w:ascii="仿宋_GB2312" w:hAnsi="仿宋_GB2312" w:eastAsia="仿宋_GB2312" w:cs="仿宋_GB2312"/>
          <w:sz w:val="32"/>
          <w:szCs w:val="32"/>
        </w:rPr>
        <w:t>%，其中：授予小微企业合同金额134.53万元，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100.00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eastAsia="zh-CN"/>
        </w:rPr>
        <w:t>100.00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eastAsia="zh-CN"/>
        </w:rPr>
        <w:t>100.00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eastAsia="zh-CN"/>
        </w:rPr>
        <w:t>100.00</w:t>
      </w:r>
      <w:r>
        <w:rPr>
          <w:rFonts w:hint="eastAsia" w:ascii="仿宋_GB2312" w:hAnsi="仿宋_GB2312" w:eastAsia="仿宋_GB2312" w:cs="仿宋_GB2312"/>
          <w:color w:val="auto"/>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辆，其他用车主要是一般公务用车；单位价值100万元以上设备</w:t>
      </w:r>
      <w:r>
        <w:rPr>
          <w:rFonts w:hint="eastAsia" w:ascii="仿宋_GB2312" w:hAnsi="仿宋_GB2312" w:eastAsia="仿宋_GB2312" w:cs="仿宋_GB2312"/>
          <w:color w:val="auto"/>
          <w:sz w:val="32"/>
          <w:szCs w:val="32"/>
          <w:lang w:eastAsia="zh-CN"/>
        </w:rPr>
        <w:t>（不含车辆）0</w:t>
      </w:r>
      <w:r>
        <w:rPr>
          <w:rFonts w:hint="eastAsia" w:ascii="仿宋_GB2312" w:hAnsi="仿宋_GB2312" w:eastAsia="仿宋_GB2312" w:cs="仿宋_GB2312"/>
          <w:color w:val="auto"/>
          <w:sz w:val="32"/>
          <w:szCs w:val="32"/>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572.66万元，政府性基金预算支出0.00万元，国有资本经营预算支出0.00万元。从评价情况来看，整体支出绩效评价中，2023年整体支出575.99万元，其中：基本支出327.71万元，项目支出248.28万元，本单位整体支出绩效自评综合评分100分，评价结果等次为优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组织对一般公共预算项目支出全面开展绩效自评，项目5个，共涉及资金61.71万元，占一般公共预算项目支出总额的</w:t>
      </w:r>
      <w:r>
        <w:rPr>
          <w:rFonts w:hint="eastAsia" w:ascii="仿宋_GB2312" w:hAnsi="仿宋_GB2312" w:eastAsia="仿宋_GB2312" w:cs="仿宋_GB2312"/>
          <w:b w:val="0"/>
          <w:bCs w:val="0"/>
          <w:color w:val="000000"/>
          <w:kern w:val="0"/>
          <w:sz w:val="32"/>
          <w:szCs w:val="32"/>
          <w:highlight w:val="none"/>
          <w:lang w:val="en-US" w:eastAsia="zh-CN" w:bidi="ar-SA"/>
        </w:rPr>
        <w:t>24.86%。</w:t>
      </w:r>
      <w:r>
        <w:rPr>
          <w:rFonts w:hint="eastAsia" w:ascii="仿宋_GB2312" w:hAnsi="仿宋_GB2312" w:eastAsia="仿宋_GB2312" w:cs="仿宋_GB2312"/>
          <w:b w:val="0"/>
          <w:bCs w:val="0"/>
          <w:color w:val="000000"/>
          <w:kern w:val="0"/>
          <w:sz w:val="32"/>
          <w:szCs w:val="32"/>
          <w:lang w:val="en-US" w:eastAsia="zh-CN" w:bidi="ar-SA"/>
        </w:rPr>
        <w:t>组织对政府性基金预算项目支出开展绩效自评，项目0个，共涉及资金0.00万元，占政府性基金预算项目支出总额的0.00%。组织对国有资本经营预算项目支出开展绩效自评，项目0个，共涉及资金0.00万元，占国有资本经营预算项目支出总额的0.00%。从评价情况来看，项目绩效自评得分100分，评价结果等次为优秀。</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100分。全年预算数为575.99万元，执行数为575.99万元，完成预算的100.00%。绩效目标完成情况：一是本年预算配置控制较好，财政供养人员控制在预算编制以内，实际在职人员未超过编制数；二是预算执行方面，支出总额控制在预算总额以内；三是</w:t>
      </w:r>
      <w:r>
        <w:rPr>
          <w:rFonts w:hint="default" w:ascii="仿宋_GB2312" w:hAnsi="仿宋_GB2312" w:eastAsia="仿宋_GB2312" w:cs="Times New Roman"/>
          <w:sz w:val="32"/>
          <w:lang w:eastAsia="zh-CN"/>
        </w:rPr>
        <w:t>预算管理方面，制定了切实有效的内部财务、资产管理制度，执行总体较为有效</w:t>
      </w:r>
      <w:r>
        <w:rPr>
          <w:rFonts w:hint="eastAsia" w:ascii="仿宋_GB2312" w:hAnsi="仿宋_GB2312" w:eastAsia="仿宋_GB2312" w:cs="仿宋_GB2312"/>
          <w:b w:val="0"/>
          <w:bCs w:val="0"/>
          <w:color w:val="000000"/>
          <w:kern w:val="0"/>
          <w:sz w:val="32"/>
          <w:szCs w:val="32"/>
          <w:lang w:val="en-US" w:eastAsia="zh-CN" w:bidi="ar-SA"/>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color w:val="auto"/>
          <w:sz w:val="32"/>
          <w:szCs w:val="32"/>
          <w:lang w:eastAsia="zh-CN"/>
        </w:rPr>
        <w:t>存在的</w:t>
      </w:r>
      <w:r>
        <w:rPr>
          <w:rFonts w:hint="eastAsia" w:ascii="仿宋_GB2312" w:hAnsi="仿宋_GB2312" w:eastAsia="仿宋_GB2312" w:cs="仿宋_GB2312"/>
          <w:b w:val="0"/>
          <w:bCs w:val="0"/>
          <w:color w:val="000000"/>
          <w:kern w:val="0"/>
          <w:sz w:val="32"/>
          <w:szCs w:val="32"/>
          <w:lang w:val="en-US" w:eastAsia="zh-CN" w:bidi="ar-SA"/>
        </w:rPr>
        <w:t>主要问题及原因：一是预算编制有待加强，预算编制的精确性有待进一步提高；二是绩效管理的运用意识有待提高。针对这些不足，我单位将积极采取改进措施，持续改进，不断规范和强化管理。</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SA"/>
        </w:rPr>
        <w:t>下一步改进措施：一是预算财务分析常态化，定期做好预算支出财务分析，做好单位整体支出预算评价工作；二是专项资金按活动进程进行使用，按实际情况保留金额，而不是统一回收；三是</w:t>
      </w:r>
      <w:r>
        <w:rPr>
          <w:rFonts w:hint="eastAsia" w:ascii="仿宋_GB2312" w:hAnsi="仿宋_GB2312" w:eastAsia="仿宋_GB2312" w:cs="Times New Roman"/>
          <w:sz w:val="32"/>
          <w:lang w:val="en-US" w:eastAsia="zh-CN"/>
        </w:rPr>
        <w:t>及时下发追加指标，保证专项工作顺利开展进行</w:t>
      </w:r>
      <w:r>
        <w:rPr>
          <w:rFonts w:hint="eastAsia" w:ascii="仿宋_GB2312" w:hAnsi="仿宋_GB2312" w:eastAsia="仿宋_GB2312" w:cs="仿宋_GB2312"/>
          <w:b w:val="0"/>
          <w:bCs w:val="0"/>
          <w:color w:val="000000"/>
          <w:kern w:val="0"/>
          <w:sz w:val="32"/>
          <w:szCs w:val="32"/>
          <w:lang w:val="en-US" w:eastAsia="zh-CN" w:bidi="ar-SA"/>
        </w:rPr>
        <w:t>。</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pStyle w:val="13"/>
        <w:jc w:val="both"/>
        <w:rPr>
          <w:sz w:val="72"/>
          <w:szCs w:val="72"/>
        </w:rPr>
      </w:pPr>
    </w:p>
    <w:p>
      <w:pPr>
        <w:rPr>
          <w:sz w:val="72"/>
          <w:szCs w:val="72"/>
        </w:rPr>
      </w:pPr>
      <w:r>
        <w:rPr>
          <w:sz w:val="72"/>
          <w:szCs w:val="72"/>
        </w:rPr>
        <w:br w:type="page"/>
      </w:r>
    </w:p>
    <w:p>
      <w:pPr>
        <w:pStyle w:val="13"/>
        <w:jc w:val="both"/>
        <w:rPr>
          <w:sz w:val="72"/>
          <w:szCs w:val="72"/>
        </w:rPr>
      </w:pPr>
    </w:p>
    <w:p>
      <w:pPr>
        <w:pStyle w:val="13"/>
        <w:jc w:val="center"/>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三、财政拨款收入：指本级财政当年拨付的资金</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四、其他收入：指除上述“财政拨款收入”、“上级补助收入”、“事业收入”、“经营收入”、“附属单位上缴收入”等以外的收入</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上年结转和结余：指以前年度尚未完成、结转到本年按有关规定继续使用的资金。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七、卫生健康支出（类）：是指用于医疗卫生与计划生育方面的支出，包括保障机构正常运转、完成日常和特定的工作任务或事业发展目标的支出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八、节能环保支出（类）：是指用于节能环保支出，包括保障机构正常运转、完成日常和特定的工作任务或事业发展目标的支出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九、其他支出（类）：是指用于反映除上述项目以外其他不能划分到具体功能科目中的支出项目，包括保障机构正常运转、完成日常和特定的工作任务或事业发展目标的支出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十、基本支出：指保障机构正常运转、完成支日常工作任务而发生的人员支出和公用支出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十一、项目支出：指在基本支出之外为完成特定行政任务和事业发展目标所发生的支出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十三、工资福利支出：反映单位开支的在职职工和编制外长期聘用人员的各类劳动报酬，以及为上述人员缴纳的各项社会保险费等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十五、津贴补贴：反映经国家批准建立的机关事业单位艰苦边远地区津贴、机关工作人员地区附加津贴、机关工作人员岗位津贴、事业单位工作人员特殊岗位津贴补贴等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十六、奖金：反映机关工作人员年终一次性奖金</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十七、伙食补助费：反映单位发给职工的伙食补助费，如误餐补助等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十八、绩效工资：反映事业单位工作人员的绩效工资</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十九、机关事业单位基本养老保险缴费：反映机关事业单位缴纳的基本养老保险费。由单位代扣的工作人员基本养老保险缴费，不在此科目反映</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二十、职业年金缴费：反映机关事业单位实际缴纳的职业年金支出。由单位代扣的工作人员职业年金缴费，不在此科目反映</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二十一、职工基本医疗保险缴费：反映单位为职工缴纳的基本医疗保险费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二十二、公务员医疗补助缴费：反映按规定可享受公务员医疗补助单位为职工缴纳的公务员医疗补助费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二十三、其他社会保障缴费：反映单位为职工缴纳的基本医疗、失业、工伤、生育等社会保险费，残疾人就业保障金，军队（含武警）为军人缴纳的伤亡、退役医疗等社会保险费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二十四、住房公积金：反映行政事业单位按人力资源和社会保障部、财政部规定的基本工资和津贴补贴以及规定比例为职工缴纳的住房公积金</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二十五、医疗费：反映未参加医疗保险单位的医疗经费和单位按规定为职工支出的其他医疗费用</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六、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二十七、商品和服务支出：反映单位购买商品和服务的支出（不包括用于购置固定资产的支出、战略性和应急储备支出）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二十八、办公费：反映单位购买按财务会计制度规定不符合固定资产确认标准的日常办公用品、书报杂志等支出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二十九、印刷费：反映单位的印刷费支出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三十、咨询费：反映单位咨询方面的支出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三十一、手续费：反映单位支付的各类手续费支出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三十二、水费：反映单位支付的水费、污水处理费等支出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三十三、电费：反映单位的电费支出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三十四、邮电费：反映单位开支的信函、包裹、货物等物品的邮寄费及电话费、电报费、传真费、网络通讯费等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三十五、物业管理费：反映单位开支的办公用房以及未实行职工住宅物业服务改革的在职职工和离退休人员宿舍等的物业管理费，包括综合治理、绿化、卫生等方面的支出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三十六、差旅费：反映单位工作人员出差发生的城市间交通费、住宿费、伙食补贴费和市内交通费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三十七、维修(护)费：反映单位日常开支的固定资产（不包括车船等交通工具）修理和维护费用，网络信息系统运行与维护费用，以及按规定提取的修购基金</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三十八、租赁费：反映租赁办公用房、宿舍、专用通讯网以及其他设备等方面的费用</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三十九、会议费：反映会议中按规定开支的住宿费、伙食费、会议室租金、交通费、文件印刷费、医药费等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四十、培训费：反映除因公出国（境）培训费以外的各类培训支出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四十一、公务接待费：反映单位按规定开支的各类公务接待（含外宾接待）费用</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二、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四十三、专用燃料费：反映用作业务工作设备的车、船设施等的油料支出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四十四、劳务费：反映支付给单位和个人的劳务费用，如临时聘用人员、钟点工工资，稿费、翻译费，评审费等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四十五、委托业务费：反映因委托外单位办理业务而支付的委托业务费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四十六、工会经费：反映单位按规定提取的工会经费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四十七、福利费：反映单位按规定提取的福利费</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四十八、公务用车运行维护费：反映单位按规定保留的公务用车燃料费、维修费、过桥过路费、保险费、安全奖励费用等支出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四十九、其他交通费用：反映单位除公务用车运行维护费以外的其他交通费用。如公务交通补贴，租车费用、出租车费用，飞机、船舶等的燃料费、维修费、保险费等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五十、税金及附加费用：反映单位提供劳务或销售产品应负担的税金及附加费用，包括营业税、消费税、城市维护建设税、资源税和教育附加等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五十一、其他商品和服务支出：反映上述科目未包括的日常公用支出。如行政赔偿费和诉讼费、国内组织的会员费、来访费、广告宣传、其他劳务费及离休人员特需费、公用经费等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五十二、对个人和家庭的补助：反映政府用于对个人和家庭的补助支出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五十三、抚恤金：反映按规定开支的烈士遗属、牺牲病故人员遗属的一次性和定期抚恤金，伤残人员的抚恤金，离退休人员等其他人员的各项抚恤金</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四、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五、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五十六、奖励金：反映政府各部门的奖励支出，如对个体私营经济的奖励、计划生育目标责任奖励、独生子女父母奖励等</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五十七、办公设备购置：反映用于购置并按财务会计制度规定纳入固定资产核算范围的办公家具和办公设备的支出，以及按规定提取的修购基金</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八、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五十九、财政拨款收入：指本级财政当年拨付的资金。其他收入：指除上述“财政拨款收入”、“上级补助收入”、“事业收入”、“经营收入”、“附属单位上缴收入”等以外的收入</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六十、上年结转和结余：指以前年度尚未完成、结转到本年按有关规定继续使用的资金</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一、一般公共服务支出（类）：是指用于人大、政协、政府办公厅（室）及相关机构事务、发展与改革事务、统计信息事务、财政事务、税收事务、审计事务、人力资源事务、纪检监察事务、商贸事务、工商行政管理事务</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六十二、伙食补助费：反映单位发给职工的伙食补助费，如误餐补助等。绩效工资：反映事业单位工作人员的绩效工资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六十三、退休费：反映行政事业单位和军队移交政府安置的退休人员的退休费和其他补贴</w:t>
      </w:r>
      <w:r>
        <w:rPr>
          <w:rFonts w:hint="eastAsia" w:ascii="仿宋_GB2312" w:hAnsi="仿宋_GB2312" w:eastAsia="仿宋_GB2312" w:cs="仿宋_GB2312"/>
          <w:sz w:val="32"/>
          <w:szCs w:val="32"/>
        </w:rPr>
        <w:br w:type="page"/>
      </w:r>
    </w:p>
    <w:p>
      <w:pPr>
        <w:pStyle w:val="13"/>
        <w:jc w:val="center"/>
        <w:rPr>
          <w:rFonts w:hint="eastAsia" w:ascii="仿宋_GB2312" w:hAnsi="仿宋_GB2312" w:eastAsia="仿宋_GB2312" w:cs="仿宋_GB2312"/>
          <w:sz w:val="32"/>
          <w:szCs w:val="32"/>
        </w:rPr>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both"/>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16C6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622F31"/>
    <w:rsid w:val="01AE5944"/>
    <w:rsid w:val="02F73C8B"/>
    <w:rsid w:val="036723DA"/>
    <w:rsid w:val="059958AD"/>
    <w:rsid w:val="05A52CD4"/>
    <w:rsid w:val="06C857E7"/>
    <w:rsid w:val="08C24A73"/>
    <w:rsid w:val="08F12A2E"/>
    <w:rsid w:val="0AE20526"/>
    <w:rsid w:val="0BE5207C"/>
    <w:rsid w:val="0BF467E6"/>
    <w:rsid w:val="0CD146EC"/>
    <w:rsid w:val="0D4832A8"/>
    <w:rsid w:val="0F2B7A7D"/>
    <w:rsid w:val="10AE55AB"/>
    <w:rsid w:val="111F6419"/>
    <w:rsid w:val="113D1FAF"/>
    <w:rsid w:val="12053DD9"/>
    <w:rsid w:val="12583BA5"/>
    <w:rsid w:val="13076D7C"/>
    <w:rsid w:val="13BA5B9C"/>
    <w:rsid w:val="14DDBAE9"/>
    <w:rsid w:val="15924739"/>
    <w:rsid w:val="18DD54FB"/>
    <w:rsid w:val="1C1F2422"/>
    <w:rsid w:val="1D675963"/>
    <w:rsid w:val="1D97DEFF"/>
    <w:rsid w:val="1DF20664"/>
    <w:rsid w:val="1DFF72E5"/>
    <w:rsid w:val="1E2D4410"/>
    <w:rsid w:val="1EFC6F07"/>
    <w:rsid w:val="1F0527A6"/>
    <w:rsid w:val="1FC96EB6"/>
    <w:rsid w:val="1FEA10E3"/>
    <w:rsid w:val="22AC03C2"/>
    <w:rsid w:val="2367439D"/>
    <w:rsid w:val="23BF16F3"/>
    <w:rsid w:val="26167C2F"/>
    <w:rsid w:val="27947D58"/>
    <w:rsid w:val="285714FF"/>
    <w:rsid w:val="28DA4193"/>
    <w:rsid w:val="2B1E5CB3"/>
    <w:rsid w:val="2BDE6047"/>
    <w:rsid w:val="2C493B09"/>
    <w:rsid w:val="2CA13945"/>
    <w:rsid w:val="2D1F0790"/>
    <w:rsid w:val="2DFDE818"/>
    <w:rsid w:val="2EAF752E"/>
    <w:rsid w:val="2EDFD064"/>
    <w:rsid w:val="2FDF85B8"/>
    <w:rsid w:val="2FFFEE04"/>
    <w:rsid w:val="315A1DFC"/>
    <w:rsid w:val="31972CC3"/>
    <w:rsid w:val="31C95635"/>
    <w:rsid w:val="34DF85B0"/>
    <w:rsid w:val="355B00FA"/>
    <w:rsid w:val="356F0B73"/>
    <w:rsid w:val="35F72B34"/>
    <w:rsid w:val="36662E80"/>
    <w:rsid w:val="369071E6"/>
    <w:rsid w:val="369330FD"/>
    <w:rsid w:val="37BEFE4B"/>
    <w:rsid w:val="37CE648F"/>
    <w:rsid w:val="37FF8788"/>
    <w:rsid w:val="384E5772"/>
    <w:rsid w:val="38B46F01"/>
    <w:rsid w:val="38C7284D"/>
    <w:rsid w:val="39387659"/>
    <w:rsid w:val="3B2F7A47"/>
    <w:rsid w:val="3B7A5A8D"/>
    <w:rsid w:val="3B8F36BC"/>
    <w:rsid w:val="3BEB20B6"/>
    <w:rsid w:val="3BEDA2C0"/>
    <w:rsid w:val="3C1E6E35"/>
    <w:rsid w:val="3C7D47A5"/>
    <w:rsid w:val="3D5BCEF1"/>
    <w:rsid w:val="3DC14928"/>
    <w:rsid w:val="3EEF16AC"/>
    <w:rsid w:val="3F2F3F74"/>
    <w:rsid w:val="3FCC262F"/>
    <w:rsid w:val="3FDB8DE5"/>
    <w:rsid w:val="3FF618AB"/>
    <w:rsid w:val="45DF7907"/>
    <w:rsid w:val="466306B0"/>
    <w:rsid w:val="46D64180"/>
    <w:rsid w:val="474417D8"/>
    <w:rsid w:val="47874E3F"/>
    <w:rsid w:val="491FF225"/>
    <w:rsid w:val="49514E3C"/>
    <w:rsid w:val="4B2A737F"/>
    <w:rsid w:val="4B3A6D67"/>
    <w:rsid w:val="4C251A45"/>
    <w:rsid w:val="4F6C638C"/>
    <w:rsid w:val="4F7C6677"/>
    <w:rsid w:val="4F9C2D1F"/>
    <w:rsid w:val="4FFD214C"/>
    <w:rsid w:val="51850539"/>
    <w:rsid w:val="52FC57CF"/>
    <w:rsid w:val="532F565D"/>
    <w:rsid w:val="5352765A"/>
    <w:rsid w:val="53FDD3F6"/>
    <w:rsid w:val="541B4F3B"/>
    <w:rsid w:val="547A48F8"/>
    <w:rsid w:val="54AB6860"/>
    <w:rsid w:val="554D1A31"/>
    <w:rsid w:val="559C795D"/>
    <w:rsid w:val="56B01BD3"/>
    <w:rsid w:val="56BA5F0E"/>
    <w:rsid w:val="56DC1295"/>
    <w:rsid w:val="5777D4F5"/>
    <w:rsid w:val="57865DCF"/>
    <w:rsid w:val="579F9CA7"/>
    <w:rsid w:val="57CE1EC9"/>
    <w:rsid w:val="57ED9B34"/>
    <w:rsid w:val="59DD8326"/>
    <w:rsid w:val="5A4F1EF3"/>
    <w:rsid w:val="5AC05F56"/>
    <w:rsid w:val="5AE47DBA"/>
    <w:rsid w:val="5B3B6D37"/>
    <w:rsid w:val="5C540FD8"/>
    <w:rsid w:val="5CFAB579"/>
    <w:rsid w:val="5DBB1B03"/>
    <w:rsid w:val="5DEF592A"/>
    <w:rsid w:val="5DFB3C2C"/>
    <w:rsid w:val="5E352EC5"/>
    <w:rsid w:val="5E531D60"/>
    <w:rsid w:val="5EE73090"/>
    <w:rsid w:val="5F4E8C39"/>
    <w:rsid w:val="5FB7829F"/>
    <w:rsid w:val="5FC26A78"/>
    <w:rsid w:val="5FC6BB1E"/>
    <w:rsid w:val="5FED5D0C"/>
    <w:rsid w:val="5FF720F1"/>
    <w:rsid w:val="60A971FB"/>
    <w:rsid w:val="62461759"/>
    <w:rsid w:val="62734B1F"/>
    <w:rsid w:val="63F41F91"/>
    <w:rsid w:val="65E65A70"/>
    <w:rsid w:val="674655BD"/>
    <w:rsid w:val="67FF5C0B"/>
    <w:rsid w:val="6A6D44DA"/>
    <w:rsid w:val="6BAA4A2F"/>
    <w:rsid w:val="6BF61BC1"/>
    <w:rsid w:val="6E560A6D"/>
    <w:rsid w:val="6E8A00B3"/>
    <w:rsid w:val="6E8F0398"/>
    <w:rsid w:val="6EF5D6E3"/>
    <w:rsid w:val="6EFC0924"/>
    <w:rsid w:val="6F182733"/>
    <w:rsid w:val="6FB74722"/>
    <w:rsid w:val="6FB8233D"/>
    <w:rsid w:val="6FEF8B7E"/>
    <w:rsid w:val="6FEFD041"/>
    <w:rsid w:val="70E66662"/>
    <w:rsid w:val="71A16F72"/>
    <w:rsid w:val="71A6591B"/>
    <w:rsid w:val="726E4FB0"/>
    <w:rsid w:val="72877709"/>
    <w:rsid w:val="72C74CEB"/>
    <w:rsid w:val="737D59BA"/>
    <w:rsid w:val="737F32B1"/>
    <w:rsid w:val="73CE5A22"/>
    <w:rsid w:val="742524FB"/>
    <w:rsid w:val="74620891"/>
    <w:rsid w:val="74DFB1C6"/>
    <w:rsid w:val="76D01312"/>
    <w:rsid w:val="77A38583"/>
    <w:rsid w:val="77BFBAAD"/>
    <w:rsid w:val="77C37683"/>
    <w:rsid w:val="77D17A52"/>
    <w:rsid w:val="77DE0088"/>
    <w:rsid w:val="79FF515B"/>
    <w:rsid w:val="7B25808A"/>
    <w:rsid w:val="7B542EFE"/>
    <w:rsid w:val="7BAF18BE"/>
    <w:rsid w:val="7BBFFFB4"/>
    <w:rsid w:val="7BED27E2"/>
    <w:rsid w:val="7D29E862"/>
    <w:rsid w:val="7D511BAE"/>
    <w:rsid w:val="7DDE12F2"/>
    <w:rsid w:val="7E9E1962"/>
    <w:rsid w:val="7E9F11B4"/>
    <w:rsid w:val="7E9FD4F6"/>
    <w:rsid w:val="7EBF2ADE"/>
    <w:rsid w:val="7ED5B07B"/>
    <w:rsid w:val="7F37EC1E"/>
    <w:rsid w:val="7F3CC413"/>
    <w:rsid w:val="7F7DCD9D"/>
    <w:rsid w:val="7F7EE0FC"/>
    <w:rsid w:val="7F970A6F"/>
    <w:rsid w:val="7FC1FFF3"/>
    <w:rsid w:val="7FC69637"/>
    <w:rsid w:val="7FD02953"/>
    <w:rsid w:val="7FDA60C7"/>
    <w:rsid w:val="7FDE7F5C"/>
    <w:rsid w:val="7FDF14D4"/>
    <w:rsid w:val="7FDF8620"/>
    <w:rsid w:val="7FDFBC90"/>
    <w:rsid w:val="7FE4DA78"/>
    <w:rsid w:val="7FF4E1BF"/>
    <w:rsid w:val="7FF8DE85"/>
    <w:rsid w:val="7FFB242F"/>
    <w:rsid w:val="7FFDB408"/>
    <w:rsid w:val="7FFE4EEB"/>
    <w:rsid w:val="95FB2B98"/>
    <w:rsid w:val="9A639BC2"/>
    <w:rsid w:val="9BDB9313"/>
    <w:rsid w:val="9FF7D786"/>
    <w:rsid w:val="A447F022"/>
    <w:rsid w:val="ABBFB23D"/>
    <w:rsid w:val="ABFF9978"/>
    <w:rsid w:val="AD1EE1BA"/>
    <w:rsid w:val="AEB7FAFE"/>
    <w:rsid w:val="AEFB42E6"/>
    <w:rsid w:val="AFDF3B57"/>
    <w:rsid w:val="B377F34F"/>
    <w:rsid w:val="BBFCD605"/>
    <w:rsid w:val="BC8FD886"/>
    <w:rsid w:val="BECE90CF"/>
    <w:rsid w:val="BEF61C7B"/>
    <w:rsid w:val="BFFF756F"/>
    <w:rsid w:val="C3761E02"/>
    <w:rsid w:val="C3B4DA5A"/>
    <w:rsid w:val="CA9669E0"/>
    <w:rsid w:val="CBFF70E0"/>
    <w:rsid w:val="CDFF8F66"/>
    <w:rsid w:val="CFF50B82"/>
    <w:rsid w:val="CFFFAD89"/>
    <w:rsid w:val="D17EA8E4"/>
    <w:rsid w:val="D3DFA194"/>
    <w:rsid w:val="DDEE72E1"/>
    <w:rsid w:val="DEF7EABD"/>
    <w:rsid w:val="DFFE359E"/>
    <w:rsid w:val="DFFE4FFD"/>
    <w:rsid w:val="DFFFC16C"/>
    <w:rsid w:val="E3F72C95"/>
    <w:rsid w:val="E6FBCF4A"/>
    <w:rsid w:val="E75F2C11"/>
    <w:rsid w:val="E854AE9F"/>
    <w:rsid w:val="EEABED75"/>
    <w:rsid w:val="F1FD1CFB"/>
    <w:rsid w:val="F567645A"/>
    <w:rsid w:val="F56FDF51"/>
    <w:rsid w:val="F6B69F17"/>
    <w:rsid w:val="F6E7E72A"/>
    <w:rsid w:val="F72722AB"/>
    <w:rsid w:val="F7364912"/>
    <w:rsid w:val="F77F1D61"/>
    <w:rsid w:val="F7F50AA3"/>
    <w:rsid w:val="F7FED3A9"/>
    <w:rsid w:val="F8C9DB26"/>
    <w:rsid w:val="F97E8EAE"/>
    <w:rsid w:val="F9FB6CAF"/>
    <w:rsid w:val="FB36E1A6"/>
    <w:rsid w:val="FB3BE134"/>
    <w:rsid w:val="FCD56448"/>
    <w:rsid w:val="FCFF4275"/>
    <w:rsid w:val="FD339924"/>
    <w:rsid w:val="FD6FB2D3"/>
    <w:rsid w:val="FD7FEEEA"/>
    <w:rsid w:val="FDB6BFEE"/>
    <w:rsid w:val="FDDF6E7F"/>
    <w:rsid w:val="FDFFB577"/>
    <w:rsid w:val="FEEA50FE"/>
    <w:rsid w:val="FF7D47A9"/>
    <w:rsid w:val="FFBB59F4"/>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2"/>
      <w:lang w:val="en-US" w:eastAsia="zh-CN"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10430</Words>
  <Characters>11169</Characters>
  <Lines>63</Lines>
  <Paragraphs>18</Paragraphs>
  <TotalTime>13</TotalTime>
  <ScaleCrop>false</ScaleCrop>
  <LinksUpToDate>false</LinksUpToDate>
  <CharactersWithSpaces>11184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2020-07-09T18:32:00Z</dcterms:created>
  <dc:creator>李航 null</dc:creator>
  <cp:lastModifiedBy>张姚</cp:lastModifiedBy>
  <cp:lastPrinted>2024-08-10T02:20:00Z</cp:lastPrinted>
  <dcterms:modified xsi:type="dcterms:W3CDTF">2025-09-04T18:03:06Z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BD707BD26CB74ADDB56DFB8A6DC163DC_13</vt:lpwstr>
  </property>
  <property fmtid="{D5CDD505-2E9C-101B-9397-08002B2CF9AE}" pid="4" name="KSOTemplateDocerSaveRecord">
    <vt:lpwstr>eyJoZGlkIjoiYTI1ZWRhODIzZjNkMzE5ODI3Y2UwZTM2NjQ3YjE4YjIiLCJ1c2VySWQiOiI1Mzg0MzA5MzAifQ==</vt:lpwstr>
  </property>
</Properties>
</file>