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4FDB32">
      <w:pPr>
        <w:pStyle w:val="14"/>
        <w:jc w:val="center"/>
        <w:rPr>
          <w:sz w:val="56"/>
          <w:szCs w:val="56"/>
        </w:rPr>
      </w:pPr>
    </w:p>
    <w:p w14:paraId="17CB520A">
      <w:pPr>
        <w:pStyle w:val="14"/>
        <w:jc w:val="center"/>
        <w:rPr>
          <w:sz w:val="56"/>
          <w:szCs w:val="56"/>
        </w:rPr>
      </w:pPr>
    </w:p>
    <w:p w14:paraId="26A7764B">
      <w:pPr>
        <w:pStyle w:val="14"/>
        <w:jc w:val="center"/>
        <w:rPr>
          <w:sz w:val="84"/>
          <w:szCs w:val="84"/>
        </w:rPr>
      </w:pPr>
    </w:p>
    <w:p w14:paraId="6664D835">
      <w:pPr>
        <w:pStyle w:val="14"/>
        <w:jc w:val="center"/>
        <w:rPr>
          <w:sz w:val="84"/>
          <w:szCs w:val="84"/>
        </w:rPr>
      </w:pPr>
    </w:p>
    <w:p w14:paraId="143688CF">
      <w:pPr>
        <w:pStyle w:val="14"/>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2023年度</w:t>
      </w:r>
    </w:p>
    <w:p w14:paraId="753031B1">
      <w:pPr>
        <w:pStyle w:val="14"/>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岳阳市委政法委部门决算</w:t>
      </w:r>
    </w:p>
    <w:p w14:paraId="4E9D9B73">
      <w:pPr>
        <w:pStyle w:val="14"/>
        <w:jc w:val="center"/>
        <w:rPr>
          <w:rFonts w:ascii="方正小标宋_GBK" w:hAnsi="方正小标宋_GBK" w:eastAsia="方正小标宋_GBK" w:cs="方正小标宋_GBK"/>
          <w:sz w:val="56"/>
          <w:szCs w:val="56"/>
        </w:rPr>
      </w:pPr>
    </w:p>
    <w:p w14:paraId="3289D968">
      <w:pPr>
        <w:pStyle w:val="14"/>
        <w:jc w:val="center"/>
        <w:rPr>
          <w:sz w:val="56"/>
          <w:szCs w:val="56"/>
        </w:rPr>
      </w:pPr>
    </w:p>
    <w:p w14:paraId="6585674E">
      <w:pPr>
        <w:pStyle w:val="14"/>
        <w:jc w:val="center"/>
        <w:rPr>
          <w:sz w:val="56"/>
          <w:szCs w:val="56"/>
        </w:rPr>
      </w:pPr>
    </w:p>
    <w:p w14:paraId="71296CFF">
      <w:pPr>
        <w:pStyle w:val="14"/>
        <w:jc w:val="center"/>
        <w:rPr>
          <w:sz w:val="56"/>
          <w:szCs w:val="56"/>
        </w:rPr>
      </w:pPr>
    </w:p>
    <w:p w14:paraId="20B3F353">
      <w:pPr>
        <w:pStyle w:val="14"/>
        <w:jc w:val="center"/>
        <w:rPr>
          <w:sz w:val="32"/>
          <w:szCs w:val="32"/>
        </w:rPr>
      </w:pPr>
    </w:p>
    <w:p w14:paraId="410099CC">
      <w:pPr>
        <w:pStyle w:val="14"/>
        <w:jc w:val="center"/>
        <w:rPr>
          <w:sz w:val="32"/>
          <w:szCs w:val="32"/>
        </w:rPr>
      </w:pPr>
    </w:p>
    <w:p w14:paraId="61EB0635">
      <w:pPr>
        <w:pStyle w:val="14"/>
        <w:jc w:val="center"/>
        <w:rPr>
          <w:sz w:val="32"/>
          <w:szCs w:val="32"/>
        </w:rPr>
      </w:pPr>
    </w:p>
    <w:p w14:paraId="141D8B94">
      <w:pPr>
        <w:pStyle w:val="14"/>
        <w:jc w:val="center"/>
        <w:rPr>
          <w:sz w:val="32"/>
          <w:szCs w:val="32"/>
        </w:rPr>
      </w:pPr>
    </w:p>
    <w:p w14:paraId="07D9B902">
      <w:pPr>
        <w:pStyle w:val="14"/>
        <w:jc w:val="center"/>
        <w:rPr>
          <w:sz w:val="32"/>
          <w:szCs w:val="32"/>
        </w:rPr>
      </w:pPr>
    </w:p>
    <w:p w14:paraId="72CFA012">
      <w:pPr>
        <w:pStyle w:val="14"/>
        <w:jc w:val="center"/>
        <w:rPr>
          <w:sz w:val="32"/>
          <w:szCs w:val="32"/>
        </w:rPr>
      </w:pPr>
    </w:p>
    <w:p w14:paraId="08C34E36">
      <w:pPr>
        <w:pStyle w:val="14"/>
        <w:spacing w:line="500" w:lineRule="exact"/>
        <w:rPr>
          <w:b/>
          <w:sz w:val="36"/>
          <w:szCs w:val="28"/>
        </w:rPr>
      </w:pPr>
    </w:p>
    <w:p w14:paraId="36E41E3A">
      <w:pPr>
        <w:pStyle w:val="14"/>
        <w:spacing w:line="500" w:lineRule="exact"/>
        <w:jc w:val="center"/>
        <w:rPr>
          <w:b/>
          <w:sz w:val="36"/>
          <w:szCs w:val="28"/>
        </w:rPr>
      </w:pPr>
      <w:r>
        <w:rPr>
          <w:rFonts w:hint="eastAsia"/>
          <w:b/>
          <w:sz w:val="36"/>
          <w:szCs w:val="28"/>
        </w:rPr>
        <w:t>目录</w:t>
      </w:r>
    </w:p>
    <w:p w14:paraId="4B8B10DE">
      <w:pPr>
        <w:pStyle w:val="14"/>
        <w:spacing w:line="500" w:lineRule="exact"/>
        <w:rPr>
          <w:rFonts w:hAnsi="黑体"/>
          <w:bCs/>
          <w:sz w:val="28"/>
          <w:szCs w:val="28"/>
        </w:rPr>
      </w:pPr>
      <w:r>
        <w:rPr>
          <w:rFonts w:hint="eastAsia" w:hAnsi="黑体"/>
          <w:bCs/>
          <w:sz w:val="28"/>
          <w:szCs w:val="28"/>
        </w:rPr>
        <w:t>第一部分 岳阳市委政法委部门概况</w:t>
      </w:r>
    </w:p>
    <w:p w14:paraId="001F6BD7">
      <w:pPr>
        <w:pStyle w:val="14"/>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07E18369">
      <w:pPr>
        <w:pStyle w:val="14"/>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二、机构设置及决算单位构成</w:t>
      </w:r>
    </w:p>
    <w:p w14:paraId="2106ABA7">
      <w:pPr>
        <w:pStyle w:val="14"/>
        <w:spacing w:line="500" w:lineRule="exact"/>
        <w:rPr>
          <w:rFonts w:hAnsi="黑体"/>
          <w:bCs/>
          <w:sz w:val="28"/>
          <w:szCs w:val="28"/>
        </w:rPr>
      </w:pPr>
      <w:r>
        <w:rPr>
          <w:rFonts w:hint="eastAsia" w:hAnsi="黑体"/>
          <w:bCs/>
          <w:sz w:val="28"/>
          <w:szCs w:val="28"/>
        </w:rPr>
        <w:t>第二部分 部门决算表</w:t>
      </w:r>
    </w:p>
    <w:p w14:paraId="0BFD74F8">
      <w:pPr>
        <w:pStyle w:val="14"/>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6C787DB1">
      <w:pPr>
        <w:pStyle w:val="14"/>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7C927A77">
      <w:pPr>
        <w:pStyle w:val="14"/>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5B664989">
      <w:pPr>
        <w:pStyle w:val="14"/>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46561F76">
      <w:pPr>
        <w:pStyle w:val="14"/>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058A9BA0">
      <w:pPr>
        <w:pStyle w:val="14"/>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22EAB8CB">
      <w:pPr>
        <w:pStyle w:val="14"/>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0A54E449">
      <w:pPr>
        <w:pStyle w:val="14"/>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3D94FCC2">
      <w:pPr>
        <w:pStyle w:val="14"/>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44E65854">
      <w:pPr>
        <w:pStyle w:val="14"/>
        <w:spacing w:line="500" w:lineRule="exact"/>
        <w:rPr>
          <w:rFonts w:hAnsi="黑体"/>
          <w:bCs/>
          <w:sz w:val="28"/>
          <w:szCs w:val="28"/>
        </w:rPr>
      </w:pPr>
      <w:r>
        <w:rPr>
          <w:rFonts w:hint="eastAsia" w:hAnsi="黑体"/>
          <w:bCs/>
          <w:sz w:val="28"/>
          <w:szCs w:val="28"/>
        </w:rPr>
        <w:t>第三部分 部门决算情况说明</w:t>
      </w:r>
    </w:p>
    <w:p w14:paraId="744F5735">
      <w:pPr>
        <w:pStyle w:val="14"/>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190DDF19">
      <w:pPr>
        <w:spacing w:line="500" w:lineRule="exact"/>
        <w:ind w:firstLine="700" w:firstLineChars="25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72CC9676">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43C45E7B">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753B290D">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46BB80CA">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21D32DDD">
      <w:pPr>
        <w:autoSpaceDE w:val="0"/>
        <w:autoSpaceDN w:val="0"/>
        <w:adjustRightInd w:val="0"/>
        <w:spacing w:line="48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七、政府性基金预算收入支出决算情况</w:t>
      </w:r>
    </w:p>
    <w:p w14:paraId="69DB0D43">
      <w:pPr>
        <w:autoSpaceDE w:val="0"/>
        <w:autoSpaceDN w:val="0"/>
        <w:adjustRightInd w:val="0"/>
        <w:spacing w:line="48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w:t>
      </w:r>
      <w:r>
        <w:rPr>
          <w:rFonts w:hint="eastAsia" w:ascii="仿宋_GB2312" w:hAnsi="仿宋_GB2312" w:eastAsia="仿宋_GB2312" w:cs="仿宋_GB2312"/>
          <w:sz w:val="28"/>
          <w:szCs w:val="28"/>
        </w:rPr>
        <w:t>国有资本经营预算财政拨款支出决算情况</w:t>
      </w:r>
    </w:p>
    <w:p w14:paraId="4C521A81">
      <w:pPr>
        <w:autoSpaceDE w:val="0"/>
        <w:autoSpaceDN w:val="0"/>
        <w:adjustRightInd w:val="0"/>
        <w:spacing w:line="48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九、财政拨款三公经费支出决算情况说明</w:t>
      </w:r>
    </w:p>
    <w:p w14:paraId="78CA9292">
      <w:pPr>
        <w:autoSpaceDE w:val="0"/>
        <w:autoSpaceDN w:val="0"/>
        <w:adjustRightInd w:val="0"/>
        <w:spacing w:line="48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十、关于机关运行经费支出说明</w:t>
      </w:r>
    </w:p>
    <w:p w14:paraId="7DE24E0F">
      <w:pPr>
        <w:autoSpaceDE w:val="0"/>
        <w:autoSpaceDN w:val="0"/>
        <w:adjustRightInd w:val="0"/>
        <w:spacing w:line="48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十一、一般性支出情况说明</w:t>
      </w:r>
    </w:p>
    <w:p w14:paraId="54685975">
      <w:pPr>
        <w:autoSpaceDE w:val="0"/>
        <w:autoSpaceDN w:val="0"/>
        <w:adjustRightInd w:val="0"/>
        <w:spacing w:line="48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sz w:val="28"/>
          <w:szCs w:val="28"/>
        </w:rPr>
        <w:t>十二、</w:t>
      </w:r>
      <w:r>
        <w:rPr>
          <w:rFonts w:hint="eastAsia" w:ascii="仿宋_GB2312" w:hAnsi="仿宋_GB2312" w:eastAsia="仿宋_GB2312" w:cs="仿宋_GB2312"/>
          <w:color w:val="000000"/>
          <w:kern w:val="0"/>
          <w:sz w:val="28"/>
          <w:szCs w:val="28"/>
        </w:rPr>
        <w:t>关于政府采购支出说明</w:t>
      </w:r>
    </w:p>
    <w:p w14:paraId="68BFB04E">
      <w:pPr>
        <w:autoSpaceDE w:val="0"/>
        <w:autoSpaceDN w:val="0"/>
        <w:adjustRightInd w:val="0"/>
        <w:spacing w:line="480" w:lineRule="exact"/>
        <w:ind w:firstLine="700" w:firstLineChars="25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十三、关于国有资产占用情况说明</w:t>
      </w:r>
    </w:p>
    <w:p w14:paraId="6593516B">
      <w:pPr>
        <w:pStyle w:val="14"/>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十四、关于</w:t>
      </w:r>
      <w:r>
        <w:rPr>
          <w:rFonts w:ascii="Times New Roman" w:hAnsi="Times New Roman" w:eastAsia="仿宋_GB2312" w:cs="Times New Roman"/>
          <w:sz w:val="28"/>
          <w:szCs w:val="28"/>
        </w:rPr>
        <w:t>2023</w:t>
      </w:r>
      <w:r>
        <w:rPr>
          <w:rFonts w:hint="eastAsia" w:ascii="仿宋_GB2312" w:hAnsi="仿宋_GB2312" w:eastAsia="仿宋_GB2312" w:cs="仿宋_GB2312"/>
          <w:sz w:val="28"/>
          <w:szCs w:val="28"/>
        </w:rPr>
        <w:t>年度预算绩效情况的说明</w:t>
      </w:r>
    </w:p>
    <w:p w14:paraId="1F9C0E1D">
      <w:pPr>
        <w:pStyle w:val="14"/>
        <w:spacing w:line="500" w:lineRule="exact"/>
        <w:rPr>
          <w:rFonts w:hAnsi="黑体"/>
          <w:bCs/>
          <w:sz w:val="28"/>
          <w:szCs w:val="28"/>
        </w:rPr>
      </w:pPr>
      <w:r>
        <w:rPr>
          <w:rFonts w:hint="eastAsia" w:hAnsi="黑体"/>
          <w:bCs/>
          <w:sz w:val="28"/>
          <w:szCs w:val="28"/>
        </w:rPr>
        <w:t>第四部分 名词解释</w:t>
      </w:r>
    </w:p>
    <w:p w14:paraId="6103C5DF">
      <w:pPr>
        <w:pStyle w:val="14"/>
        <w:spacing w:line="500" w:lineRule="exact"/>
        <w:rPr>
          <w:rFonts w:hAnsi="黑体"/>
          <w:bCs/>
          <w:sz w:val="28"/>
          <w:szCs w:val="28"/>
        </w:rPr>
      </w:pPr>
      <w:r>
        <w:rPr>
          <w:rFonts w:hint="eastAsia" w:hAnsi="黑体"/>
          <w:bCs/>
          <w:sz w:val="28"/>
          <w:szCs w:val="28"/>
        </w:rPr>
        <w:t>第五部分 附件</w:t>
      </w:r>
    </w:p>
    <w:p w14:paraId="1285A25D">
      <w:pPr>
        <w:pStyle w:val="14"/>
        <w:jc w:val="center"/>
        <w:rPr>
          <w:rFonts w:ascii="方正小标宋_GBK" w:hAnsi="方正小标宋_GBK" w:eastAsia="方正小标宋_GBK" w:cs="方正小标宋_GBK"/>
          <w:sz w:val="84"/>
          <w:szCs w:val="84"/>
        </w:rPr>
      </w:pPr>
    </w:p>
    <w:p w14:paraId="6845C326">
      <w:pPr>
        <w:pStyle w:val="14"/>
        <w:rPr>
          <w:rFonts w:ascii="方正小标宋_GBK" w:hAnsi="方正小标宋_GBK" w:eastAsia="方正小标宋_GBK" w:cs="方正小标宋_GBK"/>
          <w:sz w:val="84"/>
          <w:szCs w:val="84"/>
        </w:rPr>
      </w:pPr>
    </w:p>
    <w:p w14:paraId="4C997B93">
      <w:pPr>
        <w:pStyle w:val="14"/>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第一部分</w:t>
      </w:r>
    </w:p>
    <w:p w14:paraId="2B09F1CE">
      <w:pPr>
        <w:pStyle w:val="14"/>
        <w:jc w:val="center"/>
        <w:rPr>
          <w:rFonts w:ascii="方正小标宋_GBK" w:hAnsi="方正小标宋_GBK" w:eastAsia="方正小标宋_GBK" w:cs="方正小标宋_GBK"/>
          <w:sz w:val="84"/>
          <w:szCs w:val="84"/>
        </w:rPr>
      </w:pPr>
    </w:p>
    <w:p w14:paraId="40606D7B">
      <w:pPr>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岳阳市委政法委部门概况</w:t>
      </w:r>
    </w:p>
    <w:p w14:paraId="24E7FD66">
      <w:pPr>
        <w:pStyle w:val="7"/>
        <w:rPr>
          <w:rFonts w:ascii="方正小标宋_GBK" w:hAnsi="方正小标宋_GBK" w:eastAsia="方正小标宋_GBK" w:cs="方正小标宋_GBK"/>
          <w:sz w:val="84"/>
          <w:szCs w:val="84"/>
        </w:rPr>
      </w:pPr>
    </w:p>
    <w:p w14:paraId="05415ED5">
      <w:pPr>
        <w:pStyle w:val="3"/>
        <w:ind w:firstLine="1680"/>
        <w:rPr>
          <w:rFonts w:ascii="方正小标宋_GBK" w:hAnsi="方正小标宋_GBK" w:eastAsia="方正小标宋_GBK" w:cs="方正小标宋_GBK"/>
          <w:sz w:val="84"/>
          <w:szCs w:val="84"/>
        </w:rPr>
      </w:pPr>
    </w:p>
    <w:p w14:paraId="568E5166">
      <w:pPr>
        <w:pStyle w:val="20"/>
        <w:ind w:firstLine="0" w:firstLineChars="0"/>
        <w:jc w:val="left"/>
        <w:rPr>
          <w:rFonts w:hint="eastAsia" w:ascii="方正小标宋_GBK" w:hAnsi="方正小标宋_GBK" w:eastAsia="方正小标宋_GBK" w:cs="方正小标宋_GBK"/>
          <w:sz w:val="84"/>
          <w:szCs w:val="84"/>
        </w:rPr>
      </w:pPr>
    </w:p>
    <w:p w14:paraId="4533C745">
      <w:pPr>
        <w:pStyle w:val="20"/>
        <w:ind w:firstLine="0" w:firstLineChars="0"/>
        <w:jc w:val="left"/>
        <w:rPr>
          <w:rFonts w:hint="eastAsia" w:ascii="方正小标宋_GBK" w:hAnsi="方正小标宋_GBK" w:eastAsia="方正小标宋_GBK" w:cs="方正小标宋_GBK"/>
          <w:sz w:val="84"/>
          <w:szCs w:val="84"/>
        </w:rPr>
      </w:pPr>
    </w:p>
    <w:p w14:paraId="6E7071B6">
      <w:pPr>
        <w:pStyle w:val="20"/>
        <w:spacing w:line="600" w:lineRule="exact"/>
        <w:ind w:firstLine="0" w:firstLineChars="0"/>
        <w:jc w:val="left"/>
        <w:rPr>
          <w:rFonts w:hint="eastAsia" w:ascii="方正小标宋_GBK" w:hAnsi="方正小标宋_GBK" w:eastAsia="方正小标宋_GBK" w:cs="方正小标宋_GBK"/>
          <w:sz w:val="84"/>
          <w:szCs w:val="84"/>
        </w:rPr>
      </w:pPr>
    </w:p>
    <w:p w14:paraId="044AF75E">
      <w:pPr>
        <w:pStyle w:val="20"/>
        <w:ind w:firstLine="640"/>
        <w:jc w:val="left"/>
        <w:rPr>
          <w:rFonts w:hint="eastAsia" w:ascii="黑体" w:hAnsi="黑体" w:eastAsia="黑体"/>
          <w:sz w:val="32"/>
          <w:szCs w:val="32"/>
        </w:rPr>
      </w:pPr>
    </w:p>
    <w:p w14:paraId="2A8A0358">
      <w:pPr>
        <w:pStyle w:val="20"/>
        <w:ind w:firstLine="640"/>
        <w:jc w:val="left"/>
        <w:rPr>
          <w:rFonts w:ascii="黑体" w:hAnsi="黑体" w:eastAsia="黑体"/>
          <w:sz w:val="32"/>
          <w:szCs w:val="32"/>
        </w:rPr>
      </w:pPr>
      <w:r>
        <w:rPr>
          <w:rFonts w:hint="eastAsia" w:ascii="黑体" w:hAnsi="黑体" w:eastAsia="黑体"/>
          <w:sz w:val="32"/>
          <w:szCs w:val="32"/>
        </w:rPr>
        <w:t>一、部门职责</w:t>
      </w:r>
    </w:p>
    <w:p w14:paraId="0BAF11FA">
      <w:pPr>
        <w:widowControl/>
        <w:adjustRightInd w:val="0"/>
        <w:snapToGrid w:val="0"/>
        <w:spacing w:line="560" w:lineRule="exact"/>
        <w:ind w:firstLine="640" w:firstLineChars="200"/>
        <w:rPr>
          <w:rFonts w:ascii="仿宋" w:hAnsi="仿宋" w:eastAsia="仿宋"/>
          <w:b/>
          <w:bCs/>
          <w:sz w:val="32"/>
          <w:szCs w:val="32"/>
        </w:rPr>
      </w:pPr>
      <w:r>
        <w:rPr>
          <w:rFonts w:hint="eastAsia" w:ascii="仿宋" w:hAnsi="仿宋" w:eastAsia="仿宋"/>
          <w:b/>
          <w:bCs/>
          <w:sz w:val="32"/>
          <w:szCs w:val="32"/>
        </w:rPr>
        <w:t>部门职能职责</w:t>
      </w:r>
    </w:p>
    <w:p w14:paraId="5651507A">
      <w:pPr>
        <w:spacing w:line="600" w:lineRule="exact"/>
        <w:ind w:firstLine="640" w:firstLineChars="200"/>
        <w:rPr>
          <w:rFonts w:ascii="仿宋" w:hAnsi="仿宋" w:eastAsia="仿宋"/>
          <w:sz w:val="32"/>
          <w:szCs w:val="32"/>
        </w:rPr>
      </w:pPr>
      <w:r>
        <w:rPr>
          <w:rFonts w:hint="eastAsia" w:ascii="仿宋" w:hAnsi="仿宋" w:eastAsia="仿宋"/>
          <w:sz w:val="32"/>
          <w:szCs w:val="32"/>
        </w:rPr>
        <w:t>市委政法委是市委主管政法工作的职能部门。主要职责：1、深入贯彻习近平新时代中国特色社会主义思想，深入贯彻党的路线方针政策和决策部署；2、深入贯彻党中央决定和省委、市委决策，对全市政法工作研究提出全局性部署，推进平安岳阳、法治岳阳建设，加强过硬队伍建设，深化智能化建设，坚决维护国家政治安全、确保社会大局稳定、促进社会公平正义、保障人民安居乐业；3、了解掌握和分析研判政法工作情况动态；4、加强对政法工作的督查，统筹协调社会治安综合治理；5、组织开展政法领域的调查研究，研究拟订政法工作的重要措施；6、掌握分析政法舆情动态；7、监督和支持政法各部门依法行使职权；8、指导推动政法系统党的建设和政法队伍建设，代管市法学会；9、完成市委交办的其也事项。</w:t>
      </w:r>
    </w:p>
    <w:p w14:paraId="08893C0E">
      <w:pPr>
        <w:widowControl/>
        <w:adjustRightInd w:val="0"/>
        <w:snapToGrid w:val="0"/>
        <w:spacing w:line="560" w:lineRule="exact"/>
        <w:ind w:firstLine="627" w:firstLineChars="196"/>
        <w:rPr>
          <w:rFonts w:ascii="黑体" w:hAnsi="黑体" w:eastAsia="黑体"/>
          <w:b/>
          <w:bCs/>
          <w:color w:val="333333"/>
          <w:sz w:val="32"/>
          <w:szCs w:val="32"/>
        </w:rPr>
      </w:pPr>
      <w:r>
        <w:rPr>
          <w:rFonts w:hint="eastAsia" w:ascii="黑体" w:hAnsi="黑体" w:eastAsia="黑体"/>
          <w:b/>
          <w:bCs/>
          <w:color w:val="333333"/>
          <w:sz w:val="32"/>
          <w:szCs w:val="32"/>
        </w:rPr>
        <w:t>二、机构设置及决算单位构成</w:t>
      </w:r>
    </w:p>
    <w:p w14:paraId="13D18F80">
      <w:pPr>
        <w:widowControl/>
        <w:spacing w:line="600" w:lineRule="exact"/>
        <w:ind w:firstLine="640" w:firstLineChars="200"/>
        <w:jc w:val="left"/>
        <w:textAlignment w:val="center"/>
        <w:rPr>
          <w:rFonts w:ascii="仿宋_GB2312" w:hAnsi="宋体" w:eastAsia="仿宋_GB2312"/>
          <w:kern w:val="0"/>
          <w:sz w:val="30"/>
          <w:szCs w:val="30"/>
        </w:rPr>
      </w:pPr>
      <w:r>
        <w:rPr>
          <w:rFonts w:hint="eastAsia" w:ascii="仿宋" w:hAnsi="仿宋" w:eastAsia="仿宋"/>
          <w:sz w:val="32"/>
          <w:szCs w:val="32"/>
        </w:rPr>
        <w:t>（一）</w:t>
      </w:r>
      <w:r>
        <w:rPr>
          <w:rFonts w:hint="eastAsia" w:ascii="仿宋" w:hAnsi="仿宋" w:eastAsia="仿宋"/>
          <w:b/>
          <w:sz w:val="32"/>
          <w:szCs w:val="32"/>
        </w:rPr>
        <w:t>内设</w:t>
      </w:r>
      <w:r>
        <w:rPr>
          <w:rFonts w:hint="eastAsia" w:ascii="仿宋" w:hAnsi="仿宋" w:eastAsia="仿宋"/>
          <w:b/>
          <w:bCs/>
          <w:sz w:val="32"/>
          <w:szCs w:val="32"/>
        </w:rPr>
        <w:t>机构设置</w:t>
      </w:r>
      <w:r>
        <w:rPr>
          <w:rFonts w:hint="eastAsia" w:ascii="仿宋" w:hAnsi="仿宋" w:eastAsia="仿宋"/>
          <w:sz w:val="32"/>
          <w:szCs w:val="32"/>
        </w:rPr>
        <w:t>：</w:t>
      </w:r>
      <w:r>
        <w:rPr>
          <w:rFonts w:hint="eastAsia" w:ascii="仿宋_GB2312" w:eastAsia="仿宋_GB2312"/>
          <w:kern w:val="0"/>
          <w:sz w:val="30"/>
          <w:szCs w:val="30"/>
        </w:rPr>
        <w:t>根据市委编办核定，我委设置13个内设部室和1个群团机构，</w:t>
      </w:r>
      <w:r>
        <w:rPr>
          <w:rFonts w:hint="eastAsia" w:ascii="仿宋_GB2312" w:hAnsi="宋体" w:eastAsia="仿宋_GB2312"/>
          <w:kern w:val="0"/>
          <w:sz w:val="30"/>
          <w:szCs w:val="30"/>
        </w:rPr>
        <w:t>内设科室包括：办公室、政治部、政策研究室、政治安全室、维稳指导室、综治督导室、基层社会治理室、反邪教协调室、执法监督室、法治室、宣传教育室、扫黑除恶指导室</w:t>
      </w:r>
    </w:p>
    <w:p w14:paraId="697ACDA1">
      <w:pPr>
        <w:widowControl/>
        <w:spacing w:line="600" w:lineRule="exact"/>
        <w:ind w:firstLine="600"/>
        <w:jc w:val="left"/>
        <w:textAlignment w:val="center"/>
        <w:rPr>
          <w:rFonts w:ascii="仿宋_GB2312" w:hAnsi="宋体" w:eastAsia="仿宋_GB2312"/>
          <w:kern w:val="0"/>
          <w:sz w:val="30"/>
          <w:szCs w:val="30"/>
        </w:rPr>
      </w:pPr>
      <w:r>
        <w:rPr>
          <w:rFonts w:hint="eastAsia" w:ascii="仿宋_GB2312" w:hAnsi="宋体" w:eastAsia="仿宋_GB2312"/>
          <w:kern w:val="0"/>
          <w:sz w:val="30"/>
          <w:szCs w:val="30"/>
        </w:rPr>
        <w:t>机关党委（纪委）按章程设置。</w:t>
      </w:r>
    </w:p>
    <w:p w14:paraId="024F151C">
      <w:pPr>
        <w:widowControl/>
        <w:spacing w:line="600" w:lineRule="exact"/>
        <w:ind w:firstLine="600"/>
        <w:jc w:val="left"/>
        <w:textAlignment w:val="center"/>
        <w:rPr>
          <w:rFonts w:ascii="黑体" w:hAnsi="黑体" w:eastAsia="仿宋"/>
          <w:b/>
          <w:bCs/>
          <w:color w:val="333333"/>
          <w:sz w:val="32"/>
          <w:szCs w:val="32"/>
        </w:rPr>
      </w:pPr>
      <w:r>
        <w:rPr>
          <w:rFonts w:hint="eastAsia" w:ascii="仿宋" w:hAnsi="仿宋" w:eastAsia="仿宋"/>
          <w:sz w:val="32"/>
          <w:szCs w:val="32"/>
        </w:rPr>
        <w:t>正科级群团机构：法学会办公室。</w:t>
      </w:r>
    </w:p>
    <w:p w14:paraId="6813CDE0">
      <w:pPr>
        <w:widowControl/>
        <w:spacing w:line="600" w:lineRule="exact"/>
        <w:ind w:firstLine="600"/>
        <w:jc w:val="left"/>
        <w:textAlignment w:val="center"/>
        <w:rPr>
          <w:rFonts w:ascii="黑体" w:hAnsi="黑体" w:eastAsia="仿宋"/>
          <w:b/>
          <w:bCs/>
          <w:color w:val="333333"/>
          <w:sz w:val="32"/>
          <w:szCs w:val="32"/>
        </w:rPr>
      </w:pPr>
      <w:r>
        <w:rPr>
          <w:rFonts w:hint="eastAsia" w:ascii="黑体" w:hAnsi="黑体" w:eastAsia="仿宋"/>
          <w:b/>
          <w:bCs/>
          <w:color w:val="333333"/>
          <w:sz w:val="32"/>
          <w:szCs w:val="32"/>
        </w:rPr>
        <w:t>（二）决算单位构成：</w:t>
      </w:r>
      <w:r>
        <w:rPr>
          <w:rFonts w:hint="eastAsia" w:ascii="仿宋" w:hAnsi="仿宋" w:eastAsia="仿宋" w:cs="楷体_GB2312"/>
          <w:kern w:val="0"/>
          <w:sz w:val="32"/>
          <w:szCs w:val="32"/>
        </w:rPr>
        <w:t>本单位无独立核算的下属单位，</w:t>
      </w:r>
      <w:r>
        <w:rPr>
          <w:rFonts w:hint="eastAsia" w:ascii="仿宋_GB2312" w:eastAsia="仿宋_GB2312"/>
          <w:kern w:val="0"/>
          <w:sz w:val="32"/>
          <w:szCs w:val="32"/>
        </w:rPr>
        <w:t>2023年部门决算汇总公开单位仅包括中共岳阳市委政法委员会本级。</w:t>
      </w:r>
    </w:p>
    <w:p w14:paraId="527DFB64">
      <w:pPr>
        <w:widowControl/>
        <w:adjustRightInd w:val="0"/>
        <w:snapToGrid w:val="0"/>
        <w:spacing w:line="600" w:lineRule="exact"/>
        <w:rPr>
          <w:rFonts w:ascii="仿宋" w:hAnsi="仿宋" w:eastAsia="仿宋"/>
          <w:color w:val="333333"/>
          <w:sz w:val="32"/>
          <w:szCs w:val="32"/>
        </w:rPr>
      </w:pPr>
    </w:p>
    <w:p w14:paraId="39A54BBD">
      <w:pPr>
        <w:pStyle w:val="7"/>
        <w:spacing w:line="600" w:lineRule="exact"/>
      </w:pPr>
    </w:p>
    <w:p w14:paraId="15576C1A">
      <w:pPr>
        <w:pStyle w:val="3"/>
        <w:spacing w:line="600" w:lineRule="exact"/>
        <w:ind w:firstLine="480"/>
      </w:pPr>
    </w:p>
    <w:p w14:paraId="55DADE23"/>
    <w:p w14:paraId="4888C380">
      <w:pPr>
        <w:pStyle w:val="7"/>
      </w:pPr>
    </w:p>
    <w:p w14:paraId="41C0D6B9">
      <w:pPr>
        <w:pStyle w:val="3"/>
        <w:ind w:firstLine="480"/>
      </w:pPr>
    </w:p>
    <w:p w14:paraId="1DFA4D27"/>
    <w:p w14:paraId="266E91C2">
      <w:pPr>
        <w:pStyle w:val="7"/>
      </w:pPr>
    </w:p>
    <w:p w14:paraId="0E20106D">
      <w:pPr>
        <w:pStyle w:val="14"/>
        <w:jc w:val="center"/>
        <w:rPr>
          <w:rFonts w:ascii="方正小标宋_GBK" w:hAnsi="方正小标宋_GBK" w:eastAsia="方正小标宋_GBK" w:cs="方正小标宋_GBK"/>
          <w:sz w:val="84"/>
          <w:szCs w:val="84"/>
        </w:rPr>
      </w:pPr>
    </w:p>
    <w:p w14:paraId="7ADA88FA">
      <w:pPr>
        <w:pStyle w:val="14"/>
        <w:jc w:val="center"/>
        <w:rPr>
          <w:rFonts w:ascii="方正小标宋_GBK" w:hAnsi="方正小标宋_GBK" w:eastAsia="方正小标宋_GBK" w:cs="方正小标宋_GBK"/>
          <w:sz w:val="84"/>
          <w:szCs w:val="84"/>
        </w:rPr>
      </w:pPr>
    </w:p>
    <w:p w14:paraId="2CC5E64B">
      <w:pPr>
        <w:pStyle w:val="14"/>
        <w:jc w:val="center"/>
        <w:rPr>
          <w:rFonts w:ascii="方正小标宋_GBK" w:hAnsi="方正小标宋_GBK" w:eastAsia="方正小标宋_GBK" w:cs="方正小标宋_GBK"/>
          <w:sz w:val="84"/>
          <w:szCs w:val="84"/>
        </w:rPr>
      </w:pPr>
    </w:p>
    <w:p w14:paraId="4BD62EDC">
      <w:pPr>
        <w:pStyle w:val="14"/>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7B3DE739">
      <w:pPr>
        <w:pStyle w:val="14"/>
        <w:jc w:val="center"/>
        <w:rPr>
          <w:rFonts w:ascii="方正小标宋_GBK" w:hAnsi="方正小标宋_GBK" w:eastAsia="方正小标宋_GBK" w:cs="方正小标宋_GBK"/>
          <w:sz w:val="84"/>
          <w:szCs w:val="84"/>
        </w:rPr>
      </w:pPr>
    </w:p>
    <w:p w14:paraId="33B4D7E0">
      <w:pPr>
        <w:pStyle w:val="14"/>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32002F9F">
      <w:pPr>
        <w:pStyle w:val="14"/>
        <w:jc w:val="center"/>
        <w:rPr>
          <w:rFonts w:ascii="仿宋_GB2312" w:hAnsi="仿宋_GB2312" w:eastAsia="仿宋_GB2312" w:cs="仿宋_GB2312"/>
          <w:sz w:val="72"/>
          <w:szCs w:val="72"/>
        </w:rPr>
      </w:pPr>
      <w:r>
        <w:rPr>
          <w:rFonts w:hint="eastAsia" w:ascii="仿宋_GB2312" w:hAnsi="仿宋_GB2312" w:eastAsia="仿宋_GB2312" w:cs="仿宋_GB2312"/>
          <w:sz w:val="72"/>
          <w:szCs w:val="72"/>
        </w:rPr>
        <w:t>（见附件）</w:t>
      </w:r>
    </w:p>
    <w:p w14:paraId="72D3A64C">
      <w:pPr>
        <w:pStyle w:val="14"/>
        <w:jc w:val="center"/>
        <w:rPr>
          <w:rFonts w:ascii="仿宋_GB2312" w:hAnsi="仿宋_GB2312" w:eastAsia="仿宋_GB2312" w:cs="仿宋_GB2312"/>
          <w:sz w:val="72"/>
          <w:szCs w:val="72"/>
        </w:rPr>
      </w:pPr>
    </w:p>
    <w:p w14:paraId="33BF7487">
      <w:pPr>
        <w:pStyle w:val="14"/>
        <w:jc w:val="center"/>
        <w:rPr>
          <w:rFonts w:ascii="仿宋_GB2312" w:hAnsi="仿宋_GB2312" w:eastAsia="仿宋_GB2312" w:cs="仿宋_GB2312"/>
          <w:sz w:val="72"/>
          <w:szCs w:val="72"/>
        </w:rPr>
      </w:pPr>
    </w:p>
    <w:p w14:paraId="5D5F58E6">
      <w:pPr>
        <w:pStyle w:val="14"/>
        <w:jc w:val="center"/>
        <w:rPr>
          <w:rFonts w:ascii="仿宋_GB2312" w:hAnsi="仿宋_GB2312" w:eastAsia="仿宋_GB2312" w:cs="仿宋_GB2312"/>
          <w:sz w:val="72"/>
          <w:szCs w:val="72"/>
        </w:rPr>
      </w:pPr>
    </w:p>
    <w:p w14:paraId="5B0E092E">
      <w:pPr>
        <w:pStyle w:val="14"/>
        <w:jc w:val="center"/>
        <w:rPr>
          <w:rFonts w:ascii="仿宋_GB2312" w:hAnsi="仿宋_GB2312" w:eastAsia="仿宋_GB2312" w:cs="仿宋_GB2312"/>
          <w:sz w:val="72"/>
          <w:szCs w:val="72"/>
        </w:rPr>
      </w:pPr>
    </w:p>
    <w:p w14:paraId="7B8EEFCE">
      <w:pPr>
        <w:pStyle w:val="14"/>
        <w:jc w:val="center"/>
        <w:rPr>
          <w:rFonts w:ascii="仿宋_GB2312" w:hAnsi="仿宋_GB2312" w:eastAsia="仿宋_GB2312" w:cs="仿宋_GB2312"/>
          <w:sz w:val="72"/>
          <w:szCs w:val="72"/>
        </w:rPr>
      </w:pPr>
    </w:p>
    <w:p w14:paraId="446FDD6B">
      <w:pPr>
        <w:pStyle w:val="14"/>
        <w:jc w:val="center"/>
        <w:rPr>
          <w:rFonts w:ascii="仿宋_GB2312" w:hAnsi="仿宋_GB2312" w:eastAsia="仿宋_GB2312" w:cs="仿宋_GB2312"/>
          <w:sz w:val="72"/>
          <w:szCs w:val="72"/>
        </w:rPr>
      </w:pPr>
    </w:p>
    <w:p w14:paraId="0DEB9851">
      <w:pPr>
        <w:pStyle w:val="14"/>
        <w:jc w:val="center"/>
        <w:rPr>
          <w:rFonts w:ascii="仿宋_GB2312" w:hAnsi="仿宋_GB2312" w:eastAsia="仿宋_GB2312" w:cs="仿宋_GB2312"/>
          <w:sz w:val="72"/>
          <w:szCs w:val="72"/>
        </w:rPr>
      </w:pPr>
    </w:p>
    <w:p w14:paraId="3098752A">
      <w:pPr>
        <w:pStyle w:val="14"/>
        <w:jc w:val="both"/>
        <w:rPr>
          <w:rFonts w:ascii="方正小标宋_GBK" w:hAnsi="方正小标宋_GBK" w:eastAsia="方正小标宋_GBK" w:cs="方正小标宋_GBK"/>
          <w:sz w:val="72"/>
          <w:szCs w:val="72"/>
        </w:rPr>
      </w:pPr>
    </w:p>
    <w:p w14:paraId="40C81F3C">
      <w:pPr>
        <w:pStyle w:val="14"/>
        <w:jc w:val="center"/>
        <w:rPr>
          <w:rFonts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6A8B2425">
      <w:pPr>
        <w:pStyle w:val="14"/>
        <w:jc w:val="center"/>
        <w:rPr>
          <w:rFonts w:ascii="方正小标宋_GBK" w:hAnsi="方正小标宋_GBK" w:eastAsia="方正小标宋_GBK" w:cs="方正小标宋_GBK"/>
          <w:sz w:val="70"/>
          <w:szCs w:val="70"/>
        </w:rPr>
      </w:pPr>
    </w:p>
    <w:p w14:paraId="3D9AC635">
      <w:pPr>
        <w:pStyle w:val="14"/>
        <w:jc w:val="center"/>
        <w:rPr>
          <w:rFonts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2023年度部门决算情况说明</w:t>
      </w:r>
    </w:p>
    <w:p w14:paraId="57F99C37">
      <w:pPr>
        <w:pStyle w:val="14"/>
        <w:jc w:val="center"/>
        <w:rPr>
          <w:rFonts w:ascii="方正小标宋_GBK" w:hAnsi="方正小标宋_GBK" w:eastAsia="方正小标宋_GBK" w:cs="方正小标宋_GBK"/>
          <w:sz w:val="70"/>
          <w:szCs w:val="70"/>
        </w:rPr>
      </w:pPr>
    </w:p>
    <w:p w14:paraId="62B94717">
      <w:pPr>
        <w:pStyle w:val="14"/>
        <w:jc w:val="center"/>
        <w:rPr>
          <w:rFonts w:ascii="方正小标宋_GBK" w:hAnsi="方正小标宋_GBK" w:eastAsia="方正小标宋_GBK" w:cs="方正小标宋_GBK"/>
          <w:sz w:val="70"/>
          <w:szCs w:val="70"/>
        </w:rPr>
      </w:pPr>
    </w:p>
    <w:p w14:paraId="6B764E44">
      <w:pPr>
        <w:pStyle w:val="14"/>
        <w:rPr>
          <w:rFonts w:ascii="方正小标宋_GBK" w:hAnsi="方正小标宋_GBK" w:eastAsia="方正小标宋_GBK" w:cs="方正小标宋_GBK"/>
          <w:sz w:val="70"/>
          <w:szCs w:val="70"/>
        </w:rPr>
      </w:pPr>
    </w:p>
    <w:p w14:paraId="0C305512">
      <w:pPr>
        <w:pStyle w:val="14"/>
        <w:rPr>
          <w:rFonts w:ascii="方正小标宋_GBK" w:hAnsi="方正小标宋_GBK" w:eastAsia="方正小标宋_GBK" w:cs="方正小标宋_GBK"/>
          <w:sz w:val="70"/>
          <w:szCs w:val="70"/>
        </w:rPr>
      </w:pPr>
    </w:p>
    <w:p w14:paraId="67D5CF95">
      <w:pPr>
        <w:pStyle w:val="14"/>
        <w:rPr>
          <w:rFonts w:ascii="方正小标宋_GBK" w:hAnsi="方正小标宋_GBK" w:eastAsia="方正小标宋_GBK" w:cs="方正小标宋_GBK"/>
          <w:sz w:val="70"/>
          <w:szCs w:val="70"/>
        </w:rPr>
      </w:pPr>
    </w:p>
    <w:p w14:paraId="406A1D2D">
      <w:pPr>
        <w:pStyle w:val="14"/>
        <w:rPr>
          <w:rFonts w:ascii="方正小标宋_GBK" w:hAnsi="方正小标宋_GBK" w:eastAsia="方正小标宋_GBK" w:cs="方正小标宋_GBK"/>
          <w:sz w:val="70"/>
          <w:szCs w:val="70"/>
        </w:rPr>
      </w:pPr>
    </w:p>
    <w:p w14:paraId="6EAA1D3B">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说明：1、由于部门决算编制时数据明细至“金额单位：元”，而本套部门决算文字说明和公开表格数据取数转换为“金额单位：万元”，可能导致以下文字说明中的各项数据取数以及公开表格中的各项数据取数之间存在0.01的尾数差异。2、以下文字说明中，部分科目由于预算数为0，无法计算完成年初预算的百分比，故未描述“完成年初预算的XX%”。）</w:t>
      </w:r>
    </w:p>
    <w:p w14:paraId="5EB7307F">
      <w:pPr>
        <w:pStyle w:val="14"/>
        <w:spacing w:line="600" w:lineRule="exact"/>
        <w:ind w:firstLine="640" w:firstLineChars="200"/>
        <w:rPr>
          <w:rFonts w:hAnsi="黑体"/>
          <w:bCs/>
          <w:sz w:val="32"/>
          <w:szCs w:val="32"/>
        </w:rPr>
      </w:pPr>
      <w:r>
        <w:rPr>
          <w:rFonts w:hint="eastAsia" w:hAnsi="黑体"/>
          <w:bCs/>
          <w:sz w:val="32"/>
          <w:szCs w:val="32"/>
        </w:rPr>
        <w:t>一、收入支出决算总体情况说明</w:t>
      </w:r>
    </w:p>
    <w:p w14:paraId="4F77FBD8">
      <w:pPr>
        <w:pStyle w:val="14"/>
        <w:ind w:firstLine="640" w:firstLineChars="200"/>
        <w:jc w:val="both"/>
        <w:rPr>
          <w:rFonts w:ascii="宋体" w:hAnsi="宋体" w:eastAsia="宋体"/>
          <w:sz w:val="32"/>
          <w:szCs w:val="32"/>
        </w:rPr>
      </w:pPr>
      <w:r>
        <w:rPr>
          <w:rFonts w:hint="eastAsia" w:ascii="仿宋_GB2312" w:eastAsia="仿宋_GB2312"/>
          <w:sz w:val="32"/>
          <w:szCs w:val="32"/>
        </w:rPr>
        <w:t>2023年度收、支总计1382.47万元。与上年相比，减少184.47万元，减少11.77%，主要是因为</w:t>
      </w:r>
      <w:r>
        <w:rPr>
          <w:rFonts w:hint="eastAsia" w:ascii="仿宋" w:hAnsi="仿宋" w:eastAsia="仿宋"/>
          <w:sz w:val="32"/>
          <w:szCs w:val="32"/>
        </w:rPr>
        <w:t>过紧日子，厉行节约压缩开支。</w:t>
      </w:r>
    </w:p>
    <w:p w14:paraId="2558EB18">
      <w:pPr>
        <w:pStyle w:val="14"/>
        <w:spacing w:line="600" w:lineRule="exact"/>
        <w:ind w:firstLine="640" w:firstLineChars="200"/>
        <w:rPr>
          <w:rFonts w:hAnsi="黑体"/>
          <w:bCs/>
          <w:sz w:val="32"/>
          <w:szCs w:val="32"/>
        </w:rPr>
      </w:pPr>
      <w:r>
        <w:rPr>
          <w:rFonts w:hint="eastAsia" w:hAnsi="黑体"/>
          <w:bCs/>
          <w:sz w:val="32"/>
          <w:szCs w:val="32"/>
        </w:rPr>
        <w:t>二、收入决算情况说明</w:t>
      </w:r>
    </w:p>
    <w:p w14:paraId="5766526B">
      <w:pPr>
        <w:pStyle w:val="21"/>
        <w:ind w:firstLine="640" w:firstLineChars="200"/>
      </w:pPr>
      <w:r>
        <w:rPr>
          <w:rFonts w:hint="eastAsia" w:ascii="仿宋_GB2312" w:eastAsia="仿宋_GB2312"/>
          <w:sz w:val="32"/>
          <w:szCs w:val="32"/>
        </w:rPr>
        <w:t>2023年度收入合计1382.47万元，其中：财政拨款收入1293.19万元，占93.5</w:t>
      </w:r>
      <w:r>
        <w:rPr>
          <w:rFonts w:hint="eastAsia" w:ascii="仿宋_GB2312" w:eastAsia="仿宋_GB2312"/>
          <w:sz w:val="32"/>
          <w:szCs w:val="32"/>
          <w:lang w:val="en-US" w:eastAsia="zh-CN"/>
        </w:rPr>
        <w:t>4</w:t>
      </w:r>
      <w:r>
        <w:rPr>
          <w:rFonts w:hint="eastAsia" w:ascii="仿宋_GB2312" w:eastAsia="仿宋_GB2312"/>
          <w:sz w:val="32"/>
          <w:szCs w:val="32"/>
        </w:rPr>
        <w:t>%；上级补助收入0万元，占0%；事业收入0万元，占0%；经营收入0万元，占0%；附属单位上缴收入0万元，占0%；其他收入89.27万元，占6.4</w:t>
      </w:r>
      <w:r>
        <w:rPr>
          <w:rFonts w:hint="eastAsia" w:ascii="仿宋_GB2312" w:eastAsia="仿宋_GB2312"/>
          <w:sz w:val="32"/>
          <w:szCs w:val="32"/>
          <w:lang w:val="en-US" w:eastAsia="zh-CN"/>
        </w:rPr>
        <w:t>6</w:t>
      </w:r>
      <w:r>
        <w:rPr>
          <w:rFonts w:hint="eastAsia" w:ascii="仿宋_GB2312" w:eastAsia="仿宋_GB2312"/>
          <w:sz w:val="32"/>
          <w:szCs w:val="32"/>
        </w:rPr>
        <w:t>%。</w:t>
      </w:r>
    </w:p>
    <w:p w14:paraId="6E83BB3D">
      <w:pPr>
        <w:pStyle w:val="14"/>
        <w:spacing w:line="600" w:lineRule="exact"/>
        <w:ind w:firstLine="640" w:firstLineChars="200"/>
        <w:rPr>
          <w:rFonts w:hAnsi="黑体"/>
          <w:bCs/>
          <w:sz w:val="32"/>
          <w:szCs w:val="32"/>
        </w:rPr>
      </w:pPr>
      <w:r>
        <w:rPr>
          <w:rFonts w:hint="eastAsia" w:hAnsi="黑体"/>
          <w:bCs/>
          <w:sz w:val="32"/>
          <w:szCs w:val="32"/>
        </w:rPr>
        <w:t>三、支出决算情况说明</w:t>
      </w:r>
    </w:p>
    <w:p w14:paraId="42BC8A36">
      <w:pPr>
        <w:pStyle w:val="14"/>
        <w:spacing w:line="600" w:lineRule="exact"/>
        <w:ind w:firstLine="640" w:firstLineChars="200"/>
        <w:rPr>
          <w:rFonts w:ascii="仿宋_GB2312" w:eastAsia="仿宋_GB2312"/>
          <w:sz w:val="32"/>
          <w:szCs w:val="32"/>
        </w:rPr>
      </w:pPr>
      <w:r>
        <w:rPr>
          <w:rFonts w:hint="eastAsia" w:ascii="仿宋_GB2312" w:eastAsia="仿宋_GB2312"/>
          <w:sz w:val="32"/>
          <w:szCs w:val="32"/>
        </w:rPr>
        <w:t>2023年度支出合计1382.46万元，其中：基本支出794.86万元，占57.50%；项目支出587.6万元，占42.5%；上缴上级支出0万元，占0%；经营支出0万元，占0%；对附属单位补助支出0万元，占0%。</w:t>
      </w:r>
    </w:p>
    <w:p w14:paraId="6C198E8A">
      <w:pPr>
        <w:pStyle w:val="14"/>
        <w:spacing w:line="600" w:lineRule="exact"/>
        <w:ind w:firstLine="640" w:firstLineChars="200"/>
        <w:rPr>
          <w:rFonts w:hAnsi="黑体"/>
          <w:bCs/>
          <w:sz w:val="32"/>
          <w:szCs w:val="32"/>
        </w:rPr>
      </w:pPr>
      <w:r>
        <w:rPr>
          <w:rFonts w:hint="eastAsia" w:hAnsi="黑体"/>
          <w:bCs/>
          <w:sz w:val="32"/>
          <w:szCs w:val="32"/>
        </w:rPr>
        <w:t>四、财政拨款收入支出决算总体情况说明</w:t>
      </w:r>
    </w:p>
    <w:p w14:paraId="79B44354">
      <w:pPr>
        <w:pStyle w:val="14"/>
        <w:spacing w:line="600" w:lineRule="exact"/>
        <w:ind w:firstLine="640" w:firstLineChars="200"/>
        <w:rPr>
          <w:rFonts w:ascii="仿宋_GB2312" w:eastAsia="仿宋_GB2312"/>
          <w:sz w:val="32"/>
          <w:szCs w:val="32"/>
        </w:rPr>
      </w:pPr>
      <w:r>
        <w:rPr>
          <w:rFonts w:hint="eastAsia" w:ascii="仿宋_GB2312" w:eastAsia="仿宋_GB2312"/>
          <w:sz w:val="32"/>
          <w:szCs w:val="32"/>
        </w:rPr>
        <w:t>2023年度财政拨款收、支总计1293.19万元，与上年相比，减少184.8万元,减少12.5%，主要是因为</w:t>
      </w:r>
      <w:r>
        <w:rPr>
          <w:rFonts w:hint="eastAsia" w:ascii="仿宋" w:hAnsi="仿宋" w:eastAsia="仿宋"/>
          <w:sz w:val="32"/>
          <w:szCs w:val="32"/>
        </w:rPr>
        <w:t>过紧日子，厉行节约压缩开支。</w:t>
      </w:r>
    </w:p>
    <w:p w14:paraId="7773B14F">
      <w:pPr>
        <w:pStyle w:val="14"/>
        <w:spacing w:line="600" w:lineRule="exact"/>
        <w:ind w:firstLine="640" w:firstLineChars="200"/>
        <w:rPr>
          <w:rFonts w:hAnsi="黑体"/>
          <w:bCs/>
          <w:sz w:val="32"/>
          <w:szCs w:val="32"/>
        </w:rPr>
      </w:pPr>
      <w:r>
        <w:rPr>
          <w:rFonts w:hint="eastAsia" w:hAnsi="黑体"/>
          <w:bCs/>
          <w:sz w:val="32"/>
          <w:szCs w:val="32"/>
        </w:rPr>
        <w:t>五、一般公共预算财政拨款支出决算情况说明</w:t>
      </w:r>
    </w:p>
    <w:p w14:paraId="2AD3DF61">
      <w:pPr>
        <w:pStyle w:val="14"/>
        <w:spacing w:line="600" w:lineRule="exact"/>
        <w:ind w:firstLine="640" w:firstLineChars="200"/>
        <w:rPr>
          <w:rFonts w:ascii="仿宋_GB2312" w:eastAsia="仿宋_GB2312"/>
          <w:bCs/>
          <w:sz w:val="32"/>
          <w:szCs w:val="32"/>
        </w:rPr>
      </w:pPr>
      <w:r>
        <w:rPr>
          <w:rFonts w:hint="eastAsia" w:ascii="仿宋_GB2312" w:eastAsia="仿宋_GB2312"/>
          <w:bCs/>
          <w:sz w:val="32"/>
          <w:szCs w:val="32"/>
        </w:rPr>
        <w:t>（一）一般公共预算财政拨款支出决算总体情况</w:t>
      </w:r>
    </w:p>
    <w:p w14:paraId="5F96B737">
      <w:pPr>
        <w:pStyle w:val="14"/>
        <w:spacing w:line="600" w:lineRule="exact"/>
        <w:ind w:firstLine="800" w:firstLineChars="250"/>
        <w:rPr>
          <w:rFonts w:ascii="仿宋" w:hAnsi="仿宋" w:eastAsia="仿宋"/>
          <w:sz w:val="32"/>
          <w:szCs w:val="32"/>
        </w:rPr>
      </w:pPr>
      <w:r>
        <w:rPr>
          <w:rFonts w:hint="eastAsia" w:ascii="仿宋_GB2312" w:eastAsia="仿宋_GB2312"/>
          <w:sz w:val="32"/>
          <w:szCs w:val="32"/>
        </w:rPr>
        <w:t>2023年度财政拨款支出1293.19万元，占本年支出合计的</w:t>
      </w:r>
      <w:r>
        <w:rPr>
          <w:rFonts w:hint="eastAsia" w:ascii="仿宋_GB2312" w:eastAsia="仿宋_GB2312"/>
          <w:sz w:val="32"/>
          <w:szCs w:val="32"/>
          <w:lang w:val="en-US" w:eastAsia="zh-CN"/>
        </w:rPr>
        <w:t>93.54</w:t>
      </w:r>
      <w:r>
        <w:rPr>
          <w:rFonts w:hint="eastAsia" w:ascii="仿宋_GB2312" w:eastAsia="仿宋_GB2312"/>
          <w:sz w:val="32"/>
          <w:szCs w:val="32"/>
        </w:rPr>
        <w:t>%，与上年相比，财政拨款支出减少184.8万元，减少12.5%，主要是因为</w:t>
      </w:r>
      <w:r>
        <w:rPr>
          <w:rFonts w:hint="eastAsia" w:ascii="仿宋" w:hAnsi="仿宋" w:eastAsia="仿宋"/>
          <w:sz w:val="32"/>
          <w:szCs w:val="32"/>
        </w:rPr>
        <w:t>过紧日子，厉行节约压缩开支。</w:t>
      </w:r>
    </w:p>
    <w:p w14:paraId="6D0BD47A">
      <w:pPr>
        <w:pStyle w:val="14"/>
        <w:spacing w:line="600" w:lineRule="exact"/>
        <w:ind w:firstLine="800" w:firstLineChars="250"/>
        <w:rPr>
          <w:rFonts w:ascii="仿宋_GB2312" w:eastAsia="仿宋_GB2312"/>
          <w:bCs/>
          <w:sz w:val="32"/>
          <w:szCs w:val="32"/>
        </w:rPr>
      </w:pPr>
      <w:r>
        <w:rPr>
          <w:rFonts w:hint="eastAsia" w:ascii="仿宋_GB2312" w:eastAsia="仿宋_GB2312"/>
          <w:bCs/>
          <w:sz w:val="32"/>
          <w:szCs w:val="32"/>
        </w:rPr>
        <w:t>（二）一般公共预算财政拨款支出决算结构情况</w:t>
      </w:r>
    </w:p>
    <w:p w14:paraId="064229CD">
      <w:pPr>
        <w:pStyle w:val="14"/>
        <w:spacing w:line="600" w:lineRule="exact"/>
        <w:ind w:firstLine="640" w:firstLineChars="200"/>
        <w:jc w:val="both"/>
        <w:rPr>
          <w:rFonts w:ascii="仿宋_GB2312" w:eastAsia="仿宋_GB2312"/>
          <w:sz w:val="32"/>
          <w:szCs w:val="32"/>
        </w:rPr>
      </w:pPr>
      <w:r>
        <w:rPr>
          <w:rFonts w:hint="eastAsia" w:ascii="仿宋_GB2312" w:eastAsia="仿宋_GB2312"/>
          <w:sz w:val="32"/>
          <w:szCs w:val="32"/>
        </w:rPr>
        <w:t>2023年度财政拨款支出1293.19万元，主要用于以下方面：一般公共服务（类）支出1067.03万元，占82.51%；公共安全支出35.09万元，占2.71%;社会保障和就业支出109.23万元,占8.45%;卫生健康支出25.60万元,占1.98%;住房保障支出56.24万元,占4.35%。</w:t>
      </w:r>
    </w:p>
    <w:p w14:paraId="6233EE5A">
      <w:pPr>
        <w:pStyle w:val="14"/>
        <w:spacing w:line="600" w:lineRule="exact"/>
        <w:ind w:firstLine="800" w:firstLineChars="25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（三）一般公共预算财政拨款支出决算具体情况</w:t>
      </w:r>
    </w:p>
    <w:p w14:paraId="57D92C65">
      <w:pPr>
        <w:pStyle w:val="14"/>
        <w:spacing w:line="600" w:lineRule="exact"/>
        <w:ind w:firstLine="800" w:firstLineChars="25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2023年度财政拨款支出年初预算数为1154.75万元，支出决算数为1293.19万元，完成年初预算的111.99%，其中：</w:t>
      </w:r>
    </w:p>
    <w:p w14:paraId="1B92723C">
      <w:pPr>
        <w:pStyle w:val="14"/>
        <w:spacing w:line="600" w:lineRule="exact"/>
        <w:ind w:firstLine="800" w:firstLineChars="25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1、一般公共服务（类）党委办公厅（室）及相关机构事务（款）行政运行（项）。</w:t>
      </w:r>
    </w:p>
    <w:p w14:paraId="0F81BBA5">
      <w:pPr>
        <w:pStyle w:val="14"/>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年初预算为435.95万元，支出决算为552.53万元，完成年初预算的126.74%，决算数大于年初预算数的主要原因是：全国市域社会治理现代化试点合格城市验收及群英断是非工作等相关工作费用增加等。</w:t>
      </w:r>
    </w:p>
    <w:p w14:paraId="181C3633">
      <w:pPr>
        <w:pStyle w:val="14"/>
        <w:spacing w:line="600" w:lineRule="exact"/>
        <w:ind w:firstLine="800" w:firstLineChars="25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2、一般公共服务（类）党委办公厅（室）及相关机构事务（款）行政管理事务（项）。</w:t>
      </w:r>
    </w:p>
    <w:p w14:paraId="25466210">
      <w:pPr>
        <w:pStyle w:val="14"/>
        <w:spacing w:line="600" w:lineRule="exact"/>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年初预算为246.20万元，支出决算为181.25万元，完成年初预算的73.62%，决算数小于年初预算数的主要原因是厉行节约，严控专项支出。</w:t>
      </w:r>
    </w:p>
    <w:p w14:paraId="364A38BE">
      <w:pPr>
        <w:pStyle w:val="14"/>
        <w:spacing w:line="600" w:lineRule="exact"/>
        <w:ind w:firstLine="800" w:firstLineChars="25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3、一般公共服务（类）党委办公厅（室）及相关机构事务（款）其他党委办公厅（室）及相关机构事务支出（项）。</w:t>
      </w:r>
    </w:p>
    <w:p w14:paraId="55A775FF">
      <w:pPr>
        <w:pStyle w:val="14"/>
        <w:spacing w:line="600" w:lineRule="exact"/>
        <w:ind w:firstLine="800" w:firstLineChars="25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年初预算为284.74万元，支出决算为322.16万元，完成年初预算的113.14%，决算数大于年初预算数的主要原因是年度重点工作增加的相关工作费用。</w:t>
      </w:r>
    </w:p>
    <w:p w14:paraId="6751D8A1">
      <w:pPr>
        <w:pStyle w:val="14"/>
        <w:spacing w:line="600" w:lineRule="exact"/>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4、公共安全支出（类）司法（款）一般行政管理事务支出（项）。</w:t>
      </w:r>
    </w:p>
    <w:p w14:paraId="02E83B88">
      <w:pPr>
        <w:pStyle w:val="14"/>
        <w:spacing w:line="600" w:lineRule="exact"/>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年初预算为0万元，支出决算为32万元，决算数大于年初预算数的主要原因是：新增专项工作等。</w:t>
      </w:r>
    </w:p>
    <w:p w14:paraId="58930970">
      <w:pPr>
        <w:pStyle w:val="14"/>
        <w:ind w:firstLine="800" w:firstLineChars="250"/>
        <w:rPr>
          <w:rFonts w:ascii="仿宋" w:hAnsi="仿宋" w:eastAsia="仿宋"/>
          <w:sz w:val="32"/>
          <w:szCs w:val="32"/>
        </w:rPr>
      </w:pPr>
      <w:r>
        <w:rPr>
          <w:rFonts w:hint="eastAsia" w:ascii="仿宋_GB2312" w:hAnsi="仿宋_GB2312" w:eastAsia="仿宋_GB2312" w:cs="仿宋_GB2312"/>
          <w:sz w:val="32"/>
          <w:szCs w:val="32"/>
        </w:rPr>
        <w:t>5、</w:t>
      </w:r>
      <w:r>
        <w:rPr>
          <w:rFonts w:hint="eastAsia" w:ascii="仿宋" w:hAnsi="仿宋" w:eastAsia="仿宋"/>
          <w:sz w:val="32"/>
          <w:szCs w:val="32"/>
        </w:rPr>
        <w:t>公共安全支出（类）其他公共安全支出（款、项）。</w:t>
      </w:r>
    </w:p>
    <w:p w14:paraId="1BDDE894">
      <w:pPr>
        <w:pStyle w:val="14"/>
        <w:ind w:firstLine="640" w:firstLineChars="200"/>
        <w:rPr>
          <w:rFonts w:ascii="仿宋" w:hAnsi="仿宋" w:eastAsia="仿宋"/>
          <w:sz w:val="32"/>
          <w:szCs w:val="32"/>
        </w:rPr>
      </w:pPr>
      <w:r>
        <w:rPr>
          <w:rFonts w:hint="eastAsia" w:ascii="仿宋" w:hAnsi="仿宋" w:eastAsia="仿宋"/>
          <w:sz w:val="32"/>
          <w:szCs w:val="32"/>
        </w:rPr>
        <w:t>年初预算为0万元，支出决算为3.09万元，决算数大于年初预算数的主要原因是：新增专项支出等。</w:t>
      </w:r>
    </w:p>
    <w:p w14:paraId="2B3035E8">
      <w:pPr>
        <w:pStyle w:val="14"/>
        <w:spacing w:line="600" w:lineRule="exact"/>
        <w:ind w:firstLine="800" w:firstLineChars="250"/>
        <w:jc w:val="both"/>
        <w:rPr>
          <w:rFonts w:ascii="仿宋_GB2312" w:hAnsi="黑体" w:eastAsia="仿宋_GB2312"/>
          <w:sz w:val="32"/>
          <w:szCs w:val="32"/>
        </w:rPr>
      </w:pPr>
      <w:r>
        <w:rPr>
          <w:rFonts w:hint="eastAsia" w:ascii="仿宋_GB2312" w:eastAsia="仿宋_GB2312"/>
          <w:sz w:val="32"/>
          <w:szCs w:val="32"/>
        </w:rPr>
        <w:t>6、社会保障和就业支出（类）行政事业单位养老支出（款）机关事业单位基本养老保险缴费支出（项）。</w:t>
      </w:r>
    </w:p>
    <w:p w14:paraId="7390CB56">
      <w:pPr>
        <w:pStyle w:val="14"/>
        <w:spacing w:line="600" w:lineRule="exact"/>
        <w:ind w:firstLine="640" w:firstLineChars="200"/>
        <w:jc w:val="both"/>
        <w:rPr>
          <w:rFonts w:ascii="仿宋_GB2312" w:eastAsia="仿宋_GB2312"/>
          <w:sz w:val="32"/>
          <w:szCs w:val="32"/>
        </w:rPr>
      </w:pPr>
      <w:r>
        <w:rPr>
          <w:rFonts w:hint="eastAsia" w:ascii="仿宋_GB2312" w:eastAsia="仿宋_GB2312"/>
          <w:sz w:val="32"/>
          <w:szCs w:val="32"/>
        </w:rPr>
        <w:t>年初预算为91.76万元，支出决算为90.50万元，完成年初预算的98.63%，决算数小于年初预算数是因为人员异动差异。</w:t>
      </w:r>
    </w:p>
    <w:p w14:paraId="2947112E">
      <w:pPr>
        <w:pStyle w:val="14"/>
        <w:spacing w:line="600" w:lineRule="exact"/>
        <w:ind w:firstLine="800" w:firstLineChars="250"/>
        <w:jc w:val="both"/>
        <w:rPr>
          <w:rFonts w:ascii="仿宋_GB2312" w:eastAsia="仿宋_GB2312"/>
          <w:sz w:val="32"/>
          <w:szCs w:val="32"/>
        </w:rPr>
      </w:pPr>
      <w:r>
        <w:rPr>
          <w:rFonts w:hint="eastAsia" w:ascii="仿宋_GB2312" w:eastAsia="仿宋_GB2312"/>
          <w:sz w:val="32"/>
          <w:szCs w:val="32"/>
        </w:rPr>
        <w:t>7、社会保障和就业支出（类）抚恤（款）其他优抚支出（项）。</w:t>
      </w:r>
    </w:p>
    <w:p w14:paraId="266ADFF0">
      <w:pPr>
        <w:pStyle w:val="14"/>
        <w:spacing w:line="600" w:lineRule="exact"/>
        <w:ind w:firstLine="640" w:firstLineChars="200"/>
        <w:jc w:val="both"/>
        <w:rPr>
          <w:rFonts w:ascii="宋体" w:hAnsi="宋体" w:eastAsia="宋体"/>
          <w:sz w:val="32"/>
          <w:szCs w:val="32"/>
        </w:rPr>
      </w:pPr>
      <w:r>
        <w:rPr>
          <w:rFonts w:hint="eastAsia" w:ascii="仿宋_GB2312" w:eastAsia="仿宋_GB2312"/>
          <w:sz w:val="32"/>
          <w:szCs w:val="32"/>
        </w:rPr>
        <w:t>年初预算为0万元，支出决算为18.73万元，决算数大于年初数，主要原因是退休人员许观胜同志去世抚恤费。</w:t>
      </w:r>
    </w:p>
    <w:p w14:paraId="14D59C14">
      <w:pPr>
        <w:pStyle w:val="14"/>
        <w:spacing w:line="600" w:lineRule="exact"/>
        <w:ind w:firstLine="640" w:firstLineChars="200"/>
        <w:jc w:val="both"/>
        <w:rPr>
          <w:rFonts w:ascii="仿宋_GB2312" w:eastAsia="仿宋_GB2312"/>
          <w:sz w:val="32"/>
          <w:szCs w:val="32"/>
        </w:rPr>
      </w:pPr>
      <w:r>
        <w:rPr>
          <w:rFonts w:hint="eastAsia" w:ascii="仿宋_GB2312" w:eastAsia="仿宋_GB2312"/>
          <w:sz w:val="32"/>
          <w:szCs w:val="32"/>
        </w:rPr>
        <w:t>8、卫生健康支出（类）行政事业单位医疗（款）行政单位医疗（项）。</w:t>
      </w:r>
    </w:p>
    <w:p w14:paraId="61D16C14">
      <w:pPr>
        <w:pStyle w:val="14"/>
        <w:spacing w:line="600" w:lineRule="exact"/>
        <w:ind w:firstLine="640" w:firstLineChars="200"/>
        <w:jc w:val="both"/>
        <w:rPr>
          <w:rFonts w:ascii="仿宋_GB2312" w:eastAsia="仿宋_GB2312"/>
          <w:sz w:val="32"/>
          <w:szCs w:val="32"/>
        </w:rPr>
      </w:pPr>
      <w:r>
        <w:rPr>
          <w:rFonts w:hint="eastAsia" w:ascii="仿宋_GB2312" w:eastAsia="仿宋_GB2312"/>
          <w:sz w:val="32"/>
          <w:szCs w:val="32"/>
        </w:rPr>
        <w:t>年初预算为25.60万元，支出决算为25.60万元，完成年初预算的100%，决算数与年初预算数持平，主要原因是是因为年度人员异动相对稳定，严格按年初预算标准执行。</w:t>
      </w:r>
    </w:p>
    <w:p w14:paraId="309836E8">
      <w:pPr>
        <w:pStyle w:val="14"/>
        <w:spacing w:line="600" w:lineRule="exact"/>
        <w:ind w:firstLine="640" w:firstLineChars="200"/>
        <w:jc w:val="both"/>
        <w:rPr>
          <w:rFonts w:ascii="仿宋_GB2312" w:eastAsia="仿宋_GB2312"/>
          <w:sz w:val="32"/>
          <w:szCs w:val="32"/>
        </w:rPr>
      </w:pPr>
      <w:r>
        <w:rPr>
          <w:rFonts w:hint="eastAsia" w:ascii="仿宋_GB2312" w:eastAsia="仿宋_GB2312"/>
          <w:sz w:val="32"/>
          <w:szCs w:val="32"/>
        </w:rPr>
        <w:t>9、住房保障支出（类）住房改革支出（款）住房公积金（项）。</w:t>
      </w:r>
    </w:p>
    <w:p w14:paraId="47E27973">
      <w:pPr>
        <w:pStyle w:val="14"/>
        <w:spacing w:line="600" w:lineRule="exact"/>
        <w:ind w:firstLine="640" w:firstLineChars="200"/>
        <w:jc w:val="both"/>
        <w:rPr>
          <w:rFonts w:ascii="仿宋_GB2312" w:eastAsia="仿宋_GB2312"/>
          <w:sz w:val="32"/>
          <w:szCs w:val="32"/>
        </w:rPr>
      </w:pPr>
      <w:r>
        <w:rPr>
          <w:rFonts w:hint="eastAsia" w:ascii="仿宋_GB2312" w:eastAsia="仿宋_GB2312"/>
          <w:sz w:val="32"/>
          <w:szCs w:val="32"/>
        </w:rPr>
        <w:t>年初预算为56.24万元，支出决算为56.24万元，完成年初预算的100%，决算数与预算数持平，是因为年度人员异动相对稳定。</w:t>
      </w:r>
    </w:p>
    <w:p w14:paraId="5F34F1B1">
      <w:pPr>
        <w:pStyle w:val="14"/>
        <w:spacing w:line="600" w:lineRule="exact"/>
        <w:ind w:firstLine="640" w:firstLineChars="200"/>
        <w:rPr>
          <w:rFonts w:hAnsi="黑体"/>
          <w:bCs/>
          <w:sz w:val="32"/>
          <w:szCs w:val="32"/>
        </w:rPr>
      </w:pPr>
      <w:r>
        <w:rPr>
          <w:rFonts w:hint="eastAsia" w:hAnsi="黑体"/>
          <w:bCs/>
          <w:sz w:val="32"/>
          <w:szCs w:val="32"/>
        </w:rPr>
        <w:t>六、一般公共预算财政拨款基本支出决算情况说明</w:t>
      </w:r>
    </w:p>
    <w:p w14:paraId="0D742416">
      <w:pPr>
        <w:pStyle w:val="14"/>
        <w:spacing w:line="600" w:lineRule="exact"/>
        <w:ind w:firstLine="640" w:firstLineChars="200"/>
        <w:rPr>
          <w:rFonts w:ascii="仿宋_GB2312" w:eastAsia="仿宋_GB2312"/>
          <w:sz w:val="32"/>
          <w:szCs w:val="32"/>
        </w:rPr>
      </w:pPr>
      <w:r>
        <w:rPr>
          <w:rFonts w:hint="eastAsia" w:ascii="仿宋_GB2312" w:eastAsia="仿宋_GB2312"/>
          <w:sz w:val="32"/>
          <w:szCs w:val="32"/>
        </w:rPr>
        <w:t>2023年度财政拨款基本支出779.65万元，其中：</w:t>
      </w:r>
    </w:p>
    <w:p w14:paraId="3B9912CB">
      <w:pPr>
        <w:pStyle w:val="14"/>
        <w:spacing w:line="600" w:lineRule="exact"/>
        <w:ind w:firstLine="640" w:firstLineChars="200"/>
        <w:rPr>
          <w:rFonts w:ascii="仿宋_GB2312" w:hAnsi="仿宋_GB2312" w:eastAsia="仿宋_GB2312" w:cs="仿宋_GB2312"/>
          <w:color w:val="FF0000"/>
          <w:sz w:val="32"/>
          <w:szCs w:val="32"/>
        </w:rPr>
      </w:pPr>
      <w:r>
        <w:rPr>
          <w:rFonts w:hint="eastAsia" w:ascii="仿宋_GB2312" w:eastAsia="仿宋_GB2312"/>
          <w:b/>
          <w:bCs/>
          <w:sz w:val="32"/>
          <w:szCs w:val="32"/>
        </w:rPr>
        <w:t>人员经费</w:t>
      </w:r>
      <w:r>
        <w:rPr>
          <w:rFonts w:hint="eastAsia" w:ascii="仿宋_GB2312" w:eastAsia="仿宋_GB2312"/>
          <w:sz w:val="32"/>
          <w:szCs w:val="32"/>
        </w:rPr>
        <w:t>672.71万元，占基本支出的86.28%,主要包括基本工资、津贴补贴、奖金、伙食补助费、</w:t>
      </w:r>
      <w:r>
        <w:rPr>
          <w:rFonts w:hint="eastAsia" w:ascii="仿宋" w:hAnsi="仿宋" w:eastAsia="仿宋"/>
          <w:sz w:val="32"/>
          <w:szCs w:val="32"/>
        </w:rPr>
        <w:t>绩效工资、机关事业单位基本养老保险缴费、职业年金缴费、职工基本医疗保险缴费、公务员医疗补助缴费、其他社会保障缴费、住房公积金、医疗费、其他工资福利支出、离休费、退休费、抚恤金、生活补助、医疗费补助、奖励金</w:t>
      </w:r>
      <w:r>
        <w:rPr>
          <w:rFonts w:hint="eastAsia" w:ascii="仿宋_GB2312" w:eastAsia="仿宋_GB2312"/>
          <w:sz w:val="32"/>
          <w:szCs w:val="32"/>
        </w:rPr>
        <w:t>。</w:t>
      </w:r>
    </w:p>
    <w:p w14:paraId="1BF68EA9">
      <w:pPr>
        <w:pStyle w:val="21"/>
        <w:ind w:firstLine="627" w:firstLineChars="196"/>
        <w:rPr>
          <w:rFonts w:ascii="Calibri" w:hAnsi="Calibri" w:cs="Calibri"/>
        </w:rPr>
      </w:pPr>
      <w:r>
        <w:rPr>
          <w:rFonts w:hint="eastAsia" w:ascii="仿宋_GB2312" w:eastAsia="仿宋_GB2312"/>
          <w:b/>
          <w:bCs/>
          <w:sz w:val="32"/>
          <w:szCs w:val="32"/>
        </w:rPr>
        <w:t>公用经费</w:t>
      </w:r>
      <w:r>
        <w:rPr>
          <w:rFonts w:hint="eastAsia" w:ascii="仿宋_GB2312" w:eastAsia="仿宋_GB2312"/>
          <w:sz w:val="32"/>
          <w:szCs w:val="32"/>
        </w:rPr>
        <w:t>106.94万元，占基本支出的13.72%，主要包括办公费、印刷费、咨询费、手续费、</w:t>
      </w:r>
      <w:r>
        <w:rPr>
          <w:rFonts w:hint="eastAsia" w:ascii="仿宋" w:hAnsi="仿宋" w:eastAsia="仿宋"/>
          <w:sz w:val="32"/>
          <w:szCs w:val="32"/>
        </w:rPr>
        <w:t>水费、电费、邮电费、取暖费、物业管理费、差旅费、因公出国（境）费用、维修（护）费、租赁费、会议费、培训费、公务接待费、专用材料费、劳务费、委托业务费、工会经费、福利费、公务用车运行维护费、其他交通费用、其他商品和服务支出、办公设备购置、专用设备购置、信息网络及软件购置更新、无形资产购置等。</w:t>
      </w:r>
    </w:p>
    <w:p w14:paraId="0A2810AD">
      <w:pPr>
        <w:pStyle w:val="14"/>
        <w:spacing w:line="600" w:lineRule="exact"/>
        <w:ind w:firstLine="640" w:firstLineChars="200"/>
        <w:rPr>
          <w:rFonts w:hAnsi="黑体"/>
          <w:bCs/>
          <w:sz w:val="32"/>
          <w:szCs w:val="32"/>
        </w:rPr>
      </w:pPr>
      <w:r>
        <w:rPr>
          <w:rFonts w:hint="eastAsia" w:hAnsi="黑体"/>
          <w:bCs/>
          <w:sz w:val="32"/>
          <w:szCs w:val="32"/>
        </w:rPr>
        <w:t>七、政府性基金预算收入支出决算情况</w:t>
      </w:r>
    </w:p>
    <w:p w14:paraId="3D9FB643">
      <w:pPr>
        <w:pStyle w:val="21"/>
        <w:ind w:firstLine="640" w:firstLineChars="200"/>
      </w:pPr>
      <w:r>
        <w:rPr>
          <w:rFonts w:hint="eastAsia" w:ascii="仿宋_GB2312" w:eastAsia="仿宋_GB2312"/>
          <w:sz w:val="32"/>
          <w:szCs w:val="32"/>
        </w:rPr>
        <w:t>2023年度政府性基金预算财政拨款收入0万元；年初结转和结余0万元；支出0万元，其中基本支出0万元，项目支出0万元；年末结转和结余0万元。</w:t>
      </w:r>
    </w:p>
    <w:p w14:paraId="3A22F7DA">
      <w:pPr>
        <w:autoSpaceDE w:val="0"/>
        <w:autoSpaceDN w:val="0"/>
        <w:adjustRightInd w:val="0"/>
        <w:spacing w:line="600" w:lineRule="exact"/>
        <w:ind w:firstLine="640" w:firstLineChars="200"/>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八、国有资本经营预算财政拨款支出决算情况</w:t>
      </w:r>
    </w:p>
    <w:p w14:paraId="783E4542">
      <w:pPr>
        <w:autoSpaceDE w:val="0"/>
        <w:autoSpaceDN w:val="0"/>
        <w:adjustRightInd w:val="0"/>
        <w:ind w:firstLine="640" w:firstLineChars="200"/>
        <w:rPr>
          <w:rFonts w:ascii="仿宋_GB2312" w:eastAsia="仿宋_GB2312"/>
          <w:color w:val="000000"/>
          <w:kern w:val="0"/>
          <w:sz w:val="32"/>
          <w:szCs w:val="32"/>
        </w:rPr>
      </w:pPr>
      <w:r>
        <w:rPr>
          <w:rFonts w:hint="eastAsia" w:ascii="仿宋_GB2312" w:eastAsia="仿宋_GB2312"/>
          <w:color w:val="000000"/>
          <w:kern w:val="0"/>
          <w:sz w:val="32"/>
          <w:szCs w:val="32"/>
        </w:rPr>
        <w:t>2023年度国有资本经营预算财政拨款收入0万元；年初结转和结余0万元；支出0万元；</w:t>
      </w:r>
      <w:r>
        <w:rPr>
          <w:rFonts w:hint="eastAsia" w:ascii="仿宋_GB2312" w:eastAsia="仿宋_GB2312"/>
          <w:iCs/>
          <w:color w:val="000000"/>
          <w:kern w:val="0"/>
          <w:sz w:val="32"/>
          <w:szCs w:val="32"/>
        </w:rPr>
        <w:t>其中：基本支出0万元，项目支出0万元；年末结转和结余0万元。</w:t>
      </w:r>
    </w:p>
    <w:p w14:paraId="6632067B">
      <w:pPr>
        <w:pStyle w:val="14"/>
        <w:spacing w:line="600" w:lineRule="exact"/>
        <w:ind w:firstLine="640" w:firstLineChars="200"/>
        <w:rPr>
          <w:rFonts w:ascii="Times New Roman" w:hAnsi="Times New Roman" w:eastAsia="仿宋_GB2312"/>
          <w:b/>
          <w:sz w:val="32"/>
          <w:szCs w:val="32"/>
        </w:rPr>
      </w:pPr>
      <w:r>
        <w:rPr>
          <w:rFonts w:hint="eastAsia" w:hAnsi="黑体"/>
          <w:bCs/>
          <w:sz w:val="32"/>
          <w:szCs w:val="32"/>
        </w:rPr>
        <w:t>九、财政拨款三公经费支出决算情况说明</w:t>
      </w:r>
    </w:p>
    <w:p w14:paraId="7FC7F629">
      <w:pPr>
        <w:pStyle w:val="14"/>
        <w:spacing w:line="600" w:lineRule="exact"/>
        <w:ind w:firstLine="640" w:firstLineChars="200"/>
        <w:rPr>
          <w:rFonts w:ascii="楷体" w:hAnsi="楷体" w:eastAsia="楷体" w:cs="楷体"/>
          <w:b/>
          <w:sz w:val="32"/>
          <w:szCs w:val="32"/>
        </w:rPr>
      </w:pPr>
      <w:r>
        <w:rPr>
          <w:rFonts w:hint="eastAsia" w:ascii="楷体" w:hAnsi="楷体" w:eastAsia="楷体" w:cs="楷体"/>
          <w:b/>
          <w:sz w:val="32"/>
          <w:szCs w:val="32"/>
        </w:rPr>
        <w:t>（一）“三公”经费财政拨款支出决算总体情况说明</w:t>
      </w:r>
    </w:p>
    <w:p w14:paraId="5645AA14">
      <w:pPr>
        <w:pStyle w:val="14"/>
        <w:spacing w:line="600" w:lineRule="exact"/>
        <w:ind w:firstLine="640" w:firstLineChars="200"/>
        <w:rPr>
          <w:rFonts w:ascii="仿宋_GB2312" w:eastAsia="仿宋_GB2312"/>
          <w:sz w:val="32"/>
          <w:szCs w:val="32"/>
        </w:rPr>
      </w:pPr>
      <w:r>
        <w:rPr>
          <w:rFonts w:hint="eastAsia" w:ascii="仿宋_GB2312" w:eastAsia="仿宋_GB2312"/>
          <w:sz w:val="32"/>
          <w:szCs w:val="32"/>
        </w:rPr>
        <w:t>“三公”经费财政拨款支出预算为5.44万元，支出决算为5.44万元，完成预算的100%，决算数等于预算数。其中：</w:t>
      </w:r>
    </w:p>
    <w:p w14:paraId="499AA43F">
      <w:pPr>
        <w:pStyle w:val="14"/>
        <w:spacing w:line="600" w:lineRule="exact"/>
        <w:ind w:firstLine="640" w:firstLineChars="200"/>
        <w:rPr>
          <w:rFonts w:ascii="仿宋_GB2312" w:eastAsia="仿宋_GB2312"/>
          <w:bCs/>
          <w:sz w:val="32"/>
          <w:szCs w:val="32"/>
        </w:rPr>
      </w:pPr>
      <w:r>
        <w:rPr>
          <w:rFonts w:hint="eastAsia" w:ascii="仿宋_GB2312" w:eastAsia="仿宋_GB2312"/>
          <w:sz w:val="32"/>
          <w:szCs w:val="32"/>
        </w:rPr>
        <w:t>因公出国（境）费支出预算为0万元，支出决算为0万元，</w:t>
      </w:r>
      <w:r>
        <w:rPr>
          <w:rFonts w:hint="eastAsia" w:ascii="Times New Roman" w:hAnsi="Times New Roman" w:eastAsia="仿宋_GB2312"/>
          <w:sz w:val="32"/>
          <w:szCs w:val="32"/>
          <w:lang w:val="en-US" w:eastAsia="zh-CN"/>
        </w:rPr>
        <w:t>故无法计算各项占比</w:t>
      </w:r>
      <w:r>
        <w:rPr>
          <w:rFonts w:hint="eastAsia" w:ascii="仿宋_GB2312" w:hAnsi="仿宋_GB2312" w:eastAsia="仿宋_GB2312" w:cs="仿宋_GB2312"/>
          <w:b w:val="0"/>
          <w:bCs w:val="0"/>
          <w:color w:val="000000"/>
          <w:kern w:val="0"/>
          <w:sz w:val="32"/>
          <w:szCs w:val="32"/>
          <w:lang w:val="en-US" w:eastAsia="zh-CN" w:bidi="ar-SA"/>
        </w:rPr>
        <w:t>。</w:t>
      </w:r>
      <w:bookmarkStart w:id="0" w:name="_GoBack"/>
      <w:bookmarkEnd w:id="0"/>
      <w:r>
        <w:rPr>
          <w:rFonts w:hint="eastAsia" w:ascii="仿宋_GB2312" w:eastAsia="仿宋_GB2312"/>
          <w:bCs/>
          <w:sz w:val="32"/>
          <w:szCs w:val="32"/>
        </w:rPr>
        <w:t>决算数等于预算数，主要原因是我单位严格按预算执行决算；与上年一致，无增减变动，主要原因是未安排因公出国（境）活动。</w:t>
      </w:r>
    </w:p>
    <w:p w14:paraId="4C9BDCB4">
      <w:pPr>
        <w:autoSpaceDE w:val="0"/>
        <w:autoSpaceDN w:val="0"/>
        <w:adjustRightInd w:val="0"/>
        <w:spacing w:line="600" w:lineRule="exact"/>
        <w:ind w:firstLine="640" w:firstLineChars="200"/>
        <w:rPr>
          <w:rFonts w:ascii="仿宋_GB2312" w:eastAsia="仿宋_GB2312" w:cs="Times New Roman"/>
          <w:bCs/>
          <w:color w:val="FF0000"/>
          <w:kern w:val="0"/>
          <w:sz w:val="32"/>
          <w:szCs w:val="32"/>
        </w:rPr>
      </w:pPr>
      <w:r>
        <w:rPr>
          <w:rFonts w:hint="eastAsia" w:ascii="仿宋_GB2312" w:eastAsia="仿宋_GB2312"/>
          <w:sz w:val="32"/>
          <w:szCs w:val="32"/>
        </w:rPr>
        <w:t>公务接待费支出预算为1.63万元，支出决算为1.63万元，完成预算的100%，决算数等于预算数的</w:t>
      </w:r>
      <w:r>
        <w:rPr>
          <w:rFonts w:hint="eastAsia" w:ascii="仿宋_GB2312" w:eastAsia="仿宋_GB2312"/>
          <w:bCs/>
          <w:color w:val="000000"/>
          <w:kern w:val="0"/>
          <w:sz w:val="32"/>
          <w:szCs w:val="32"/>
        </w:rPr>
        <w:t>主要原因是严格执行中央八项规定；与上年相比减少1.57万元，</w:t>
      </w:r>
      <w:r>
        <w:rPr>
          <w:rFonts w:hint="eastAsia" w:ascii="仿宋_GB2312" w:eastAsia="仿宋_GB2312"/>
          <w:sz w:val="32"/>
          <w:szCs w:val="32"/>
        </w:rPr>
        <w:t>减少50.94%,</w:t>
      </w:r>
      <w:r>
        <w:rPr>
          <w:rFonts w:hint="eastAsia" w:ascii="仿宋_GB2312" w:eastAsia="仿宋_GB2312"/>
          <w:bCs/>
          <w:color w:val="000000"/>
          <w:kern w:val="0"/>
          <w:sz w:val="32"/>
          <w:szCs w:val="32"/>
        </w:rPr>
        <w:t xml:space="preserve">主要原因是按有关政策厉行节约，严控公务接待支出。 </w:t>
      </w:r>
      <w:r>
        <w:rPr>
          <w:rFonts w:hint="eastAsia" w:ascii="仿宋_GB2312" w:eastAsia="仿宋_GB2312"/>
          <w:bCs/>
          <w:color w:val="FF0000"/>
          <w:kern w:val="0"/>
          <w:sz w:val="32"/>
          <w:szCs w:val="32"/>
        </w:rPr>
        <w:t xml:space="preserve"> </w:t>
      </w:r>
    </w:p>
    <w:p w14:paraId="126EBABD">
      <w:pPr>
        <w:pStyle w:val="14"/>
        <w:spacing w:line="600" w:lineRule="exact"/>
        <w:ind w:firstLine="640" w:firstLineChars="200"/>
        <w:rPr>
          <w:rFonts w:ascii="仿宋_GB2312" w:eastAsia="仿宋_GB2312"/>
          <w:bCs/>
          <w:sz w:val="32"/>
          <w:szCs w:val="32"/>
        </w:rPr>
      </w:pPr>
      <w:r>
        <w:rPr>
          <w:rFonts w:hint="eastAsia" w:ascii="仿宋_GB2312" w:eastAsia="仿宋_GB2312"/>
          <w:sz w:val="32"/>
          <w:szCs w:val="32"/>
        </w:rPr>
        <w:t>公务用车购置费支出预算为0万元，支出决算为0万元，</w:t>
      </w:r>
      <w:r>
        <w:rPr>
          <w:rFonts w:hint="eastAsia" w:ascii="Times New Roman" w:hAnsi="Times New Roman" w:eastAsia="仿宋_GB2312"/>
          <w:sz w:val="32"/>
          <w:szCs w:val="32"/>
          <w:lang w:val="en-US" w:eastAsia="zh-CN"/>
        </w:rPr>
        <w:t>故无法计算各项占比。</w:t>
      </w:r>
      <w:r>
        <w:rPr>
          <w:rFonts w:hint="eastAsia" w:ascii="仿宋_GB2312" w:eastAsia="仿宋_GB2312"/>
          <w:sz w:val="32"/>
          <w:szCs w:val="32"/>
        </w:rPr>
        <w:t>决算数等于预算数，主要原因是</w:t>
      </w:r>
      <w:r>
        <w:rPr>
          <w:rFonts w:hint="eastAsia" w:ascii="仿宋_GB2312" w:eastAsia="仿宋_GB2312"/>
          <w:bCs/>
          <w:sz w:val="32"/>
          <w:szCs w:val="32"/>
        </w:rPr>
        <w:t>我单位严格按预算执行决算；与上年一致，无增减变动，主要原因是两年均未购置公务用车。</w:t>
      </w:r>
    </w:p>
    <w:p w14:paraId="3CFE93DE">
      <w:pPr>
        <w:pStyle w:val="14"/>
        <w:ind w:firstLine="640" w:firstLineChars="200"/>
        <w:jc w:val="both"/>
        <w:rPr>
          <w:rFonts w:ascii="仿宋" w:hAnsi="仿宋" w:eastAsia="仿宋"/>
          <w:sz w:val="32"/>
          <w:szCs w:val="32"/>
        </w:rPr>
      </w:pPr>
      <w:r>
        <w:rPr>
          <w:rFonts w:hint="eastAsia" w:ascii="仿宋_GB2312" w:eastAsia="仿宋_GB2312"/>
          <w:sz w:val="32"/>
          <w:szCs w:val="32"/>
        </w:rPr>
        <w:t>公务用车运行维护费支出预算为3.81万元，支出决算为3.81万元，完成预算的100%，决算数等于预算数的主要原因是</w:t>
      </w:r>
      <w:r>
        <w:rPr>
          <w:rFonts w:hint="eastAsia" w:ascii="仿宋_GB2312" w:eastAsia="仿宋_GB2312"/>
          <w:bCs/>
          <w:sz w:val="32"/>
          <w:szCs w:val="32"/>
        </w:rPr>
        <w:t>我单位严格按预算执行决算</w:t>
      </w:r>
      <w:r>
        <w:rPr>
          <w:rFonts w:hint="eastAsia" w:ascii="仿宋_GB2312" w:eastAsia="仿宋_GB2312"/>
          <w:sz w:val="32"/>
          <w:szCs w:val="32"/>
        </w:rPr>
        <w:t>，与上年相比减少3.86万元，减少50.27%,减少的主要原因是</w:t>
      </w:r>
      <w:r>
        <w:rPr>
          <w:rFonts w:hint="eastAsia" w:ascii="仿宋" w:hAnsi="仿宋" w:eastAsia="仿宋"/>
          <w:sz w:val="32"/>
          <w:szCs w:val="32"/>
        </w:rPr>
        <w:t>2023年我单位</w:t>
      </w:r>
      <w:r>
        <w:rPr>
          <w:rFonts w:hint="eastAsia" w:ascii="仿宋" w:hAnsi="仿宋" w:eastAsia="仿宋"/>
          <w:color w:val="333333"/>
          <w:sz w:val="32"/>
          <w:szCs w:val="32"/>
          <w:shd w:val="clear" w:color="auto" w:fill="FFFFFF"/>
        </w:rPr>
        <w:t>严格执行公务用车管理办法，严禁公车私用，切实保障公务出行</w:t>
      </w:r>
      <w:r>
        <w:rPr>
          <w:rFonts w:hint="eastAsia" w:ascii="仿宋" w:hAnsi="仿宋" w:eastAsia="仿宋"/>
          <w:sz w:val="32"/>
          <w:szCs w:val="32"/>
        </w:rPr>
        <w:t>。</w:t>
      </w:r>
    </w:p>
    <w:p w14:paraId="0D7B6FC3">
      <w:pPr>
        <w:pStyle w:val="14"/>
        <w:spacing w:line="600" w:lineRule="exact"/>
        <w:ind w:firstLine="640" w:firstLineChars="200"/>
        <w:rPr>
          <w:rFonts w:ascii="楷体" w:hAnsi="楷体" w:eastAsia="楷体" w:cs="宋体"/>
          <w:b/>
          <w:sz w:val="32"/>
          <w:szCs w:val="32"/>
        </w:rPr>
      </w:pPr>
      <w:r>
        <w:rPr>
          <w:rFonts w:hint="eastAsia" w:ascii="楷体" w:hAnsi="楷体" w:eastAsia="楷体"/>
          <w:b/>
          <w:sz w:val="32"/>
          <w:szCs w:val="32"/>
        </w:rPr>
        <w:t>（二）“三公”经费财政拨款支出决算具体情况说明</w:t>
      </w:r>
    </w:p>
    <w:p w14:paraId="537B4396">
      <w:pPr>
        <w:pStyle w:val="14"/>
        <w:spacing w:line="600" w:lineRule="exact"/>
        <w:ind w:firstLine="640" w:firstLineChars="200"/>
        <w:rPr>
          <w:rFonts w:ascii="仿宋_GB2312" w:hAnsi="Calibri" w:eastAsia="仿宋_GB2312"/>
          <w:sz w:val="32"/>
          <w:szCs w:val="32"/>
        </w:rPr>
      </w:pPr>
      <w:r>
        <w:rPr>
          <w:rFonts w:hint="eastAsia" w:ascii="Times New Roman" w:hAnsi="Times New Roman" w:eastAsia="仿宋_GB2312" w:cs="Times New Roman"/>
          <w:sz w:val="32"/>
          <w:szCs w:val="32"/>
        </w:rPr>
        <w:t>2</w:t>
      </w:r>
      <w:r>
        <w:rPr>
          <w:rFonts w:hint="eastAsia" w:ascii="仿宋_GB2312" w:eastAsia="仿宋_GB2312"/>
          <w:sz w:val="32"/>
          <w:szCs w:val="32"/>
        </w:rPr>
        <w:t>023年度“三公”经费财政拨款支出决算中，公务接待费支出决算1.63万元，占29.96%</w:t>
      </w:r>
      <w:r>
        <w:rPr>
          <w:rFonts w:hint="eastAsia" w:ascii="仿宋_GB2312" w:eastAsia="仿宋_GB2312"/>
          <w:sz w:val="32"/>
          <w:szCs w:val="32"/>
          <w:lang w:eastAsia="zh-CN"/>
        </w:rPr>
        <w:t>，</w:t>
      </w:r>
      <w:r>
        <w:rPr>
          <w:rFonts w:hint="eastAsia" w:ascii="仿宋_GB2312" w:eastAsia="仿宋_GB2312"/>
          <w:sz w:val="32"/>
          <w:szCs w:val="32"/>
        </w:rPr>
        <w:t>因公出国（境）费支出决算0万元</w:t>
      </w:r>
      <w:r>
        <w:rPr>
          <w:rFonts w:hint="eastAsia" w:ascii="Times New Roman" w:hAnsi="Times New Roman" w:eastAsia="仿宋_GB2312"/>
          <w:color w:val="auto"/>
          <w:sz w:val="32"/>
          <w:szCs w:val="32"/>
          <w:lang w:eastAsia="zh-CN"/>
        </w:rPr>
        <w:t>（由于</w:t>
      </w:r>
      <w:r>
        <w:rPr>
          <w:rFonts w:hint="eastAsia" w:ascii="Times New Roman" w:hAnsi="Times New Roman" w:eastAsia="仿宋_GB2312"/>
          <w:color w:val="auto"/>
          <w:sz w:val="32"/>
          <w:szCs w:val="32"/>
          <w:lang w:val="en-US" w:eastAsia="zh-CN"/>
        </w:rPr>
        <w:t>因公出国（境）费支出决算</w:t>
      </w:r>
      <w:r>
        <w:rPr>
          <w:rFonts w:hint="eastAsia" w:ascii="Times New Roman" w:hAnsi="Times New Roman" w:eastAsia="仿宋_GB2312"/>
          <w:color w:val="auto"/>
          <w:sz w:val="32"/>
          <w:szCs w:val="32"/>
          <w:lang w:eastAsia="zh-CN"/>
        </w:rPr>
        <w:t>为</w:t>
      </w:r>
      <w:r>
        <w:rPr>
          <w:rFonts w:hint="eastAsia" w:ascii="Times New Roman" w:hAnsi="Times New Roman" w:eastAsia="仿宋_GB2312"/>
          <w:color w:val="auto"/>
          <w:sz w:val="32"/>
          <w:szCs w:val="32"/>
          <w:lang w:val="en-US" w:eastAsia="zh-CN"/>
        </w:rPr>
        <w:t>0，故无法计算</w:t>
      </w:r>
      <w:r>
        <w:rPr>
          <w:rFonts w:hint="eastAsia" w:ascii="Times New Roman" w:hAnsi="Times New Roman" w:eastAsia="仿宋_GB2312"/>
          <w:color w:val="auto"/>
          <w:sz w:val="32"/>
          <w:szCs w:val="32"/>
        </w:rPr>
        <w:t>占</w:t>
      </w:r>
      <w:r>
        <w:rPr>
          <w:rFonts w:hint="eastAsia" w:ascii="仿宋_GB2312" w:eastAsia="仿宋_GB2312"/>
          <w:color w:val="auto"/>
          <w:sz w:val="32"/>
          <w:szCs w:val="32"/>
        </w:rPr>
        <w:t>“三公”经费财政拨款支出</w:t>
      </w:r>
      <w:r>
        <w:rPr>
          <w:rFonts w:hint="eastAsia" w:ascii="Times New Roman" w:hAnsi="Times New Roman" w:eastAsia="仿宋_GB2312"/>
          <w:color w:val="auto"/>
          <w:sz w:val="32"/>
          <w:szCs w:val="32"/>
        </w:rPr>
        <w:t>的</w:t>
      </w:r>
      <w:r>
        <w:rPr>
          <w:rFonts w:hint="eastAsia" w:ascii="Times New Roman" w:hAnsi="Times New Roman" w:eastAsia="仿宋_GB2312"/>
          <w:color w:val="auto"/>
          <w:sz w:val="32"/>
          <w:szCs w:val="32"/>
          <w:lang w:eastAsia="zh-CN"/>
        </w:rPr>
        <w:t>比重）</w:t>
      </w:r>
      <w:r>
        <w:rPr>
          <w:rFonts w:hint="eastAsia" w:ascii="仿宋_GB2312" w:eastAsia="仿宋_GB2312"/>
          <w:sz w:val="32"/>
          <w:szCs w:val="32"/>
        </w:rPr>
        <w:t>,公务用车购置费及运行维护费支出决算3.81万元，占70.04%。其中：</w:t>
      </w:r>
    </w:p>
    <w:p w14:paraId="3ADCB0BA">
      <w:pPr>
        <w:pStyle w:val="14"/>
        <w:spacing w:line="600" w:lineRule="exact"/>
        <w:ind w:firstLine="640" w:firstLineChars="200"/>
        <w:rPr>
          <w:rFonts w:ascii="仿宋" w:hAnsi="仿宋" w:eastAsia="仿宋"/>
          <w:sz w:val="32"/>
          <w:szCs w:val="32"/>
        </w:rPr>
      </w:pPr>
      <w:r>
        <w:rPr>
          <w:rFonts w:hint="eastAsia" w:ascii="仿宋" w:hAnsi="仿宋" w:eastAsia="仿宋" w:cs="仿宋_GB2312"/>
          <w:sz w:val="32"/>
          <w:szCs w:val="32"/>
        </w:rPr>
        <w:t>1、因公出国（境）费支出决算为0万元，全年安排因公出国（境）团组0个，累计0人次</w:t>
      </w:r>
      <w:r>
        <w:rPr>
          <w:rFonts w:hint="eastAsia" w:ascii="仿宋" w:hAnsi="仿宋" w:eastAsia="仿宋" w:cs="仿宋_GB2312"/>
          <w:b/>
          <w:bCs/>
          <w:i/>
          <w:sz w:val="32"/>
          <w:szCs w:val="32"/>
        </w:rPr>
        <w:t>，</w:t>
      </w:r>
      <w:r>
        <w:rPr>
          <w:rFonts w:hint="eastAsia" w:ascii="仿宋" w:hAnsi="仿宋" w:eastAsia="仿宋"/>
          <w:sz w:val="32"/>
          <w:szCs w:val="32"/>
        </w:rPr>
        <w:t>我单位2023年度无因公出国（境）费支出。</w:t>
      </w:r>
    </w:p>
    <w:p w14:paraId="3F74A43D">
      <w:pPr>
        <w:pStyle w:val="14"/>
        <w:ind w:firstLine="640" w:firstLineChars="200"/>
        <w:rPr>
          <w:rFonts w:ascii="仿宋" w:hAnsi="仿宋" w:eastAsia="仿宋"/>
          <w:sz w:val="32"/>
          <w:szCs w:val="32"/>
        </w:rPr>
      </w:pPr>
      <w:r>
        <w:rPr>
          <w:rFonts w:hint="eastAsia" w:ascii="仿宋_GB2312" w:eastAsia="仿宋_GB2312"/>
          <w:sz w:val="32"/>
          <w:szCs w:val="32"/>
        </w:rPr>
        <w:t>2、公务接待费支出决算为1.63万元，全年共接待来访团组20个、来宾178人次，主要是</w:t>
      </w:r>
      <w:r>
        <w:rPr>
          <w:rFonts w:hint="eastAsia" w:ascii="仿宋" w:hAnsi="仿宋" w:eastAsia="仿宋"/>
          <w:sz w:val="32"/>
          <w:szCs w:val="32"/>
        </w:rPr>
        <w:t>接待上级机关来我委指导及各县市区相关单位来我委调研、协调汇报工作发生的接待支出。</w:t>
      </w:r>
    </w:p>
    <w:p w14:paraId="78CD9BBD">
      <w:pPr>
        <w:ind w:firstLine="640" w:firstLineChars="200"/>
        <w:rPr>
          <w:rFonts w:ascii="仿宋" w:hAnsi="仿宋" w:eastAsia="仿宋" w:cs="Times New Roman"/>
          <w:sz w:val="32"/>
          <w:szCs w:val="32"/>
        </w:rPr>
      </w:pPr>
      <w:r>
        <w:rPr>
          <w:rFonts w:hint="eastAsia" w:ascii="仿宋_GB2312" w:eastAsia="仿宋_GB2312"/>
          <w:sz w:val="32"/>
          <w:szCs w:val="32"/>
        </w:rPr>
        <w:t>3、公务用车购置费及运行维护费支出决算为3.81万元，其中：公务用车购置费0万元，当年没有购置公务用车。公务用车运行维护费3.81万元，主要是</w:t>
      </w:r>
      <w:r>
        <w:rPr>
          <w:rFonts w:hint="eastAsia" w:ascii="仿宋" w:hAnsi="仿宋" w:eastAsia="仿宋"/>
          <w:sz w:val="32"/>
          <w:szCs w:val="32"/>
        </w:rPr>
        <w:t>主要是公务用车油料费、车辆保险、通行费支出。</w:t>
      </w:r>
    </w:p>
    <w:p w14:paraId="7AC7948C">
      <w:pPr>
        <w:ind w:firstLine="640" w:firstLineChars="200"/>
        <w:rPr>
          <w:rFonts w:ascii="Calibri" w:hAnsi="Calibri" w:eastAsia="宋体"/>
          <w:szCs w:val="21"/>
        </w:rPr>
      </w:pPr>
      <w:r>
        <w:rPr>
          <w:rFonts w:hint="eastAsia" w:ascii="仿宋_GB2312" w:eastAsia="仿宋_GB2312"/>
          <w:sz w:val="32"/>
          <w:szCs w:val="32"/>
        </w:rPr>
        <w:t>截止2023年12月31日，我单位开支财政拨款的公务用车保有量为3辆。</w:t>
      </w:r>
    </w:p>
    <w:p w14:paraId="5EE5047E">
      <w:pPr>
        <w:pStyle w:val="14"/>
        <w:spacing w:line="600" w:lineRule="exact"/>
        <w:ind w:firstLine="640" w:firstLineChars="200"/>
        <w:rPr>
          <w:rFonts w:ascii="华文细黑" w:hAnsi="华文细黑" w:eastAsia="华文细黑" w:cs="华文细黑"/>
          <w:b/>
          <w:color w:val="auto"/>
          <w:sz w:val="32"/>
          <w:szCs w:val="32"/>
        </w:rPr>
      </w:pPr>
      <w:r>
        <w:rPr>
          <w:rFonts w:hint="eastAsia" w:ascii="华文细黑" w:hAnsi="华文细黑" w:eastAsia="华文细黑" w:cs="华文细黑"/>
          <w:b/>
          <w:color w:val="auto"/>
          <w:sz w:val="32"/>
          <w:szCs w:val="32"/>
        </w:rPr>
        <w:t>十、关于机关运行经费支出说明</w:t>
      </w:r>
    </w:p>
    <w:p w14:paraId="1A81BF5C">
      <w:pPr>
        <w:pStyle w:val="14"/>
        <w:ind w:firstLine="640" w:firstLineChars="200"/>
        <w:rPr>
          <w:rFonts w:ascii="Times New Roman" w:hAnsi="Times New Roman" w:eastAsia="仿宋_GB2312"/>
          <w:sz w:val="32"/>
          <w:szCs w:val="32"/>
        </w:rPr>
      </w:pPr>
      <w:r>
        <w:rPr>
          <w:rFonts w:hint="eastAsia" w:ascii="仿宋_GB2312" w:hAnsi="仿宋_GB2312" w:eastAsia="仿宋_GB2312" w:cs="仿宋_GB2312"/>
          <w:sz w:val="32"/>
          <w:szCs w:val="32"/>
        </w:rPr>
        <w:t>本部门2023年度机关运行经费支出106.</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4万元，比年初预算数减少32.98万元，降低23.6%。主要原因是过紧日子，一般性支出减少等。</w:t>
      </w:r>
    </w:p>
    <w:p w14:paraId="04DD190D">
      <w:pPr>
        <w:pStyle w:val="14"/>
        <w:spacing w:line="600" w:lineRule="exact"/>
        <w:ind w:firstLine="640" w:firstLineChars="200"/>
        <w:rPr>
          <w:rFonts w:hAnsi="黑体"/>
          <w:bCs/>
          <w:sz w:val="32"/>
          <w:szCs w:val="32"/>
        </w:rPr>
      </w:pPr>
      <w:r>
        <w:rPr>
          <w:rFonts w:hint="eastAsia" w:hAnsi="黑体"/>
          <w:bCs/>
          <w:sz w:val="32"/>
          <w:szCs w:val="32"/>
        </w:rPr>
        <w:t>十一、一般性支出情况说明</w:t>
      </w:r>
    </w:p>
    <w:p w14:paraId="5B692EE3">
      <w:pPr>
        <w:pStyle w:val="14"/>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2023年年度，会议费年初预算5万元，支出决算为5万元，完成年初预算的100%。用于召开</w:t>
      </w:r>
      <w:r>
        <w:rPr>
          <w:rFonts w:hint="eastAsia" w:ascii="仿宋_GB2312" w:eastAsia="仿宋_GB2312"/>
          <w:sz w:val="32"/>
          <w:szCs w:val="32"/>
        </w:rPr>
        <w:t>市委政法工作会议，人数146人，内容为部署全市政法工作；召开全市涉法涉诉信访工作会议，人数100人，内容为部署推进全市涉法涉诉信访工作；召开全市政法工作创新交流会议，人数50人，内容为交流创新政法工作；召开扫黑除恶工作会议，人数110人，内容为常态化扫黑除恶工作。</w:t>
      </w:r>
    </w:p>
    <w:p w14:paraId="64F471D3">
      <w:pPr>
        <w:autoSpaceDE w:val="0"/>
        <w:autoSpaceDN w:val="0"/>
        <w:adjustRightInd w:val="0"/>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培训费年初预算3万元，支出决算为3万元，完成年初预算的100%。用于开展全市政法系统干部培训班资料、会场及委机关部室组织参加的相关业务培训，人数125人，</w:t>
      </w:r>
      <w:r>
        <w:rPr>
          <w:rFonts w:hint="eastAsia" w:ascii="仿宋_GB2312" w:eastAsia="仿宋_GB2312"/>
          <w:color w:val="000000"/>
          <w:sz w:val="32"/>
          <w:szCs w:val="32"/>
        </w:rPr>
        <w:t>内容为培训提升全市政法系统领导干部综合素养及业务工作水平</w:t>
      </w:r>
      <w:r>
        <w:rPr>
          <w:rFonts w:hint="eastAsia" w:ascii="仿宋_GB2312" w:hAnsi="仿宋_GB2312" w:eastAsia="仿宋_GB2312" w:cs="仿宋_GB2312"/>
          <w:color w:val="000000"/>
          <w:kern w:val="0"/>
          <w:sz w:val="32"/>
          <w:szCs w:val="32"/>
        </w:rPr>
        <w:t>。</w:t>
      </w:r>
    </w:p>
    <w:p w14:paraId="68A589C1">
      <w:pPr>
        <w:autoSpaceDE w:val="0"/>
        <w:autoSpaceDN w:val="0"/>
        <w:adjustRightInd w:val="0"/>
        <w:ind w:firstLine="640" w:firstLineChars="200"/>
        <w:rPr>
          <w:rFonts w:ascii="仿宋_GB2312" w:hAnsi="仿宋_GB2312" w:eastAsia="仿宋_GB2312" w:cs="仿宋_GB2312"/>
          <w:b/>
          <w:bCs/>
          <w:i/>
          <w:color w:val="FF0000"/>
          <w:kern w:val="0"/>
          <w:sz w:val="32"/>
          <w:szCs w:val="32"/>
        </w:rPr>
      </w:pPr>
      <w:r>
        <w:rPr>
          <w:rFonts w:hint="eastAsia" w:ascii="仿宋_GB2312" w:hAnsi="仿宋_GB2312" w:eastAsia="仿宋_GB2312" w:cs="仿宋_GB2312"/>
          <w:color w:val="000000"/>
          <w:kern w:val="0"/>
          <w:sz w:val="32"/>
          <w:szCs w:val="32"/>
        </w:rPr>
        <w:t>本单位无举办节庆、晚会、论坛、赛事活动的预算和支出决算数。</w:t>
      </w:r>
    </w:p>
    <w:p w14:paraId="109E6190">
      <w:pPr>
        <w:pStyle w:val="14"/>
        <w:spacing w:line="600" w:lineRule="exact"/>
        <w:ind w:firstLine="640" w:firstLineChars="200"/>
        <w:rPr>
          <w:rFonts w:hAnsi="黑体"/>
          <w:bCs/>
          <w:sz w:val="32"/>
          <w:szCs w:val="32"/>
        </w:rPr>
      </w:pPr>
      <w:r>
        <w:rPr>
          <w:rFonts w:hint="eastAsia" w:hAnsi="黑体"/>
          <w:bCs/>
          <w:sz w:val="32"/>
          <w:szCs w:val="32"/>
        </w:rPr>
        <w:t>十二、关于政府采购支出说明</w:t>
      </w:r>
    </w:p>
    <w:p w14:paraId="17622BFD">
      <w:pPr>
        <w:pStyle w:val="14"/>
        <w:ind w:firstLine="640" w:firstLineChars="200"/>
        <w:rPr>
          <w:rFonts w:ascii="仿宋_GB2312" w:eastAsia="仿宋_GB2312"/>
          <w:sz w:val="32"/>
          <w:szCs w:val="32"/>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年度政府采购支出总额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万元，其中：政府采购货物支出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万元、政府采购工程支出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万元、政府采购服务支出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万元。授予中小企业合同金额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（由于预算数为</w:t>
      </w:r>
      <w:r>
        <w:rPr>
          <w:rFonts w:hint="eastAsia" w:ascii="Times New Roman" w:hAnsi="Times New Roman" w:eastAsia="仿宋_GB2312"/>
          <w:sz w:val="32"/>
          <w:szCs w:val="32"/>
          <w:lang w:val="en-US" w:eastAsia="zh-CN"/>
        </w:rPr>
        <w:t>0，故无法计算</w:t>
      </w:r>
      <w:r>
        <w:rPr>
          <w:rFonts w:hint="eastAsia" w:ascii="Times New Roman" w:hAnsi="Times New Roman" w:eastAsia="仿宋_GB2312"/>
          <w:sz w:val="32"/>
          <w:szCs w:val="32"/>
        </w:rPr>
        <w:t>占政府采购支出总额的</w:t>
      </w:r>
      <w:r>
        <w:rPr>
          <w:rFonts w:hint="eastAsia" w:ascii="Times New Roman" w:hAnsi="Times New Roman" w:eastAsia="仿宋_GB2312"/>
          <w:sz w:val="32"/>
          <w:szCs w:val="32"/>
          <w:lang w:eastAsia="zh-CN"/>
        </w:rPr>
        <w:t>比重）</w:t>
      </w:r>
      <w:r>
        <w:rPr>
          <w:rFonts w:hint="eastAsia" w:ascii="Times New Roman" w:hAnsi="Times New Roman" w:eastAsia="仿宋_GB2312"/>
          <w:sz w:val="32"/>
          <w:szCs w:val="32"/>
        </w:rPr>
        <w:t>，其中：授予小微企业合同金额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（由于预算数为</w:t>
      </w:r>
      <w:r>
        <w:rPr>
          <w:rFonts w:hint="eastAsia" w:ascii="Times New Roman" w:hAnsi="Times New Roman" w:eastAsia="仿宋_GB2312"/>
          <w:sz w:val="32"/>
          <w:szCs w:val="32"/>
          <w:lang w:val="en-US" w:eastAsia="zh-CN"/>
        </w:rPr>
        <w:t>0，故无法计算</w:t>
      </w:r>
      <w:r>
        <w:rPr>
          <w:rFonts w:hint="eastAsia" w:ascii="Times New Roman" w:hAnsi="Times New Roman" w:eastAsia="仿宋_GB2312"/>
          <w:sz w:val="32"/>
          <w:szCs w:val="32"/>
        </w:rPr>
        <w:t>占</w:t>
      </w:r>
      <w:r>
        <w:rPr>
          <w:rFonts w:hint="eastAsia" w:ascii="Times New Roman" w:hAnsi="Times New Roman" w:eastAsia="仿宋_GB2312"/>
          <w:sz w:val="32"/>
          <w:szCs w:val="32"/>
          <w:lang w:eastAsia="zh-CN"/>
        </w:rPr>
        <w:t>授予中小企业合同金额</w:t>
      </w:r>
      <w:r>
        <w:rPr>
          <w:rFonts w:hint="eastAsia" w:ascii="Times New Roman" w:hAnsi="Times New Roman" w:eastAsia="仿宋_GB2312"/>
          <w:sz w:val="32"/>
          <w:szCs w:val="32"/>
        </w:rPr>
        <w:t>的</w:t>
      </w:r>
      <w:r>
        <w:rPr>
          <w:rFonts w:hint="eastAsia" w:ascii="Times New Roman" w:hAnsi="Times New Roman" w:eastAsia="仿宋_GB2312"/>
          <w:sz w:val="32"/>
          <w:szCs w:val="32"/>
          <w:lang w:eastAsia="zh-CN"/>
        </w:rPr>
        <w:t>比重）</w:t>
      </w:r>
      <w:r>
        <w:rPr>
          <w:rFonts w:hint="eastAsia" w:ascii="Times New Roman" w:hAnsi="Times New Roman" w:eastAsia="仿宋_GB2312"/>
          <w:sz w:val="32"/>
          <w:szCs w:val="32"/>
        </w:rPr>
        <w:t>。货物采购授予中小企业合同金额占货物支出金额的</w:t>
      </w:r>
      <w:r>
        <w:rPr>
          <w:rFonts w:hint="eastAsia" w:ascii="Times New Roman" w:hAnsi="Times New Roman" w:eastAsia="仿宋_GB2312"/>
          <w:sz w:val="32"/>
          <w:szCs w:val="32"/>
          <w:lang w:eastAsia="zh-CN"/>
        </w:rPr>
        <w:t>比重</w:t>
      </w:r>
      <w:r>
        <w:rPr>
          <w:rFonts w:hint="eastAsia" w:ascii="Times New Roman" w:hAnsi="Times New Roman" w:eastAsia="仿宋_GB2312"/>
          <w:sz w:val="32"/>
          <w:szCs w:val="32"/>
        </w:rPr>
        <w:t>，工程采购授予中小企业合同金额占工程支出金额的</w:t>
      </w:r>
      <w:r>
        <w:rPr>
          <w:rFonts w:hint="eastAsia" w:ascii="Times New Roman" w:hAnsi="Times New Roman" w:eastAsia="仿宋_GB2312"/>
          <w:sz w:val="32"/>
          <w:szCs w:val="32"/>
          <w:lang w:eastAsia="zh-CN"/>
        </w:rPr>
        <w:t>比重</w:t>
      </w:r>
      <w:r>
        <w:rPr>
          <w:rFonts w:hint="eastAsia" w:ascii="Times New Roman" w:hAnsi="Times New Roman" w:eastAsia="仿宋_GB2312"/>
          <w:sz w:val="32"/>
          <w:szCs w:val="32"/>
        </w:rPr>
        <w:t>，服务采购授予中小企业合同金额占服务支出金额的</w:t>
      </w:r>
      <w:r>
        <w:rPr>
          <w:rFonts w:hint="eastAsia" w:ascii="Times New Roman" w:hAnsi="Times New Roman" w:eastAsia="仿宋_GB2312"/>
          <w:sz w:val="32"/>
          <w:szCs w:val="32"/>
          <w:lang w:eastAsia="zh-CN"/>
        </w:rPr>
        <w:t>比重，由于各项预算数为</w:t>
      </w:r>
      <w:r>
        <w:rPr>
          <w:rFonts w:hint="eastAsia" w:ascii="Times New Roman" w:hAnsi="Times New Roman" w:eastAsia="仿宋_GB2312"/>
          <w:sz w:val="32"/>
          <w:szCs w:val="32"/>
          <w:lang w:val="en-US" w:eastAsia="zh-CN"/>
        </w:rPr>
        <w:t>0，故无法计算各项占比</w:t>
      </w:r>
      <w:r>
        <w:rPr>
          <w:rFonts w:hint="eastAsia" w:ascii="Times New Roman" w:hAnsi="Times New Roman" w:eastAsia="仿宋_GB2312"/>
          <w:sz w:val="32"/>
          <w:szCs w:val="32"/>
        </w:rPr>
        <w:t>。</w:t>
      </w:r>
    </w:p>
    <w:p w14:paraId="60DD795D">
      <w:pPr>
        <w:pStyle w:val="14"/>
        <w:spacing w:line="580" w:lineRule="exact"/>
        <w:ind w:firstLine="640" w:firstLineChars="200"/>
        <w:rPr>
          <w:rFonts w:hAnsi="黑体"/>
          <w:bCs/>
          <w:color w:val="auto"/>
          <w:sz w:val="32"/>
          <w:szCs w:val="32"/>
        </w:rPr>
      </w:pPr>
      <w:r>
        <w:rPr>
          <w:rFonts w:hint="eastAsia" w:hAnsi="黑体"/>
          <w:bCs/>
          <w:color w:val="auto"/>
          <w:sz w:val="32"/>
          <w:szCs w:val="32"/>
        </w:rPr>
        <w:t>十三、关于国有资产占用情况说明</w:t>
      </w:r>
    </w:p>
    <w:p w14:paraId="40C303D5">
      <w:pPr>
        <w:pStyle w:val="14"/>
        <w:spacing w:line="580" w:lineRule="exact"/>
        <w:ind w:firstLine="640" w:firstLineChars="200"/>
        <w:rPr>
          <w:rFonts w:ascii="仿宋_GB2312" w:eastAsia="仿宋_GB2312"/>
          <w:sz w:val="32"/>
          <w:szCs w:val="32"/>
        </w:rPr>
      </w:pPr>
      <w:r>
        <w:rPr>
          <w:rFonts w:hint="eastAsia" w:ascii="仿宋_GB2312" w:eastAsia="仿宋_GB2312"/>
          <w:sz w:val="32"/>
          <w:szCs w:val="32"/>
        </w:rPr>
        <w:t>截至2023年12月31日，本单位共有车辆3辆，其中，副部（省）级及以上领导用车0辆、主要负责人用车0辆、机要通信用车3辆、应急保障用车0辆、执法执勤用车0辆、特种专业技术用车0辆、离退休干部服务用车0辆、其他用车0辆，其他用车0辆；单位价值100万元以上设备（不含车辆）0台（套）。</w:t>
      </w:r>
    </w:p>
    <w:p w14:paraId="049365F6">
      <w:pPr>
        <w:pStyle w:val="14"/>
        <w:spacing w:line="580" w:lineRule="exact"/>
        <w:ind w:firstLine="640" w:firstLineChars="200"/>
        <w:rPr>
          <w:rFonts w:hAnsi="黑体"/>
          <w:bCs/>
          <w:color w:val="auto"/>
          <w:sz w:val="32"/>
          <w:szCs w:val="32"/>
        </w:rPr>
      </w:pPr>
      <w:r>
        <w:rPr>
          <w:rFonts w:hint="eastAsia" w:hAnsi="黑体"/>
          <w:bCs/>
          <w:color w:val="auto"/>
          <w:sz w:val="32"/>
          <w:szCs w:val="32"/>
        </w:rPr>
        <w:t>十四、关于</w:t>
      </w:r>
      <w:r>
        <w:rPr>
          <w:rFonts w:hint="eastAsia" w:ascii="Times New Roman" w:hAnsi="Times New Roman" w:eastAsia="仿宋_GB2312"/>
          <w:color w:val="auto"/>
          <w:sz w:val="32"/>
          <w:szCs w:val="32"/>
        </w:rPr>
        <w:t>2023</w:t>
      </w:r>
      <w:r>
        <w:rPr>
          <w:rFonts w:hint="eastAsia" w:hAnsi="黑体"/>
          <w:bCs/>
          <w:color w:val="auto"/>
          <w:sz w:val="32"/>
          <w:szCs w:val="32"/>
        </w:rPr>
        <w:t>年度预算绩效情况的说明</w:t>
      </w:r>
    </w:p>
    <w:p w14:paraId="75EF3CBC">
      <w:pPr>
        <w:pStyle w:val="14"/>
        <w:spacing w:line="580" w:lineRule="exact"/>
        <w:ind w:firstLine="640" w:firstLineChars="200"/>
        <w:rPr>
          <w:rFonts w:ascii="楷体" w:hAnsi="楷体" w:eastAsia="楷体" w:cs="楷体"/>
          <w:b/>
          <w:bCs/>
          <w:sz w:val="32"/>
          <w:szCs w:val="32"/>
        </w:rPr>
      </w:pPr>
      <w:r>
        <w:rPr>
          <w:rFonts w:hint="eastAsia" w:ascii="楷体" w:hAnsi="楷体" w:eastAsia="楷体" w:cs="楷体"/>
          <w:b/>
          <w:bCs/>
          <w:sz w:val="32"/>
          <w:szCs w:val="32"/>
        </w:rPr>
        <w:t>（一）绩效管理工作开展情况</w:t>
      </w:r>
    </w:p>
    <w:p w14:paraId="7E713431">
      <w:pPr>
        <w:autoSpaceDE w:val="0"/>
        <w:autoSpaceDN w:val="0"/>
        <w:adjustRightInd w:val="0"/>
        <w:spacing w:line="60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根据预算绩效管理要求，我们组织对2023年度整体支出和项目资金实施了全覆盖性的绩效评价，撰写了绩效自评报告。</w:t>
      </w:r>
    </w:p>
    <w:p w14:paraId="7F10DC61">
      <w:pPr>
        <w:autoSpaceDE w:val="0"/>
        <w:autoSpaceDN w:val="0"/>
        <w:adjustRightInd w:val="0"/>
        <w:spacing w:line="60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组织开展整体支出绩效评价，涉及一般公共预算支出1293.19万元，政府性基金预算支出0万元，国有资本经营预算支出0万元。从评价情况来看，整体支出绩效评价中，2023年整体支出1382.4</w:t>
      </w:r>
      <w:r>
        <w:rPr>
          <w:rFonts w:hint="eastAsia" w:ascii="仿宋_GB2312" w:hAnsi="仿宋_GB2312" w:eastAsia="仿宋_GB2312" w:cs="仿宋_GB2312"/>
          <w:color w:val="000000"/>
          <w:kern w:val="0"/>
          <w:sz w:val="32"/>
          <w:szCs w:val="32"/>
          <w:lang w:val="en-US" w:eastAsia="zh-CN"/>
        </w:rPr>
        <w:t>6</w:t>
      </w:r>
      <w:r>
        <w:rPr>
          <w:rFonts w:hint="eastAsia" w:ascii="仿宋_GB2312" w:hAnsi="仿宋_GB2312" w:eastAsia="仿宋_GB2312" w:cs="仿宋_GB2312"/>
          <w:color w:val="000000"/>
          <w:kern w:val="0"/>
          <w:sz w:val="32"/>
          <w:szCs w:val="32"/>
        </w:rPr>
        <w:t>万元，其中：基本支出794.86万元，项目支出587.6万元，本单位整体支出绩效自评综合评分89.5分，评价结果等次为良好。</w:t>
      </w:r>
    </w:p>
    <w:p w14:paraId="45643D69">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组织对一般公共预算项目支出全面开展绩效自评，项目9个，共涉及资金246.2万元，占一般公共预算项目支出总额的</w:t>
      </w:r>
      <w:r>
        <w:rPr>
          <w:rFonts w:hint="eastAsia" w:ascii="仿宋_GB2312" w:hAnsi="仿宋_GB2312" w:eastAsia="仿宋_GB2312" w:cs="仿宋_GB2312"/>
          <w:color w:val="000000"/>
          <w:kern w:val="0"/>
          <w:sz w:val="32"/>
          <w:szCs w:val="32"/>
          <w:lang w:val="en-US" w:eastAsia="zh-CN"/>
        </w:rPr>
        <w:t>100</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b w:val="0"/>
          <w:bCs w:val="0"/>
          <w:color w:val="000000"/>
          <w:kern w:val="0"/>
          <w:sz w:val="32"/>
          <w:szCs w:val="32"/>
          <w:lang w:val="en-US" w:eastAsia="zh-CN" w:bidi="ar-SA"/>
        </w:rPr>
        <w:t>组织对政府性基金预算项目支出开展绩效自评，项目0个，共涉及资金0万元，</w:t>
      </w:r>
      <w:r>
        <w:rPr>
          <w:rFonts w:hint="eastAsia" w:ascii="Times New Roman" w:hAnsi="Times New Roman" w:eastAsia="仿宋_GB2312"/>
          <w:sz w:val="32"/>
          <w:szCs w:val="32"/>
          <w:lang w:eastAsia="zh-CN"/>
        </w:rPr>
        <w:t>由于各项预算数为</w:t>
      </w:r>
      <w:r>
        <w:rPr>
          <w:rFonts w:hint="eastAsia" w:ascii="Times New Roman" w:hAnsi="Times New Roman" w:eastAsia="仿宋_GB2312"/>
          <w:sz w:val="32"/>
          <w:szCs w:val="32"/>
          <w:lang w:val="en-US" w:eastAsia="zh-CN"/>
        </w:rPr>
        <w:t>0，故无法计算各项占比</w:t>
      </w:r>
      <w:r>
        <w:rPr>
          <w:rFonts w:hint="eastAsia" w:ascii="仿宋_GB2312" w:hAnsi="仿宋_GB2312" w:eastAsia="仿宋_GB2312" w:cs="仿宋_GB2312"/>
          <w:b w:val="0"/>
          <w:bCs w:val="0"/>
          <w:color w:val="000000"/>
          <w:kern w:val="0"/>
          <w:sz w:val="32"/>
          <w:szCs w:val="32"/>
          <w:lang w:val="en-US" w:eastAsia="zh-CN" w:bidi="ar-SA"/>
        </w:rPr>
        <w:t>。组织对国有资本经营预算项目支出开展绩效自评，项目0个，共涉及资金0万元，</w:t>
      </w:r>
      <w:r>
        <w:rPr>
          <w:rFonts w:hint="eastAsia" w:ascii="Times New Roman" w:hAnsi="Times New Roman" w:eastAsia="仿宋_GB2312"/>
          <w:sz w:val="32"/>
          <w:szCs w:val="32"/>
          <w:lang w:eastAsia="zh-CN"/>
        </w:rPr>
        <w:t>由于各项预算数为</w:t>
      </w:r>
      <w:r>
        <w:rPr>
          <w:rFonts w:hint="eastAsia" w:ascii="Times New Roman" w:hAnsi="Times New Roman" w:eastAsia="仿宋_GB2312"/>
          <w:sz w:val="32"/>
          <w:szCs w:val="32"/>
          <w:lang w:val="en-US" w:eastAsia="zh-CN"/>
        </w:rPr>
        <w:t>0，故无法计算各项占比</w:t>
      </w:r>
      <w:r>
        <w:rPr>
          <w:rFonts w:hint="eastAsia" w:ascii="仿宋_GB2312" w:hAnsi="仿宋_GB2312" w:eastAsia="仿宋_GB2312" w:cs="仿宋_GB2312"/>
          <w:b w:val="0"/>
          <w:bCs w:val="0"/>
          <w:color w:val="000000"/>
          <w:kern w:val="0"/>
          <w:sz w:val="32"/>
          <w:szCs w:val="32"/>
          <w:lang w:val="en-US" w:eastAsia="zh-CN" w:bidi="ar-SA"/>
        </w:rPr>
        <w:t>。</w:t>
      </w:r>
      <w:r>
        <w:rPr>
          <w:rFonts w:hint="eastAsia" w:ascii="仿宋_GB2312" w:hAnsi="仿宋_GB2312" w:eastAsia="仿宋_GB2312" w:cs="仿宋_GB2312"/>
          <w:color w:val="000000"/>
          <w:kern w:val="0"/>
          <w:sz w:val="32"/>
          <w:szCs w:val="32"/>
        </w:rPr>
        <w:t>从评价情况来看，项目绩效自评得分</w:t>
      </w:r>
      <w:r>
        <w:rPr>
          <w:rFonts w:hint="eastAsia" w:ascii="仿宋_GB2312" w:hAnsi="仿宋_GB2312" w:eastAsia="仿宋_GB2312" w:cs="仿宋_GB2312"/>
          <w:color w:val="000000"/>
          <w:kern w:val="0"/>
          <w:sz w:val="32"/>
          <w:szCs w:val="32"/>
          <w:lang w:val="en-US" w:eastAsia="zh-CN"/>
        </w:rPr>
        <w:t>89.5</w:t>
      </w:r>
      <w:r>
        <w:rPr>
          <w:rFonts w:hint="eastAsia" w:ascii="仿宋_GB2312" w:hAnsi="仿宋_GB2312" w:eastAsia="仿宋_GB2312" w:cs="仿宋_GB2312"/>
          <w:color w:val="000000"/>
          <w:kern w:val="0"/>
          <w:sz w:val="32"/>
          <w:szCs w:val="32"/>
        </w:rPr>
        <w:t>分，评价结果等次为良好。</w:t>
      </w:r>
    </w:p>
    <w:p w14:paraId="6863727E">
      <w:pPr>
        <w:pStyle w:val="14"/>
        <w:spacing w:line="580" w:lineRule="exact"/>
        <w:ind w:firstLine="640" w:firstLineChars="200"/>
        <w:rPr>
          <w:rFonts w:ascii="楷体" w:hAnsi="楷体" w:eastAsia="楷体" w:cs="楷体"/>
          <w:b/>
          <w:bCs/>
          <w:sz w:val="32"/>
          <w:szCs w:val="32"/>
        </w:rPr>
      </w:pPr>
      <w:r>
        <w:rPr>
          <w:rFonts w:hint="eastAsia" w:ascii="楷体" w:hAnsi="楷体" w:eastAsia="楷体" w:cs="楷体"/>
          <w:b/>
          <w:bCs/>
          <w:sz w:val="32"/>
          <w:szCs w:val="32"/>
        </w:rPr>
        <w:t>（二）部门（单位）整体支出绩效情况</w:t>
      </w:r>
    </w:p>
    <w:p w14:paraId="12EE5C8F">
      <w:pPr>
        <w:autoSpaceDE w:val="0"/>
        <w:autoSpaceDN w:val="0"/>
        <w:adjustRightInd w:val="0"/>
        <w:spacing w:line="600" w:lineRule="exact"/>
        <w:ind w:firstLine="640" w:firstLineChars="200"/>
        <w:rPr>
          <w:rFonts w:ascii="仿宋_GB2312" w:hAnsi="仿宋_GB2312" w:eastAsia="仿宋_GB2312" w:cs="仿宋_GB2312"/>
          <w:color w:val="000000"/>
          <w:kern w:val="0"/>
          <w:sz w:val="32"/>
          <w:szCs w:val="32"/>
        </w:rPr>
      </w:pPr>
      <w:r>
        <w:rPr>
          <w:rFonts w:hint="eastAsia" w:ascii="仿宋_GB2312" w:eastAsia="仿宋_GB2312"/>
          <w:color w:val="000000"/>
          <w:sz w:val="32"/>
          <w:szCs w:val="32"/>
        </w:rPr>
        <w:t>根据年初设定的绩效目标，2023年度支出预算是从我委职责职能出发,严格预算管理，围绕年初重点工作计划，按照“以事定钱”的原则安排，在资金预算、动态调整、审批、执行、支付等环节层层把关，抓好支出绩效的监控落实，严格控制预算新增和调剂调整，牢固树立“过紧日子”思想，从完善机关各项管理制度，优化机关财、物运行管理流程，加强机关信息系统应用，提高行政运行效率等方面抓好成本节约，确保各项支出科学、合理、高效。现对我委2023年度整体支出绩效情况总结如下：我委2023年坚持以习近平新时代中国特色社会主义思</w:t>
      </w:r>
      <w:r>
        <w:rPr>
          <w:rFonts w:hint="eastAsia" w:ascii="仿宋_GB2312" w:hAnsi="仿宋_GB2312" w:eastAsia="仿宋_GB2312" w:cs="仿宋_GB2312"/>
          <w:color w:val="000000"/>
          <w:kern w:val="0"/>
          <w:sz w:val="32"/>
          <w:szCs w:val="32"/>
        </w:rPr>
        <w:t>根据年初设定的绩效目标，绩效自评得分为89.5分。全年预算数为1154.75万元，执行数为1293.19万元，完成预算的111.99%。绩效目标完成情况：一是成功创建“全国市域社会治理现代化试眯合格城市”；二是“群英断是非”工作法得到中央政法委推介，入选全国试点创建65个“优秀创新经验”、全国104个“枫桥式工作法”；三是圆满完成重大节点、重要活动的维稳安保，社会大局中安全稳定；四是常态化扫黑除恶不松劲、依法打击犯罪不手软，创新基层治理不止步，平安建设取得实效。</w:t>
      </w:r>
    </w:p>
    <w:p w14:paraId="7386E57D">
      <w:pPr>
        <w:autoSpaceDE w:val="0"/>
        <w:autoSpaceDN w:val="0"/>
        <w:adjustRightInd w:val="0"/>
        <w:spacing w:line="600" w:lineRule="exact"/>
        <w:ind w:firstLine="640" w:firstLineChars="200"/>
        <w:jc w:val="left"/>
        <w:rPr>
          <w:rFonts w:ascii="仿宋_GB2312" w:hAnsi="仿宋_GB2312" w:eastAsia="仿宋_GB2312" w:cs="仿宋_GB2312"/>
          <w:color w:val="FF0000"/>
          <w:sz w:val="32"/>
          <w:szCs w:val="32"/>
        </w:rPr>
      </w:pPr>
      <w:r>
        <w:rPr>
          <w:rFonts w:hint="eastAsia" w:ascii="楷体" w:hAnsi="楷体" w:eastAsia="楷体" w:cs="楷体"/>
          <w:b/>
          <w:bCs/>
          <w:sz w:val="32"/>
          <w:szCs w:val="32"/>
        </w:rPr>
        <w:t>（三）存在的问题及原因分析</w:t>
      </w:r>
    </w:p>
    <w:p w14:paraId="78510128">
      <w:pPr>
        <w:pStyle w:val="8"/>
        <w:widowControl/>
        <w:spacing w:beforeAutospacing="0" w:afterAutospacing="0" w:line="252" w:lineRule="atLeast"/>
        <w:ind w:firstLine="579" w:firstLineChars="181"/>
        <w:rPr>
          <w:rFonts w:ascii="仿宋_GB2312" w:hAnsi="宋体" w:eastAsia="仿宋_GB2312" w:cs="仿宋_GB2312"/>
          <w:color w:val="000000"/>
          <w:sz w:val="31"/>
          <w:szCs w:val="31"/>
        </w:rPr>
      </w:pPr>
      <w:r>
        <w:rPr>
          <w:rFonts w:hint="eastAsia" w:ascii="仿宋_GB2312" w:hAnsi="仿宋_GB2312" w:eastAsia="仿宋_GB2312" w:cs="仿宋_GB2312"/>
          <w:sz w:val="32"/>
          <w:szCs w:val="32"/>
        </w:rPr>
        <w:t>存在的</w:t>
      </w:r>
      <w:r>
        <w:rPr>
          <w:rFonts w:hint="eastAsia" w:ascii="仿宋_GB2312" w:hAnsi="仿宋_GB2312" w:eastAsia="仿宋_GB2312" w:cs="仿宋_GB2312"/>
          <w:color w:val="000000"/>
          <w:sz w:val="32"/>
          <w:szCs w:val="32"/>
        </w:rPr>
        <w:t>主要问题及原因：一是</w:t>
      </w:r>
      <w:r>
        <w:rPr>
          <w:rFonts w:ascii="仿宋_GB2312" w:hAnsi="宋体" w:eastAsia="仿宋_GB2312" w:cs="仿宋_GB2312"/>
          <w:color w:val="000000"/>
          <w:sz w:val="31"/>
          <w:szCs w:val="31"/>
        </w:rPr>
        <w:t>项目库管理有待加强，</w:t>
      </w:r>
      <w:r>
        <w:rPr>
          <w:rFonts w:hint="eastAsia" w:ascii="仿宋_GB2312" w:hAnsi="宋体" w:eastAsia="仿宋_GB2312" w:cs="仿宋_GB2312"/>
          <w:color w:val="000000"/>
          <w:sz w:val="31"/>
          <w:szCs w:val="31"/>
        </w:rPr>
        <w:t>项目</w:t>
      </w:r>
      <w:r>
        <w:rPr>
          <w:rFonts w:hint="eastAsia" w:ascii="仿宋" w:hAnsi="仿宋" w:eastAsia="仿宋" w:cs="仿宋"/>
          <w:sz w:val="32"/>
          <w:szCs w:val="32"/>
        </w:rPr>
        <w:t>资金使用规定与实际脱节，由于不确定性因素增加，资金管理规定限制，导致部分专项资金短缺或专项资金盈余的情况同时存在。二是个</w:t>
      </w:r>
      <w:r>
        <w:rPr>
          <w:rFonts w:hint="eastAsia" w:ascii="仿宋_GB2312" w:hAnsi="宋体" w:eastAsia="仿宋_GB2312" w:cs="仿宋_GB2312"/>
          <w:color w:val="000000"/>
          <w:sz w:val="31"/>
          <w:szCs w:val="31"/>
        </w:rPr>
        <w:t>别</w:t>
      </w:r>
      <w:r>
        <w:rPr>
          <w:rFonts w:ascii="仿宋_GB2312" w:hAnsi="宋体" w:eastAsia="仿宋_GB2312" w:cs="仿宋_GB2312"/>
          <w:color w:val="000000"/>
          <w:sz w:val="31"/>
          <w:szCs w:val="31"/>
        </w:rPr>
        <w:t>跨年项目资金安排不够科学准确，容易造成资金沉淀，影响预算执行进度，项目入库的事前评估不够，部分项目未能如期开展。</w:t>
      </w:r>
      <w:r>
        <w:rPr>
          <w:rFonts w:hint="eastAsia" w:ascii="仿宋_GB2312" w:hAnsi="宋体" w:eastAsia="仿宋_GB2312" w:cs="仿宋_GB2312"/>
          <w:color w:val="000000"/>
          <w:sz w:val="31"/>
          <w:szCs w:val="31"/>
        </w:rPr>
        <w:t>三</w:t>
      </w:r>
      <w:r>
        <w:rPr>
          <w:rFonts w:hint="eastAsia" w:ascii="仿宋_GB2312" w:hAnsi="仿宋_GB2312" w:eastAsia="仿宋_GB2312" w:cs="仿宋_GB2312"/>
          <w:color w:val="000000"/>
          <w:sz w:val="32"/>
          <w:szCs w:val="32"/>
        </w:rPr>
        <w:t>是</w:t>
      </w:r>
      <w:r>
        <w:rPr>
          <w:rFonts w:hint="eastAsia" w:ascii="仿宋" w:hAnsi="仿宋" w:eastAsia="仿宋"/>
          <w:sz w:val="32"/>
          <w:szCs w:val="32"/>
        </w:rPr>
        <w:t>物资采购及管理有待提高。部分物资采购未掌握物资实际情况，导致重复采购，小物件办公用品库存物资与登记台账不符。四是在资金使用方面的掌控力还需要进一步加强，</w:t>
      </w:r>
      <w:r>
        <w:rPr>
          <w:rFonts w:ascii="仿宋_GB2312" w:hAnsi="宋体" w:eastAsia="仿宋_GB2312" w:cs="仿宋_GB2312"/>
          <w:color w:val="000000"/>
          <w:sz w:val="31"/>
          <w:szCs w:val="31"/>
        </w:rPr>
        <w:t>资金使用效益有待提高，</w:t>
      </w:r>
      <w:r>
        <w:rPr>
          <w:rFonts w:hint="eastAsia" w:ascii="仿宋_GB2312" w:hAnsi="宋体" w:eastAsia="仿宋_GB2312" w:cs="仿宋_GB2312"/>
          <w:color w:val="000000"/>
          <w:sz w:val="31"/>
          <w:szCs w:val="31"/>
        </w:rPr>
        <w:t>由于</w:t>
      </w:r>
      <w:r>
        <w:rPr>
          <w:rFonts w:ascii="仿宋_GB2312" w:hAnsi="宋体" w:eastAsia="仿宋_GB2312" w:cs="仿宋_GB2312"/>
          <w:color w:val="000000"/>
          <w:sz w:val="31"/>
          <w:szCs w:val="31"/>
        </w:rPr>
        <w:t>预算资金分配评价标准体系不够科学、全面、量化，统筹业务、使用情况、资金存量的力度不够，资金使用绩效监控意识薄弱。</w:t>
      </w:r>
    </w:p>
    <w:p w14:paraId="6A4BB261">
      <w:pPr>
        <w:pStyle w:val="8"/>
        <w:widowControl/>
        <w:spacing w:beforeAutospacing="0" w:afterAutospacing="0" w:line="252" w:lineRule="atLeast"/>
        <w:ind w:firstLine="620" w:firstLineChars="200"/>
        <w:rPr>
          <w:rFonts w:ascii="仿宋_GB2312" w:hAnsi="仿宋_GB2312" w:eastAsia="仿宋_GB2312" w:cs="仿宋_GB2312"/>
          <w:sz w:val="32"/>
          <w:szCs w:val="32"/>
        </w:rPr>
      </w:pPr>
      <w:r>
        <w:rPr>
          <w:rFonts w:hint="eastAsia" w:ascii="仿宋_GB2312" w:hAnsi="宋体" w:eastAsia="仿宋_GB2312" w:cs="仿宋_GB2312"/>
          <w:color w:val="000000"/>
          <w:sz w:val="31"/>
          <w:szCs w:val="31"/>
        </w:rPr>
        <w:t>下一步改进措施：一是按照</w:t>
      </w:r>
      <w:r>
        <w:rPr>
          <w:rFonts w:hint="eastAsia" w:ascii="仿宋" w:hAnsi="仿宋" w:eastAsia="仿宋" w:cs="仿宋"/>
          <w:color w:val="000000"/>
          <w:sz w:val="32"/>
          <w:szCs w:val="32"/>
        </w:rPr>
        <w:t>财政部门工作要求，认真履行全面预算绩效管理职责，坚持“花钱必问效”原则，促进财政预算绩效管理提质增效。二是</w:t>
      </w:r>
      <w:r>
        <w:rPr>
          <w:rStyle w:val="11"/>
          <w:rFonts w:hint="eastAsia" w:ascii="仿宋" w:hAnsi="仿宋" w:eastAsia="仿宋" w:cs="仿宋"/>
          <w:b w:val="0"/>
          <w:bCs/>
          <w:color w:val="000000"/>
          <w:sz w:val="32"/>
          <w:szCs w:val="32"/>
        </w:rPr>
        <w:t>抓日常基础工作提效益，</w:t>
      </w:r>
      <w:r>
        <w:rPr>
          <w:rFonts w:hint="eastAsia" w:ascii="仿宋" w:hAnsi="仿宋" w:eastAsia="仿宋" w:cs="仿宋"/>
          <w:color w:val="000000"/>
          <w:sz w:val="32"/>
          <w:szCs w:val="32"/>
        </w:rPr>
        <w:t>根据绩效管理考核工作相关要求，对部门整体支出绩效、项目支出绩效客观、准确、全面、完整地开展自评工作。三是不断提高预算经费精细化管理和保运转水平，坚持执行厉行节约、习惯过紧日子的工作要求。</w:t>
      </w:r>
    </w:p>
    <w:p w14:paraId="1FE28581">
      <w:pPr>
        <w:autoSpaceDE w:val="0"/>
        <w:autoSpaceDN w:val="0"/>
        <w:adjustRightInd w:val="0"/>
        <w:ind w:firstLine="640" w:firstLineChars="200"/>
        <w:jc w:val="left"/>
        <w:rPr>
          <w:rFonts w:ascii="方正小标宋_GBK" w:hAnsi="方正小标宋_GBK" w:eastAsia="方正小标宋_GBK" w:cs="方正小标宋_GBK"/>
          <w:sz w:val="70"/>
          <w:szCs w:val="70"/>
        </w:rPr>
      </w:pPr>
      <w:r>
        <w:rPr>
          <w:rFonts w:hint="eastAsia" w:ascii="仿宋_GB2312" w:hAnsi="仿宋_GB2312" w:eastAsia="仿宋_GB2312" w:cs="仿宋_GB2312"/>
          <w:sz w:val="32"/>
          <w:szCs w:val="32"/>
        </w:rPr>
        <w:t>预算绩效管理开展情况、绩效目标和绩效评价报告等，已在市政府部门财政预决算公开平台上向社会公开，详见附件。</w:t>
      </w:r>
    </w:p>
    <w:p w14:paraId="400794B5">
      <w:pPr>
        <w:pStyle w:val="14"/>
        <w:jc w:val="center"/>
        <w:rPr>
          <w:rFonts w:ascii="方正小标宋_GBK" w:hAnsi="方正小标宋_GBK" w:eastAsia="方正小标宋_GBK" w:cs="方正小标宋_GBK"/>
          <w:sz w:val="70"/>
          <w:szCs w:val="70"/>
        </w:rPr>
      </w:pPr>
    </w:p>
    <w:p w14:paraId="5B327389">
      <w:pPr>
        <w:pStyle w:val="14"/>
        <w:jc w:val="center"/>
        <w:rPr>
          <w:rFonts w:ascii="方正小标宋_GBK" w:hAnsi="方正小标宋_GBK" w:eastAsia="方正小标宋_GBK" w:cs="方正小标宋_GBK"/>
          <w:sz w:val="72"/>
          <w:szCs w:val="72"/>
        </w:rPr>
      </w:pPr>
    </w:p>
    <w:p w14:paraId="6BC31FFE">
      <w:pPr>
        <w:pStyle w:val="14"/>
        <w:jc w:val="center"/>
        <w:rPr>
          <w:rFonts w:ascii="方正小标宋_GBK" w:hAnsi="方正小标宋_GBK" w:eastAsia="方正小标宋_GBK" w:cs="方正小标宋_GBK"/>
          <w:sz w:val="72"/>
          <w:szCs w:val="72"/>
        </w:rPr>
      </w:pPr>
    </w:p>
    <w:p w14:paraId="798AF042">
      <w:pPr>
        <w:pStyle w:val="14"/>
        <w:jc w:val="both"/>
        <w:rPr>
          <w:rFonts w:ascii="方正小标宋_GBK" w:hAnsi="方正小标宋_GBK" w:eastAsia="方正小标宋_GBK" w:cs="方正小标宋_GBK"/>
          <w:sz w:val="72"/>
          <w:szCs w:val="72"/>
        </w:rPr>
      </w:pPr>
    </w:p>
    <w:p w14:paraId="76433ADA">
      <w:pPr>
        <w:pStyle w:val="14"/>
        <w:jc w:val="center"/>
        <w:rPr>
          <w:rFonts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542B7B18">
      <w:pPr>
        <w:jc w:val="center"/>
        <w:rPr>
          <w:rFonts w:ascii="方正小标宋_GBK" w:hAnsi="方正小标宋_GBK" w:eastAsia="方正小标宋_GBK" w:cs="方正小标宋_GBK"/>
          <w:color w:val="000000"/>
          <w:kern w:val="0"/>
          <w:sz w:val="70"/>
          <w:szCs w:val="70"/>
        </w:rPr>
      </w:pPr>
    </w:p>
    <w:p w14:paraId="11E31D52">
      <w:pPr>
        <w:pStyle w:val="14"/>
        <w:jc w:val="center"/>
        <w:rPr>
          <w:rFonts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名词解释</w:t>
      </w:r>
    </w:p>
    <w:p w14:paraId="0C718616">
      <w:pPr>
        <w:pStyle w:val="7"/>
      </w:pPr>
    </w:p>
    <w:p w14:paraId="17DBE0B3">
      <w:pPr>
        <w:pStyle w:val="3"/>
        <w:ind w:firstLine="480"/>
      </w:pPr>
    </w:p>
    <w:p w14:paraId="65A24591"/>
    <w:p w14:paraId="2B4A81DC">
      <w:pPr>
        <w:pStyle w:val="7"/>
      </w:pPr>
    </w:p>
    <w:p w14:paraId="5B79F369">
      <w:pPr>
        <w:pStyle w:val="3"/>
        <w:ind w:firstLine="480"/>
      </w:pPr>
    </w:p>
    <w:p w14:paraId="2F2EA514"/>
    <w:p w14:paraId="770C169D">
      <w:pPr>
        <w:pStyle w:val="7"/>
      </w:pPr>
    </w:p>
    <w:p w14:paraId="6BAF9478">
      <w:pPr>
        <w:pStyle w:val="3"/>
        <w:ind w:firstLine="480"/>
      </w:pPr>
    </w:p>
    <w:p w14:paraId="396FCE11"/>
    <w:p w14:paraId="11414516">
      <w:pPr>
        <w:pStyle w:val="7"/>
      </w:pPr>
    </w:p>
    <w:p w14:paraId="11964655"/>
    <w:p w14:paraId="084B5EFD">
      <w:pPr>
        <w:pStyle w:val="7"/>
      </w:pPr>
    </w:p>
    <w:p w14:paraId="2C94CBFA">
      <w:pPr>
        <w:pStyle w:val="3"/>
        <w:ind w:firstLine="480"/>
      </w:pPr>
    </w:p>
    <w:p w14:paraId="3C4A2616"/>
    <w:p w14:paraId="44E9C743"/>
    <w:p w14:paraId="6ED3A044"/>
    <w:p w14:paraId="76385A41"/>
    <w:p w14:paraId="3587B447"/>
    <w:p w14:paraId="3A07DF6A"/>
    <w:p w14:paraId="7B348B21"/>
    <w:p w14:paraId="6C12CEE9"/>
    <w:p w14:paraId="38A28018">
      <w:pPr>
        <w:pStyle w:val="7"/>
      </w:pPr>
    </w:p>
    <w:p w14:paraId="765F854C">
      <w:pPr>
        <w:pStyle w:val="3"/>
        <w:ind w:firstLine="480"/>
      </w:pPr>
    </w:p>
    <w:p w14:paraId="59718FD5">
      <w:pPr>
        <w:pStyle w:val="7"/>
      </w:pPr>
    </w:p>
    <w:p w14:paraId="2806347A">
      <w:pPr>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6970D3B7">
      <w:pPr>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机关运行经费，指为保障行政单位（包括参照公务员法管理的事业单位）运行用于购买货物和服务的各项资金，包括办公费、印刷费、邮电费、差旅费、会议费、日常维修费、专用材料及一般设备购置费、办公用房水电费、办公用房取暖费、办公用房物业管理费、公务用车运行维护费以及其他费用。</w:t>
      </w:r>
    </w:p>
    <w:p w14:paraId="68233D00">
      <w:pPr>
        <w:pStyle w:val="14"/>
        <w:jc w:val="center"/>
        <w:rPr>
          <w:rFonts w:ascii="仿宋_GB2312" w:hAnsi="仿宋_GB2312" w:eastAsia="仿宋_GB2312" w:cs="仿宋_GB2312"/>
          <w:sz w:val="32"/>
          <w:szCs w:val="32"/>
        </w:rPr>
      </w:pPr>
    </w:p>
    <w:p w14:paraId="2C4C29C8">
      <w:pPr>
        <w:pStyle w:val="3"/>
        <w:ind w:firstLine="480"/>
      </w:pPr>
    </w:p>
    <w:p w14:paraId="78C7619F"/>
    <w:p w14:paraId="0D8F90AE">
      <w:pPr>
        <w:pStyle w:val="7"/>
      </w:pPr>
    </w:p>
    <w:p w14:paraId="09887B04">
      <w:pPr>
        <w:pStyle w:val="3"/>
        <w:ind w:firstLine="480"/>
      </w:pPr>
    </w:p>
    <w:p w14:paraId="156FF937"/>
    <w:p w14:paraId="5BE40955">
      <w:pPr>
        <w:pStyle w:val="7"/>
      </w:pPr>
    </w:p>
    <w:p w14:paraId="2CFDA81D">
      <w:pPr>
        <w:pStyle w:val="3"/>
        <w:ind w:firstLine="480"/>
      </w:pPr>
    </w:p>
    <w:p w14:paraId="5B99834F"/>
    <w:p w14:paraId="7C3546ED">
      <w:pPr>
        <w:pStyle w:val="7"/>
      </w:pPr>
    </w:p>
    <w:p w14:paraId="674034E6">
      <w:pPr>
        <w:pStyle w:val="3"/>
        <w:ind w:firstLine="480"/>
      </w:pPr>
    </w:p>
    <w:p w14:paraId="74B560F8"/>
    <w:p w14:paraId="1688DA14">
      <w:pPr>
        <w:pStyle w:val="7"/>
      </w:pPr>
    </w:p>
    <w:p w14:paraId="1A4A1110">
      <w:pPr>
        <w:pStyle w:val="3"/>
        <w:ind w:firstLine="480"/>
      </w:pPr>
    </w:p>
    <w:p w14:paraId="111DFF27"/>
    <w:p w14:paraId="6B83F6AF">
      <w:pPr>
        <w:pStyle w:val="7"/>
      </w:pPr>
    </w:p>
    <w:p w14:paraId="7B5B8A70">
      <w:pPr>
        <w:pStyle w:val="3"/>
        <w:ind w:firstLine="480"/>
      </w:pPr>
    </w:p>
    <w:p w14:paraId="5AE33ED0">
      <w:pPr>
        <w:pStyle w:val="14"/>
        <w:jc w:val="center"/>
        <w:rPr>
          <w:rFonts w:ascii="方正小标宋_GBK" w:hAnsi="方正小标宋_GBK" w:eastAsia="方正小标宋_GBK" w:cs="方正小标宋_GBK"/>
          <w:sz w:val="72"/>
          <w:szCs w:val="72"/>
        </w:rPr>
      </w:pPr>
    </w:p>
    <w:p w14:paraId="5AEDAACA">
      <w:pPr>
        <w:pStyle w:val="14"/>
        <w:jc w:val="center"/>
        <w:rPr>
          <w:rFonts w:ascii="方正小标宋_GBK" w:hAnsi="方正小标宋_GBK" w:eastAsia="方正小标宋_GBK" w:cs="方正小标宋_GBK"/>
          <w:sz w:val="72"/>
          <w:szCs w:val="72"/>
        </w:rPr>
      </w:pPr>
    </w:p>
    <w:p w14:paraId="54A3B8B4">
      <w:pPr>
        <w:pStyle w:val="14"/>
        <w:jc w:val="center"/>
        <w:rPr>
          <w:rFonts w:ascii="方正小标宋_GBK" w:hAnsi="方正小标宋_GBK" w:eastAsia="方正小标宋_GBK" w:cs="方正小标宋_GBK"/>
          <w:sz w:val="72"/>
          <w:szCs w:val="72"/>
        </w:rPr>
      </w:pPr>
    </w:p>
    <w:p w14:paraId="485E1F02">
      <w:pPr>
        <w:pStyle w:val="14"/>
        <w:jc w:val="center"/>
        <w:rPr>
          <w:rFonts w:ascii="方正小标宋_GBK" w:hAnsi="方正小标宋_GBK" w:eastAsia="方正小标宋_GBK" w:cs="方正小标宋_GBK"/>
          <w:sz w:val="72"/>
          <w:szCs w:val="72"/>
        </w:rPr>
      </w:pPr>
    </w:p>
    <w:p w14:paraId="4B0F4C62">
      <w:pPr>
        <w:pStyle w:val="14"/>
        <w:rPr>
          <w:rFonts w:ascii="方正小标宋_GBK" w:hAnsi="方正小标宋_GBK" w:eastAsia="方正小标宋_GBK" w:cs="方正小标宋_GBK"/>
          <w:sz w:val="72"/>
          <w:szCs w:val="72"/>
        </w:rPr>
      </w:pPr>
    </w:p>
    <w:p w14:paraId="0AD2E148">
      <w:pPr>
        <w:pStyle w:val="14"/>
        <w:jc w:val="center"/>
        <w:rPr>
          <w:rFonts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2"/>
          <w:szCs w:val="72"/>
        </w:rPr>
        <w:t>第五部分</w:t>
      </w:r>
    </w:p>
    <w:p w14:paraId="5BDFCD23">
      <w:pPr>
        <w:pStyle w:val="14"/>
        <w:jc w:val="both"/>
        <w:rPr>
          <w:rFonts w:ascii="方正小标宋_GBK" w:hAnsi="方正小标宋_GBK" w:eastAsia="方正小标宋_GBK" w:cs="方正小标宋_GBK"/>
          <w:sz w:val="70"/>
          <w:szCs w:val="70"/>
        </w:rPr>
      </w:pPr>
    </w:p>
    <w:p w14:paraId="2666667E">
      <w:pPr>
        <w:pStyle w:val="14"/>
        <w:jc w:val="center"/>
        <w:rPr>
          <w:rFonts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附 件</w:t>
      </w:r>
    </w:p>
    <w:p w14:paraId="1F37FA0D">
      <w:pPr>
        <w:ind w:firstLine="640" w:firstLineChars="200"/>
        <w:jc w:val="left"/>
        <w:rPr>
          <w:rFonts w:ascii="宋体" w:hAnsi="宋体" w:eastAsia="宋体" w:cs="黑体"/>
          <w:b/>
          <w:color w:val="000000"/>
          <w:kern w:val="0"/>
          <w:sz w:val="32"/>
          <w:szCs w:val="32"/>
        </w:rPr>
      </w:pPr>
    </w:p>
    <w:p w14:paraId="6ABDFBE5">
      <w:pPr>
        <w:pStyle w:val="7"/>
      </w:pPr>
    </w:p>
    <w:p w14:paraId="15756B57">
      <w:pPr>
        <w:pStyle w:val="3"/>
        <w:ind w:firstLine="480"/>
      </w:pPr>
    </w:p>
    <w:p w14:paraId="27F1B1E6"/>
    <w:p w14:paraId="7E429C98">
      <w:pPr>
        <w:pStyle w:val="7"/>
      </w:pPr>
    </w:p>
    <w:p w14:paraId="5C7E5D77">
      <w:pPr>
        <w:pStyle w:val="3"/>
        <w:ind w:firstLine="480"/>
      </w:pPr>
    </w:p>
    <w:p w14:paraId="76D48DCC"/>
    <w:p w14:paraId="5350B6B5">
      <w:pPr>
        <w:pStyle w:val="7"/>
      </w:pPr>
    </w:p>
    <w:p w14:paraId="5A7E114C">
      <w:pPr>
        <w:pStyle w:val="3"/>
        <w:ind w:firstLine="480"/>
        <w:rPr>
          <w:rFonts w:hint="eastAsia"/>
        </w:rPr>
      </w:pPr>
    </w:p>
    <w:p w14:paraId="315E4715">
      <w:pPr>
        <w:rPr>
          <w:rFonts w:hint="eastAsia"/>
        </w:rPr>
      </w:pPr>
    </w:p>
    <w:p w14:paraId="08D9B0B2">
      <w:pPr>
        <w:rPr>
          <w:rFonts w:hint="eastAsia"/>
        </w:rPr>
      </w:pPr>
    </w:p>
    <w:p w14:paraId="225C5BC1">
      <w:pPr>
        <w:rPr>
          <w:rFonts w:hint="eastAsia"/>
        </w:rPr>
      </w:pPr>
    </w:p>
    <w:p w14:paraId="4C38D2B4"/>
    <w:p w14:paraId="0EFD0ECD"/>
    <w:p w14:paraId="2CE1E670">
      <w:pPr>
        <w:ind w:firstLine="640" w:firstLineChars="200"/>
        <w:jc w:val="left"/>
        <w:rPr>
          <w:rFonts w:ascii="宋体" w:hAnsi="宋体" w:eastAsia="宋体" w:cs="黑体"/>
          <w:b/>
          <w:color w:val="000000"/>
          <w:kern w:val="0"/>
          <w:sz w:val="32"/>
          <w:szCs w:val="32"/>
        </w:rPr>
      </w:pPr>
      <w:r>
        <w:rPr>
          <w:rFonts w:hint="eastAsia" w:ascii="宋体" w:hAnsi="宋体" w:eastAsia="宋体" w:cs="黑体"/>
          <w:b/>
          <w:color w:val="000000"/>
          <w:kern w:val="0"/>
          <w:sz w:val="32"/>
          <w:szCs w:val="32"/>
        </w:rPr>
        <w:t>1、2023年部门决算公开表格</w:t>
      </w:r>
    </w:p>
    <w:p w14:paraId="75882651">
      <w:pPr>
        <w:ind w:firstLine="640" w:firstLineChars="200"/>
        <w:jc w:val="left"/>
        <w:rPr>
          <w:rFonts w:ascii="宋体" w:hAnsi="宋体" w:eastAsia="宋体" w:cs="黑体"/>
          <w:color w:val="000000"/>
          <w:kern w:val="0"/>
          <w:sz w:val="32"/>
          <w:szCs w:val="32"/>
        </w:rPr>
      </w:pPr>
      <w:r>
        <w:rPr>
          <w:rFonts w:hint="eastAsia" w:ascii="宋体" w:hAnsi="宋体" w:eastAsia="宋体" w:cs="黑体"/>
          <w:b/>
          <w:color w:val="000000"/>
          <w:kern w:val="0"/>
          <w:sz w:val="32"/>
          <w:szCs w:val="32"/>
        </w:rPr>
        <w:t>2、2023年度部门整体支出绩效评价报告</w:t>
      </w:r>
    </w:p>
    <w:p w14:paraId="75A55667"/>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Arial Unicode MS"/>
    <w:panose1 w:val="00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4OTYzZGM0YjlmNTFjMTc5NjU1Nzk1MjdmZTk2NGMifQ=="/>
  </w:docVars>
  <w:rsids>
    <w:rsidRoot w:val="004506F9"/>
    <w:rsid w:val="0002229B"/>
    <w:rsid w:val="000273BD"/>
    <w:rsid w:val="000273CC"/>
    <w:rsid w:val="0002784D"/>
    <w:rsid w:val="00040CBC"/>
    <w:rsid w:val="000415B7"/>
    <w:rsid w:val="00041E3F"/>
    <w:rsid w:val="0004479F"/>
    <w:rsid w:val="00055DAA"/>
    <w:rsid w:val="00061F7B"/>
    <w:rsid w:val="000658A3"/>
    <w:rsid w:val="00074155"/>
    <w:rsid w:val="000A3F69"/>
    <w:rsid w:val="000D4A76"/>
    <w:rsid w:val="00103957"/>
    <w:rsid w:val="00116BFD"/>
    <w:rsid w:val="00144E97"/>
    <w:rsid w:val="00152C6D"/>
    <w:rsid w:val="00154B03"/>
    <w:rsid w:val="00162D39"/>
    <w:rsid w:val="001678BD"/>
    <w:rsid w:val="00180123"/>
    <w:rsid w:val="00182373"/>
    <w:rsid w:val="001973FF"/>
    <w:rsid w:val="001A67DB"/>
    <w:rsid w:val="001C3C29"/>
    <w:rsid w:val="001D51E5"/>
    <w:rsid w:val="001E080D"/>
    <w:rsid w:val="001E3AF7"/>
    <w:rsid w:val="001E53D0"/>
    <w:rsid w:val="001F0C3B"/>
    <w:rsid w:val="00202C82"/>
    <w:rsid w:val="00214427"/>
    <w:rsid w:val="00223E90"/>
    <w:rsid w:val="00226CB7"/>
    <w:rsid w:val="002417FA"/>
    <w:rsid w:val="00264552"/>
    <w:rsid w:val="00264EF9"/>
    <w:rsid w:val="00265724"/>
    <w:rsid w:val="0027426B"/>
    <w:rsid w:val="002D209C"/>
    <w:rsid w:val="002E0A30"/>
    <w:rsid w:val="002F0267"/>
    <w:rsid w:val="003130C4"/>
    <w:rsid w:val="00316C4B"/>
    <w:rsid w:val="0032192B"/>
    <w:rsid w:val="00321E00"/>
    <w:rsid w:val="003479BD"/>
    <w:rsid w:val="0037197D"/>
    <w:rsid w:val="003768D5"/>
    <w:rsid w:val="003926B9"/>
    <w:rsid w:val="003A6538"/>
    <w:rsid w:val="003C47E6"/>
    <w:rsid w:val="003C4FC2"/>
    <w:rsid w:val="003E31E6"/>
    <w:rsid w:val="00416E61"/>
    <w:rsid w:val="00426484"/>
    <w:rsid w:val="0042790C"/>
    <w:rsid w:val="00441D85"/>
    <w:rsid w:val="004506F9"/>
    <w:rsid w:val="00451654"/>
    <w:rsid w:val="00455810"/>
    <w:rsid w:val="004717A2"/>
    <w:rsid w:val="00473DF3"/>
    <w:rsid w:val="00487911"/>
    <w:rsid w:val="00491741"/>
    <w:rsid w:val="004B0CEE"/>
    <w:rsid w:val="004B6C1C"/>
    <w:rsid w:val="004D4B53"/>
    <w:rsid w:val="004F2B80"/>
    <w:rsid w:val="00500E5F"/>
    <w:rsid w:val="005122EF"/>
    <w:rsid w:val="0051441A"/>
    <w:rsid w:val="00517C33"/>
    <w:rsid w:val="00517D5F"/>
    <w:rsid w:val="00523644"/>
    <w:rsid w:val="0054069E"/>
    <w:rsid w:val="00544866"/>
    <w:rsid w:val="005767CC"/>
    <w:rsid w:val="00590D9F"/>
    <w:rsid w:val="00595D26"/>
    <w:rsid w:val="0059682E"/>
    <w:rsid w:val="005A74E6"/>
    <w:rsid w:val="005B404E"/>
    <w:rsid w:val="005B4CB9"/>
    <w:rsid w:val="005C1E3E"/>
    <w:rsid w:val="005D4D55"/>
    <w:rsid w:val="005E2CFB"/>
    <w:rsid w:val="005F2103"/>
    <w:rsid w:val="005F3D1C"/>
    <w:rsid w:val="0062378F"/>
    <w:rsid w:val="00641842"/>
    <w:rsid w:val="00651EEC"/>
    <w:rsid w:val="006752C5"/>
    <w:rsid w:val="00683570"/>
    <w:rsid w:val="00686673"/>
    <w:rsid w:val="00691E8C"/>
    <w:rsid w:val="00697E6E"/>
    <w:rsid w:val="006A22C4"/>
    <w:rsid w:val="006A351B"/>
    <w:rsid w:val="006B0422"/>
    <w:rsid w:val="006C13E0"/>
    <w:rsid w:val="006C1B53"/>
    <w:rsid w:val="006C315A"/>
    <w:rsid w:val="006D7730"/>
    <w:rsid w:val="006E05BE"/>
    <w:rsid w:val="006E5284"/>
    <w:rsid w:val="006E5C1E"/>
    <w:rsid w:val="006F3EB5"/>
    <w:rsid w:val="007021C3"/>
    <w:rsid w:val="00702E34"/>
    <w:rsid w:val="00704395"/>
    <w:rsid w:val="00710FE7"/>
    <w:rsid w:val="00717621"/>
    <w:rsid w:val="00720FF1"/>
    <w:rsid w:val="00727A53"/>
    <w:rsid w:val="00727A5C"/>
    <w:rsid w:val="007473D7"/>
    <w:rsid w:val="00783A58"/>
    <w:rsid w:val="00787B42"/>
    <w:rsid w:val="007B7194"/>
    <w:rsid w:val="007C0264"/>
    <w:rsid w:val="007C4539"/>
    <w:rsid w:val="007F3657"/>
    <w:rsid w:val="00812ED5"/>
    <w:rsid w:val="00815163"/>
    <w:rsid w:val="008277D9"/>
    <w:rsid w:val="0083285B"/>
    <w:rsid w:val="0084478C"/>
    <w:rsid w:val="008642A5"/>
    <w:rsid w:val="0086638C"/>
    <w:rsid w:val="00866491"/>
    <w:rsid w:val="008749AF"/>
    <w:rsid w:val="008778B0"/>
    <w:rsid w:val="00890C29"/>
    <w:rsid w:val="008A3E8D"/>
    <w:rsid w:val="008E016A"/>
    <w:rsid w:val="009237C4"/>
    <w:rsid w:val="0093211A"/>
    <w:rsid w:val="00944C48"/>
    <w:rsid w:val="00950252"/>
    <w:rsid w:val="00961475"/>
    <w:rsid w:val="00967F5D"/>
    <w:rsid w:val="009A0F95"/>
    <w:rsid w:val="009B2FA4"/>
    <w:rsid w:val="009B3ADF"/>
    <w:rsid w:val="009B4D8E"/>
    <w:rsid w:val="009B5B57"/>
    <w:rsid w:val="009C3B52"/>
    <w:rsid w:val="009E6817"/>
    <w:rsid w:val="009E6E9A"/>
    <w:rsid w:val="009F648A"/>
    <w:rsid w:val="00A01D2B"/>
    <w:rsid w:val="00A06488"/>
    <w:rsid w:val="00A32142"/>
    <w:rsid w:val="00A37D38"/>
    <w:rsid w:val="00A42218"/>
    <w:rsid w:val="00A55F2E"/>
    <w:rsid w:val="00A70249"/>
    <w:rsid w:val="00A70B02"/>
    <w:rsid w:val="00A71D9F"/>
    <w:rsid w:val="00A83AD0"/>
    <w:rsid w:val="00A92E9F"/>
    <w:rsid w:val="00AA30C9"/>
    <w:rsid w:val="00AB18FF"/>
    <w:rsid w:val="00AB554A"/>
    <w:rsid w:val="00AB71B0"/>
    <w:rsid w:val="00B14C9E"/>
    <w:rsid w:val="00B2192F"/>
    <w:rsid w:val="00B33BEA"/>
    <w:rsid w:val="00B57C9F"/>
    <w:rsid w:val="00B63572"/>
    <w:rsid w:val="00B845B3"/>
    <w:rsid w:val="00B85D8B"/>
    <w:rsid w:val="00BB4A40"/>
    <w:rsid w:val="00BD6C3E"/>
    <w:rsid w:val="00BE3533"/>
    <w:rsid w:val="00BE3674"/>
    <w:rsid w:val="00C03FE5"/>
    <w:rsid w:val="00C06B20"/>
    <w:rsid w:val="00C07ECF"/>
    <w:rsid w:val="00C10681"/>
    <w:rsid w:val="00C11433"/>
    <w:rsid w:val="00C3049A"/>
    <w:rsid w:val="00C31B1E"/>
    <w:rsid w:val="00C32EE2"/>
    <w:rsid w:val="00C77645"/>
    <w:rsid w:val="00C90E32"/>
    <w:rsid w:val="00CD2203"/>
    <w:rsid w:val="00CE04C3"/>
    <w:rsid w:val="00CE76A0"/>
    <w:rsid w:val="00CF35DF"/>
    <w:rsid w:val="00D127FD"/>
    <w:rsid w:val="00D148C6"/>
    <w:rsid w:val="00D17A8A"/>
    <w:rsid w:val="00D20C5C"/>
    <w:rsid w:val="00D36788"/>
    <w:rsid w:val="00D415BA"/>
    <w:rsid w:val="00D519D2"/>
    <w:rsid w:val="00D63780"/>
    <w:rsid w:val="00D644EE"/>
    <w:rsid w:val="00D9074F"/>
    <w:rsid w:val="00DA4C20"/>
    <w:rsid w:val="00DB7EED"/>
    <w:rsid w:val="00DD06FF"/>
    <w:rsid w:val="00DD51AF"/>
    <w:rsid w:val="00DD5FE9"/>
    <w:rsid w:val="00E00C7A"/>
    <w:rsid w:val="00E066D7"/>
    <w:rsid w:val="00E17892"/>
    <w:rsid w:val="00E37D6C"/>
    <w:rsid w:val="00E55B68"/>
    <w:rsid w:val="00E561AE"/>
    <w:rsid w:val="00E67BE6"/>
    <w:rsid w:val="00E8683C"/>
    <w:rsid w:val="00EA2B72"/>
    <w:rsid w:val="00EE6991"/>
    <w:rsid w:val="00F0227F"/>
    <w:rsid w:val="00F74360"/>
    <w:rsid w:val="00FB462F"/>
    <w:rsid w:val="00FD7F87"/>
    <w:rsid w:val="00FE16FA"/>
    <w:rsid w:val="00FE328A"/>
    <w:rsid w:val="00FE35AA"/>
    <w:rsid w:val="00FE6269"/>
    <w:rsid w:val="00FF2792"/>
    <w:rsid w:val="00FF5CD6"/>
    <w:rsid w:val="023B0973"/>
    <w:rsid w:val="02EB4148"/>
    <w:rsid w:val="03A013D6"/>
    <w:rsid w:val="04E83035"/>
    <w:rsid w:val="05353DA0"/>
    <w:rsid w:val="059958AD"/>
    <w:rsid w:val="068714C9"/>
    <w:rsid w:val="06C857E7"/>
    <w:rsid w:val="0797489E"/>
    <w:rsid w:val="07A1396F"/>
    <w:rsid w:val="08C24A73"/>
    <w:rsid w:val="09410F65"/>
    <w:rsid w:val="0AAA2B3A"/>
    <w:rsid w:val="0C450D6C"/>
    <w:rsid w:val="0D8B0A01"/>
    <w:rsid w:val="0D9378B6"/>
    <w:rsid w:val="0D9C2C0E"/>
    <w:rsid w:val="0E1529C0"/>
    <w:rsid w:val="0E2826F4"/>
    <w:rsid w:val="0F7F4595"/>
    <w:rsid w:val="11F052D6"/>
    <w:rsid w:val="11FD79F3"/>
    <w:rsid w:val="12583BA5"/>
    <w:rsid w:val="125C6E10"/>
    <w:rsid w:val="12B97DBE"/>
    <w:rsid w:val="13BA5B9C"/>
    <w:rsid w:val="16473933"/>
    <w:rsid w:val="165F2A2B"/>
    <w:rsid w:val="16A62408"/>
    <w:rsid w:val="16F75359"/>
    <w:rsid w:val="16F94C2D"/>
    <w:rsid w:val="174509FC"/>
    <w:rsid w:val="17CA0378"/>
    <w:rsid w:val="18D07C10"/>
    <w:rsid w:val="19254284"/>
    <w:rsid w:val="19CC6629"/>
    <w:rsid w:val="19F93196"/>
    <w:rsid w:val="1A0D279E"/>
    <w:rsid w:val="1A3146DE"/>
    <w:rsid w:val="1AD75285"/>
    <w:rsid w:val="1B520DB0"/>
    <w:rsid w:val="1BA535D6"/>
    <w:rsid w:val="1CB924A3"/>
    <w:rsid w:val="1D5C3742"/>
    <w:rsid w:val="1D97DEFF"/>
    <w:rsid w:val="1DFF72E5"/>
    <w:rsid w:val="1EFC6F07"/>
    <w:rsid w:val="1F0527A6"/>
    <w:rsid w:val="1F0C571A"/>
    <w:rsid w:val="1F5E5F75"/>
    <w:rsid w:val="1F6A2B6C"/>
    <w:rsid w:val="1F940CAE"/>
    <w:rsid w:val="20457135"/>
    <w:rsid w:val="20716CE4"/>
    <w:rsid w:val="22AC03C2"/>
    <w:rsid w:val="22DD18A7"/>
    <w:rsid w:val="23533917"/>
    <w:rsid w:val="24CF521F"/>
    <w:rsid w:val="257F6C45"/>
    <w:rsid w:val="262D3EF7"/>
    <w:rsid w:val="26795F61"/>
    <w:rsid w:val="26C37006"/>
    <w:rsid w:val="26D7485F"/>
    <w:rsid w:val="26DC5F43"/>
    <w:rsid w:val="274F43F6"/>
    <w:rsid w:val="27532138"/>
    <w:rsid w:val="28213FE4"/>
    <w:rsid w:val="29D55086"/>
    <w:rsid w:val="2A261D85"/>
    <w:rsid w:val="2AE5754B"/>
    <w:rsid w:val="2B34402E"/>
    <w:rsid w:val="2BAF1907"/>
    <w:rsid w:val="2C3562B0"/>
    <w:rsid w:val="2C3D5164"/>
    <w:rsid w:val="2EA15E7F"/>
    <w:rsid w:val="2EA4771D"/>
    <w:rsid w:val="2F1F6CE7"/>
    <w:rsid w:val="2F875074"/>
    <w:rsid w:val="2FA71273"/>
    <w:rsid w:val="2FDF85B8"/>
    <w:rsid w:val="2FFFEE04"/>
    <w:rsid w:val="30B33C47"/>
    <w:rsid w:val="31462D0D"/>
    <w:rsid w:val="317E13FD"/>
    <w:rsid w:val="318E02A7"/>
    <w:rsid w:val="31C559E0"/>
    <w:rsid w:val="31C95635"/>
    <w:rsid w:val="31E71DFA"/>
    <w:rsid w:val="32696CB3"/>
    <w:rsid w:val="332826CA"/>
    <w:rsid w:val="33997124"/>
    <w:rsid w:val="34DF85B0"/>
    <w:rsid w:val="34F34F5A"/>
    <w:rsid w:val="36A75FFC"/>
    <w:rsid w:val="374970B3"/>
    <w:rsid w:val="38084878"/>
    <w:rsid w:val="38593326"/>
    <w:rsid w:val="38926838"/>
    <w:rsid w:val="38EC5639"/>
    <w:rsid w:val="38FF3F16"/>
    <w:rsid w:val="39641F82"/>
    <w:rsid w:val="39C3314D"/>
    <w:rsid w:val="3ADD023E"/>
    <w:rsid w:val="3B8F36BC"/>
    <w:rsid w:val="3D2E4D81"/>
    <w:rsid w:val="3ED70A3A"/>
    <w:rsid w:val="3F626F64"/>
    <w:rsid w:val="3FAF7CCF"/>
    <w:rsid w:val="40152228"/>
    <w:rsid w:val="40EF0517"/>
    <w:rsid w:val="40FB141E"/>
    <w:rsid w:val="414C1C7A"/>
    <w:rsid w:val="438356FB"/>
    <w:rsid w:val="44114AB5"/>
    <w:rsid w:val="45440EBA"/>
    <w:rsid w:val="46DF533E"/>
    <w:rsid w:val="46F5246C"/>
    <w:rsid w:val="46FB5121"/>
    <w:rsid w:val="480212E4"/>
    <w:rsid w:val="48743864"/>
    <w:rsid w:val="48914416"/>
    <w:rsid w:val="490537C3"/>
    <w:rsid w:val="491FF225"/>
    <w:rsid w:val="4AE747C1"/>
    <w:rsid w:val="4C212B0A"/>
    <w:rsid w:val="4C787DC7"/>
    <w:rsid w:val="4CCC0113"/>
    <w:rsid w:val="4D2B4E39"/>
    <w:rsid w:val="4DDF7E59"/>
    <w:rsid w:val="4E233D62"/>
    <w:rsid w:val="4F22401A"/>
    <w:rsid w:val="4FFD214C"/>
    <w:rsid w:val="50DB0924"/>
    <w:rsid w:val="51501312"/>
    <w:rsid w:val="53280CDD"/>
    <w:rsid w:val="53283BC9"/>
    <w:rsid w:val="5352765A"/>
    <w:rsid w:val="56C105BC"/>
    <w:rsid w:val="56C24524"/>
    <w:rsid w:val="5777D4F5"/>
    <w:rsid w:val="57E26A3C"/>
    <w:rsid w:val="58977827"/>
    <w:rsid w:val="58AB5080"/>
    <w:rsid w:val="58B55EFF"/>
    <w:rsid w:val="58F46A27"/>
    <w:rsid w:val="59DD8326"/>
    <w:rsid w:val="5A0507C0"/>
    <w:rsid w:val="5B242EC8"/>
    <w:rsid w:val="5C3B496D"/>
    <w:rsid w:val="5C983B6D"/>
    <w:rsid w:val="5C9D2F32"/>
    <w:rsid w:val="5DEF592A"/>
    <w:rsid w:val="5F772160"/>
    <w:rsid w:val="5FC6BB1E"/>
    <w:rsid w:val="5FF720F1"/>
    <w:rsid w:val="61695AD8"/>
    <w:rsid w:val="61761FA3"/>
    <w:rsid w:val="635C3B47"/>
    <w:rsid w:val="64322AF9"/>
    <w:rsid w:val="645667E8"/>
    <w:rsid w:val="647966C0"/>
    <w:rsid w:val="658E5B0E"/>
    <w:rsid w:val="65A215B9"/>
    <w:rsid w:val="65BB2005"/>
    <w:rsid w:val="66EF0537"/>
    <w:rsid w:val="67FF5C0B"/>
    <w:rsid w:val="680622D3"/>
    <w:rsid w:val="69124CA8"/>
    <w:rsid w:val="692C7B17"/>
    <w:rsid w:val="69403320"/>
    <w:rsid w:val="69B12712"/>
    <w:rsid w:val="6A1C4D4F"/>
    <w:rsid w:val="6A266C5C"/>
    <w:rsid w:val="6A9F256B"/>
    <w:rsid w:val="6B0B19AE"/>
    <w:rsid w:val="6BAA4A2F"/>
    <w:rsid w:val="6BCC55E2"/>
    <w:rsid w:val="6C5975D6"/>
    <w:rsid w:val="6DDD3AD6"/>
    <w:rsid w:val="6E3000AA"/>
    <w:rsid w:val="6E7855AD"/>
    <w:rsid w:val="6EFC0924"/>
    <w:rsid w:val="6FAC19B2"/>
    <w:rsid w:val="6FB74722"/>
    <w:rsid w:val="6FEF8B7E"/>
    <w:rsid w:val="6FF375E1"/>
    <w:rsid w:val="6FFD045F"/>
    <w:rsid w:val="70D0347E"/>
    <w:rsid w:val="71A6591B"/>
    <w:rsid w:val="726A345E"/>
    <w:rsid w:val="737D59BA"/>
    <w:rsid w:val="737F32B1"/>
    <w:rsid w:val="73A12350"/>
    <w:rsid w:val="74EC2851"/>
    <w:rsid w:val="771C566F"/>
    <w:rsid w:val="778D20C9"/>
    <w:rsid w:val="77C37683"/>
    <w:rsid w:val="77F263D0"/>
    <w:rsid w:val="78B418D7"/>
    <w:rsid w:val="79714C22"/>
    <w:rsid w:val="79FE105C"/>
    <w:rsid w:val="79FF515B"/>
    <w:rsid w:val="7A6F5AB6"/>
    <w:rsid w:val="7AF10BC1"/>
    <w:rsid w:val="7C06069C"/>
    <w:rsid w:val="7DFF53A3"/>
    <w:rsid w:val="7E420C8F"/>
    <w:rsid w:val="7E505BFE"/>
    <w:rsid w:val="7E9E1962"/>
    <w:rsid w:val="7E9F11B4"/>
    <w:rsid w:val="7EA06B86"/>
    <w:rsid w:val="7F0D3AEF"/>
    <w:rsid w:val="7F277A42"/>
    <w:rsid w:val="7F37EC1E"/>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Balloon Text"/>
    <w:basedOn w:val="1"/>
    <w:link w:val="16"/>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next w:val="3"/>
    <w:semiHidden/>
    <w:qFormat/>
    <w:uiPriority w:val="0"/>
    <w:pPr>
      <w:snapToGrid w:val="0"/>
      <w:jc w:val="left"/>
    </w:pPr>
    <w:rPr>
      <w:sz w:val="18"/>
      <w:szCs w:val="18"/>
    </w:rPr>
  </w:style>
  <w:style w:type="paragraph" w:styleId="8">
    <w:name w:val="Normal (Web)"/>
    <w:basedOn w:val="1"/>
    <w:semiHidden/>
    <w:unhideWhenUsed/>
    <w:qFormat/>
    <w:uiPriority w:val="99"/>
    <w:pPr>
      <w:spacing w:beforeAutospacing="1" w:afterAutospacing="1"/>
      <w:jc w:val="left"/>
    </w:pPr>
    <w:rPr>
      <w:rFonts w:cs="Times New Roman"/>
      <w:kern w:val="0"/>
      <w:sz w:val="24"/>
    </w:rPr>
  </w:style>
  <w:style w:type="character" w:styleId="11">
    <w:name w:val="Strong"/>
    <w:basedOn w:val="10"/>
    <w:qFormat/>
    <w:uiPriority w:val="22"/>
    <w:rPr>
      <w:b/>
    </w:rPr>
  </w:style>
  <w:style w:type="character" w:customStyle="1" w:styleId="12">
    <w:name w:val="页眉 Char"/>
    <w:basedOn w:val="10"/>
    <w:link w:val="6"/>
    <w:qFormat/>
    <w:uiPriority w:val="99"/>
    <w:rPr>
      <w:sz w:val="18"/>
      <w:szCs w:val="18"/>
    </w:rPr>
  </w:style>
  <w:style w:type="character" w:customStyle="1" w:styleId="13">
    <w:name w:val="页脚 Char"/>
    <w:basedOn w:val="10"/>
    <w:link w:val="5"/>
    <w:qFormat/>
    <w:uiPriority w:val="99"/>
    <w:rPr>
      <w:sz w:val="18"/>
      <w:szCs w:val="18"/>
    </w:rPr>
  </w:style>
  <w:style w:type="paragraph" w:customStyle="1" w:styleId="14">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5">
    <w:name w:val="List Paragraph"/>
    <w:basedOn w:val="1"/>
    <w:qFormat/>
    <w:uiPriority w:val="34"/>
    <w:pPr>
      <w:ind w:firstLine="420" w:firstLineChars="200"/>
    </w:pPr>
  </w:style>
  <w:style w:type="character" w:customStyle="1" w:styleId="16">
    <w:name w:val="批注框文本 Char"/>
    <w:basedOn w:val="10"/>
    <w:link w:val="4"/>
    <w:semiHidden/>
    <w:qFormat/>
    <w:uiPriority w:val="99"/>
    <w:rPr>
      <w:sz w:val="18"/>
      <w:szCs w:val="18"/>
    </w:rPr>
  </w:style>
  <w:style w:type="character" w:customStyle="1" w:styleId="17">
    <w:name w:val="font01"/>
    <w:basedOn w:val="10"/>
    <w:qFormat/>
    <w:uiPriority w:val="0"/>
    <w:rPr>
      <w:rFonts w:hint="eastAsia" w:ascii="宋体" w:hAnsi="宋体" w:eastAsia="宋体" w:cs="宋体"/>
      <w:color w:val="000000"/>
      <w:sz w:val="22"/>
      <w:szCs w:val="22"/>
      <w:u w:val="none"/>
    </w:rPr>
  </w:style>
  <w:style w:type="character" w:customStyle="1" w:styleId="18">
    <w:name w:val="font21"/>
    <w:basedOn w:val="10"/>
    <w:qFormat/>
    <w:uiPriority w:val="0"/>
    <w:rPr>
      <w:rFonts w:hint="eastAsia" w:ascii="宋体" w:hAnsi="宋体" w:eastAsia="宋体" w:cs="宋体"/>
      <w:color w:val="000000"/>
      <w:sz w:val="24"/>
      <w:szCs w:val="24"/>
      <w:u w:val="none"/>
    </w:rPr>
  </w:style>
  <w:style w:type="character" w:customStyle="1" w:styleId="19">
    <w:name w:val="font11"/>
    <w:basedOn w:val="10"/>
    <w:qFormat/>
    <w:uiPriority w:val="0"/>
    <w:rPr>
      <w:rFonts w:hint="eastAsia" w:ascii="宋体" w:hAnsi="宋体" w:eastAsia="宋体" w:cs="宋体"/>
      <w:color w:val="000000"/>
      <w:sz w:val="24"/>
      <w:szCs w:val="24"/>
      <w:u w:val="none"/>
    </w:rPr>
  </w:style>
  <w:style w:type="paragraph" w:customStyle="1" w:styleId="20">
    <w:name w:val="列出段落1"/>
    <w:basedOn w:val="1"/>
    <w:qFormat/>
    <w:uiPriority w:val="0"/>
    <w:pPr>
      <w:ind w:firstLine="420" w:firstLineChars="200"/>
    </w:pPr>
    <w:rPr>
      <w:rFonts w:ascii="Calibri" w:hAnsi="Calibri" w:eastAsia="宋体" w:cs="Times New Roman"/>
      <w:szCs w:val="21"/>
    </w:rPr>
  </w:style>
  <w:style w:type="paragraph" w:customStyle="1" w:styleId="21">
    <w:name w:val="正文1"/>
    <w:qFormat/>
    <w:uiPriority w:val="0"/>
    <w:pPr>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A35583-298D-448B-8BEE-E8171582EE4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17</Pages>
  <Words>6515</Words>
  <Characters>7070</Characters>
  <Lines>51</Lines>
  <Paragraphs>14</Paragraphs>
  <TotalTime>0</TotalTime>
  <ScaleCrop>false</ScaleCrop>
  <LinksUpToDate>false</LinksUpToDate>
  <CharactersWithSpaces>7078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指尖阳光</cp:lastModifiedBy>
  <cp:lastPrinted>2024-08-08T10:20:00Z</cp:lastPrinted>
  <dcterms:modified xsi:type="dcterms:W3CDTF">2025-08-26T02:45:23Z</dcterms:modified>
  <cp:revision>387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98623D6660B449428EB8E073C6C952EA</vt:lpwstr>
  </property>
  <property fmtid="{D5CDD505-2E9C-101B-9397-08002B2CF9AE}" pid="4" name="KSOTemplateDocerSaveRecord">
    <vt:lpwstr>eyJoZGlkIjoiZDQ4OTYzZGM0YjlmNTFjMTc5NjU1Nzk1MjdmZTk2NGMiLCJ1c2VySWQiOiI1NDg5NzUzMzQifQ==</vt:lpwstr>
  </property>
</Properties>
</file>