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湖南民族职业学院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spacing w:line="540" w:lineRule="exact"/>
        <w:jc w:val="center"/>
        <w:rPr>
          <w:sz w:val="56"/>
          <w:szCs w:val="56"/>
        </w:rPr>
      </w:pPr>
    </w:p>
    <w:p>
      <w:pPr>
        <w:pStyle w:val="13"/>
        <w:spacing w:line="500" w:lineRule="exact"/>
        <w:ind w:firstLine="3960" w:firstLineChars="1100"/>
        <w:jc w:val="both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湖南民族职业学院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3"/>
        <w:tabs>
          <w:tab w:val="left" w:pos="4671"/>
        </w:tabs>
        <w:jc w:val="left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ab/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湖南民族职业学院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（一）部门职责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培养高等专科学历技术人才，促进高等职业教育和民族教育共同发展。以开展中小学教师教育、高等职业教育、民族职业教育为主，相关教育教学科学研究和相关继续教育培训为辅的教育教学活动。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（二）人员情况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 xml:space="preserve"> 2022年本单位年末实有人数1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021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人，比上年增加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人。人员变化的主要原因是招聘新进教职员工。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（三）当年取得的主要事业成效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2023年全国职业院校技能竞赛小学教育活动设计与实施教师赛中，杨韵霖、黄敏团队以全国第二名的好成绩获得一等奖。此外还斩获学生赛国家级一等奖1项、二等奖1项、三等奖3项，创历史最好成绩。在2024年湖南省“楚怡”杯职业院校技能竞赛中我校共获得省级一等奖14项，二等奖20项，三等奖10项，其中7个团队跻身国赛，再次刷新了记录。在积极参赛的同时，学校还成功承办了小学教育活动设计与实施学生赛、小学教育活动设计与实施教师赛、数字艺术设计学生赛等三个省赛赛项的赛点工作。极大的扩大了学校的办学影响力。与此同时，学校坚持“以赛促教、以赛促研、以赛促改、以赛促建”，组织11个教学团队参加全省教师教学技能竞赛，获得4个一等奖、1个二等奖、3个三等奖。组织教师参加湖南省高校思想政治理论课教学展示活动获特等奖1项、二等奖1项。组织教师参加湖南省经典诵读比赛获一等奖；参加湖南省“湘语时光”诵读大会总决赛获一等奖第一名。</w:t>
      </w: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>
      <w:pPr>
        <w:pStyle w:val="2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 xml:space="preserve">   根据编委核定，湖南民族职业学院内部设置党政管理机构14个、教辅机构4个、教学机构11个，纪检监察机构1个。全部纳入2023年部门预算编制范围。</w:t>
      </w:r>
    </w:p>
    <w:p>
      <w:pPr>
        <w:pStyle w:val="2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    内设部门分别是党政办公室、组织人事处、宣传统战部、教务处、学生工作处、招生就业指导处、计划财务处、科研处、基建后勤处、安全保卫处、资产管理处、审计处、教学督导与质量管理处、发展规划处、信息化建设与管理中心、实训中心、图书馆、创新创业学院、学前教育学院、小学教育学院、艺术设计学院、商贸旅游学院、数智技术学院、电子信息工程学院、基础教育学院、马克思主义学院、成人教育学院、社会培训学院、“一带一路”国际教育交流学院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按相关规定设置纪检监察机构:纪检监察室。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校级工会、共青团组织按有关章程设置，与相关党政管理机构合署办公。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-SA"/>
        </w:rPr>
        <w:t>决算单位构成。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-SA"/>
        </w:rPr>
        <w:t>本单位无独立核算的下属单位，2023年度部门决算汇总公开单位仅包括湖南民族职业学院本级。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22767.89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467.46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学校厉行节俭，减少有关项目开支。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22767.89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9414.37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1993.32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8.75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22767.89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13134.1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57.69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9633.79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42.31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1413.69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14.21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未新借政府性债务。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1413.7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14.21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一般公共服务支出减少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0.65万元，国防支出增加11.58万元，教育支出增加1064.15万元，科学技术支出增加0.58万元，文化旅游体育与传媒支出减少5万元，社会保障和就业支出减少9.96万元，农林水支出增加353万元。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11.58万元，占0.11%；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10971.59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96.58</w:t>
      </w:r>
      <w:r>
        <w:rPr>
          <w:rFonts w:hint="eastAsia"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科学技术支出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0.58万元，占0.01%；文化旅游体育与传媒支出15万元，占0.13%；社会保障和就业支出5.69万元，占0.05%；农林水支出353万元，占3.1%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11360.2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民族工作专项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国防支出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国防动员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兵役征集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3.教育支出（类）教育管理事务（款）一般行政管理事务（项）。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4.教育支出（类）普通教育（款）其他普通教育支出（项）。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年初预算为24.65万元，支出决算为24.65万元，完成年初预算的100%，主要原因是我单位严格按预算执行决算。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5.教育支出（类）职业教育（款）高等职业教育（项）。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4234.52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4234.52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6.教育支出（类）职业教育（款）其他职业教育支出（项）。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7.教育支出（类）成人教育（款）成人高等教育（项）。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395.31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395.31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8.教育支出（类）教育费附加安排的支出（款）其他教育费附加安排的支出（项）。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6275.13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6275.13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9.科学技术支出（类）基础研究（款）自然科学基金（项）。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10.文化旅游体育与传媒支出（类）文化和旅游（款）其他文化和旅游支出（项）。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支出（类）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就业补助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（款）其他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就业补助支出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万元，完成年初预算的100%，主要原因是我单位严格按预算执行决算。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12.社会保障和就业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支出（类）其他社会保障和就业支出（款）其他社会保障和就业支出（项）。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万元，完成年初预算的100%，主要原因是我单位严格按预算执行决算。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13.农林水支出（类）巩固脱贫攻坚成果衔接乡村振兴（款）其他巩固脱贫攻坚成果衔接乡村振兴（项）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年初预算为353万元，支出决算为353万元，完成年初预算的100%，主要原因是我单位严格按预算执行决算。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7717.17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5408.11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70.08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%,主要包括基本工资、绩效工资、机关事业单位基本养老保险缴费、职工基本医疗保险缴费、其他社会保障缴费、住房公积金、其他工资福利支出、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退休费、抚恤金、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生活补助、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医疗费补助、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其他对个人和家庭的补助。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2309.06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29.92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%，主要包括办公费、印刷费、水费、电费、物业管理费、差旅费、维修（护）费、会议费、培训费、公务接待费、专用材料费、劳务费、公务用车运行维护费、其他交通费用。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2023年度国有资本经营预算财政拨款收入0万元；年初结转和结余0万；支出0万元，其中：基本支出0万元，项目支出0万元；年末结转和结余0万元。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预算数的主要原因是“三公”经费支出严格按预算执行决算。其中：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因公出国（境）费支出预算为0万元，支出决算为0万元，决算数等于年初预算数的主要原因是我单位严格按预算执行决算；与上年一致，无增减变动，主要原因是未安排因公出国（境）活动。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%，决算数与年初预算数持平，主要原因是该经费支出严格按预算执行决算。与上年相比增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105.04</w:t>
      </w:r>
      <w:r>
        <w:rPr>
          <w:rFonts w:hint="eastAsia" w:ascii="仿宋_GB2312" w:hAnsi="仿宋_GB2312" w:eastAsia="仿宋_GB2312" w:cs="仿宋_GB2312"/>
          <w:sz w:val="32"/>
          <w:szCs w:val="32"/>
        </w:rPr>
        <w:t>%,增长的主要原因是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交流研讨活动增加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主要原因是我单位严格按预算执行决算；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%,减少的主要原因是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厉行节俭，未新增公务用车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的主要原因是该经费支出严格按预算执行决算。与上年相比减少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</w:t>
      </w:r>
      <w:r>
        <w:rPr>
          <w:rFonts w:hint="eastAsia" w:ascii="仿宋_GB2312" w:hAnsi="仿宋_GB2312" w:eastAsia="仿宋_GB2312" w:cs="仿宋_GB2312"/>
          <w:sz w:val="32"/>
          <w:szCs w:val="32"/>
        </w:rPr>
        <w:t>%,减少的主要原因是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厉行节俭，减少公务用车使用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10.79</w:t>
      </w:r>
      <w:r>
        <w:rPr>
          <w:rFonts w:hint="eastAsia" w:ascii="仿宋_GB2312" w:hAnsi="仿宋_GB2312" w:eastAsia="仿宋_GB2312" w:cs="仿宋_GB2312"/>
          <w:sz w:val="32"/>
          <w:szCs w:val="32"/>
        </w:rPr>
        <w:t>%,因公出国（境）费支出决算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%,公务用车购置费及运行维护费支出决算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89.21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1、因公出国（境）费支出决算为0万元，全年安排因公出国（境）团组0个，累计0人次，我单位2023年度无因公出国（境）费支出。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万元，全年共接待来访团组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个、来宾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人次，主要是兄弟院校交流、各类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等发生的接待支出。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3、公务用车购置费及运行维护费支出决算为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公务用车购置费0万元，当年没有购置公务用车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万元，主要是车辆运行维修支出，截止202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年12月31日，我单位开支财政拨款的公务用车保有量为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年度，会议费年初预算10.05万元，支出决算为10.05万元，完成年初预算的100%。用于召开学生就创业、学术研讨、项目申报会议，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校园招聘会、创新创业研讨会、婴幼儿托育服务与管理专业国家级教学资源库建设研讨等会议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培训费年初预算53.68万元，支出决算为53.68万元，完成年初预算的100%。用于开展教师技能培训培训，人数256人，内容为教师专业技能、教师社会实践研修、青年骨干教师、卓越教师等培训。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举办节庆、晚会、论坛、赛事活动年初预算0万元，支出决算为0万元，本单位无举办节庆、晚会、论坛、赛事等活动的预算和支出决算数。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3565.11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2178.41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792.7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3565.11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83.31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11360.2万元，政府性基金预算支出0万元，国有资本经营预算支出0万元。从评价情况来看，整体支出绩效评价中，2023年整体支出22767.89万元，其中：基本支出13134.1万元，项目支出9633.79万元，本单位整体支出绩效自评综合评分100分，评价结果等次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组织对一般公共预算项目支出全面开展绩效自评，项目5个，共涉及资金3643.03万元，占一般公共预算项目支出总额的100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%。组织对政府性基金预算项目支出开展绩效自评，项目0个，共涉及资金0万元（由于政府性基金预算项目支出总额为0，故无法计算占政府性基金预算项目支出总额的比重）。组织对国有资本经营预算项目支出开展绩效自评，项目0个，共涉及资金0万元（由于国有资本经营预算项目支出总额为0，故无法计算占国有资本经营预算项目支出总额的比重）。从评价情况来看，项目绩效自评得分100分，评价结果等次为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根据年初设定的绩效目标，绩效自评得分为100分。全年预算数为22767.89 万元，执行数为22767.89万元，完成预算的100%。绩效目标完成情况：一是“三公经费”控制严格；二是年度预算执行到位；三是预算管理科学有效；四是专业调整初见成效；五是项目建设成果丰硕；六是师生竞赛再上层楼；七是育人实效不断凸显；八是科研转化持续深入；九是社会培训成绩斐然；十是成人教育卓有成效；十一是国际交流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存在的主要问题及原因：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一是预算编制精细化有待进一步提升。预算编制与实际支出项目有的存在一定差异；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开源节流，创新创收有待进一步增强。学院新校园建设需要庞大的资金，财政拨款和学院自有资金不足以弥补建设所需，导致学院银行贷款较多，债务负担仍然很重，资金成本较高，对学院正常运转有一定的影响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下一步改进措施：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一是预算财务分析常态化、精细化、项目化，定期做好预算支出财务分析，做好部门整体支出预算评价工作；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二是继续进行优化债务结构工作，降低资金成本，实现学院优良债务结构；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三是按照预算规定的项目和用途严格财务审核，经费支出严格按预算规定项目的财务支出内容进行财务核算，在预算金额内严格控制费用的支出；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四是严格控制“三公经费”支出，进一步强化“三公经费”管理，严格控制“三公经费”支出。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13"/>
        <w:jc w:val="both"/>
        <w:rPr>
          <w:sz w:val="72"/>
          <w:szCs w:val="72"/>
        </w:rPr>
      </w:pPr>
    </w:p>
    <w:p>
      <w:pPr>
        <w:pStyle w:val="13"/>
        <w:jc w:val="center"/>
        <w:rPr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17F5"/>
    <w:multiLevelType w:val="singleLevel"/>
    <w:tmpl w:val="04CD17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463005"/>
    <w:rsid w:val="0E412327"/>
    <w:rsid w:val="0EE56133"/>
    <w:rsid w:val="12583BA5"/>
    <w:rsid w:val="13BA5B9C"/>
    <w:rsid w:val="148E569E"/>
    <w:rsid w:val="152F4713"/>
    <w:rsid w:val="166C2062"/>
    <w:rsid w:val="18A17351"/>
    <w:rsid w:val="19EF540C"/>
    <w:rsid w:val="1A2B21B0"/>
    <w:rsid w:val="1D97DEFF"/>
    <w:rsid w:val="1DB13D9A"/>
    <w:rsid w:val="1DFF72E5"/>
    <w:rsid w:val="1EFC6F07"/>
    <w:rsid w:val="22AC03C2"/>
    <w:rsid w:val="23102252"/>
    <w:rsid w:val="2372502C"/>
    <w:rsid w:val="23F00AC1"/>
    <w:rsid w:val="242C078C"/>
    <w:rsid w:val="255D164D"/>
    <w:rsid w:val="26296531"/>
    <w:rsid w:val="2669599E"/>
    <w:rsid w:val="26696223"/>
    <w:rsid w:val="2935427A"/>
    <w:rsid w:val="2F1674CF"/>
    <w:rsid w:val="2FDF85B8"/>
    <w:rsid w:val="2FFFEE04"/>
    <w:rsid w:val="303811B2"/>
    <w:rsid w:val="31C95635"/>
    <w:rsid w:val="324B46FD"/>
    <w:rsid w:val="33527C1A"/>
    <w:rsid w:val="342A14AB"/>
    <w:rsid w:val="34DF85B0"/>
    <w:rsid w:val="36E14A17"/>
    <w:rsid w:val="3AA81535"/>
    <w:rsid w:val="3B787805"/>
    <w:rsid w:val="3B8F36BC"/>
    <w:rsid w:val="3D447755"/>
    <w:rsid w:val="40B5748B"/>
    <w:rsid w:val="41B26D88"/>
    <w:rsid w:val="483859CD"/>
    <w:rsid w:val="48566DE3"/>
    <w:rsid w:val="491FF225"/>
    <w:rsid w:val="495C2F4B"/>
    <w:rsid w:val="4B811918"/>
    <w:rsid w:val="4FFD214C"/>
    <w:rsid w:val="5352765A"/>
    <w:rsid w:val="54C22F2B"/>
    <w:rsid w:val="5777D4F5"/>
    <w:rsid w:val="59DD8326"/>
    <w:rsid w:val="5BE11970"/>
    <w:rsid w:val="5D200A26"/>
    <w:rsid w:val="5D2E0F70"/>
    <w:rsid w:val="5DEF592A"/>
    <w:rsid w:val="5E5D02B9"/>
    <w:rsid w:val="5FC6BB1E"/>
    <w:rsid w:val="5FF720F1"/>
    <w:rsid w:val="60A75FE5"/>
    <w:rsid w:val="610B64ED"/>
    <w:rsid w:val="67FF5C0B"/>
    <w:rsid w:val="68C85346"/>
    <w:rsid w:val="6B856BFD"/>
    <w:rsid w:val="6BA91E3C"/>
    <w:rsid w:val="6BAA4A2F"/>
    <w:rsid w:val="6EFC0924"/>
    <w:rsid w:val="6FB74722"/>
    <w:rsid w:val="6FEF8B7E"/>
    <w:rsid w:val="71A6591B"/>
    <w:rsid w:val="71CC5FF7"/>
    <w:rsid w:val="737D59BA"/>
    <w:rsid w:val="737F32B1"/>
    <w:rsid w:val="75315DD4"/>
    <w:rsid w:val="755A72DD"/>
    <w:rsid w:val="76AA2E3C"/>
    <w:rsid w:val="77C37683"/>
    <w:rsid w:val="79DA5758"/>
    <w:rsid w:val="79FF515B"/>
    <w:rsid w:val="7C4D4A59"/>
    <w:rsid w:val="7E9E1962"/>
    <w:rsid w:val="7E9F11B4"/>
    <w:rsid w:val="7F061AEE"/>
    <w:rsid w:val="7F144133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1347</Words>
  <Characters>7679</Characters>
  <Lines>63</Lines>
  <Paragraphs>18</Paragraphs>
  <TotalTime>233</TotalTime>
  <ScaleCrop>false</ScaleCrop>
  <LinksUpToDate>false</LinksUpToDate>
  <CharactersWithSpaces>9008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浅莲</cp:lastModifiedBy>
  <cp:lastPrinted>2024-08-08T10:20:00Z</cp:lastPrinted>
  <dcterms:modified xsi:type="dcterms:W3CDTF">2025-08-25T09:08:41Z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98623D6660B449428EB8E073C6C952EA</vt:lpwstr>
  </property>
</Properties>
</file>