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37382B">
      <w:pPr>
        <w:spacing w:beforeLines="0" w:afterLines="0"/>
        <w:rPr>
          <w:rFonts w:hint="default"/>
          <w:sz w:val="2"/>
          <w:szCs w:val="24"/>
        </w:rPr>
      </w:pPr>
    </w:p>
    <w:tbl>
      <w:tblPr>
        <w:tblStyle w:val="5"/>
        <w:tblW w:w="1530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06"/>
      </w:tblGrid>
      <w:tr w14:paraId="42CE58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1609CC8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b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岳阳市工商业联合会本级2025年度</w:t>
            </w:r>
          </w:p>
          <w:p w14:paraId="29553D4B">
            <w:pPr>
              <w:spacing w:beforeLines="0" w:afterLines="0" w:line="1110" w:lineRule="exact"/>
              <w:ind w:left="20"/>
              <w:jc w:val="center"/>
              <w:rPr>
                <w:rFonts w:hint="eastAsia" w:ascii="微软雅黑" w:hAnsi="微软雅黑" w:eastAsia="微软雅黑"/>
                <w:sz w:val="84"/>
                <w:szCs w:val="24"/>
              </w:rPr>
            </w:pPr>
            <w:r>
              <w:rPr>
                <w:rFonts w:hint="eastAsia" w:ascii="微软雅黑" w:hAnsi="微软雅黑" w:eastAsia="微软雅黑"/>
                <w:b/>
                <w:sz w:val="84"/>
                <w:szCs w:val="24"/>
              </w:rPr>
              <w:t>单位预算</w:t>
            </w:r>
          </w:p>
        </w:tc>
      </w:tr>
      <w:tr w14:paraId="32270B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B88764">
            <w:pPr>
              <w:spacing w:beforeLines="0" w:afterLines="0" w:line="525" w:lineRule="exact"/>
              <w:ind w:left="20"/>
              <w:jc w:val="center"/>
              <w:rPr>
                <w:rFonts w:hint="eastAsia" w:ascii="Dialog" w:hAnsi="Dialog"/>
                <w:sz w:val="44"/>
                <w:szCs w:val="24"/>
              </w:rPr>
            </w:pPr>
            <w:r>
              <w:rPr>
                <w:rFonts w:hint="eastAsia" w:ascii="Dialog" w:hAnsi="Dialog"/>
                <w:sz w:val="44"/>
                <w:szCs w:val="24"/>
              </w:rPr>
              <w:t>目录</w:t>
            </w:r>
          </w:p>
        </w:tc>
      </w:tr>
      <w:tr w14:paraId="398D9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FEBEB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004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741E8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3857C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8AB2C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7C850D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6D30F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1、收支总表</w:t>
            </w:r>
          </w:p>
        </w:tc>
      </w:tr>
      <w:tr w14:paraId="6A2B41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777D08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2、收入总表</w:t>
            </w:r>
          </w:p>
        </w:tc>
      </w:tr>
      <w:tr w14:paraId="695D05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1CA50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3、支出总表</w:t>
            </w:r>
          </w:p>
        </w:tc>
      </w:tr>
      <w:tr w14:paraId="6892B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797FF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4、支出预算分类汇总表（按政府预算经济分类）</w:t>
            </w:r>
          </w:p>
        </w:tc>
      </w:tr>
      <w:tr w14:paraId="757E9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06DED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5、支出预算分类汇总表（按部门预算经济分类）</w:t>
            </w:r>
          </w:p>
        </w:tc>
      </w:tr>
      <w:tr w14:paraId="226252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0F5676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6、财政拨款收支总表</w:t>
            </w:r>
          </w:p>
        </w:tc>
      </w:tr>
      <w:tr w14:paraId="0C3C78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926815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7、一般公共预算支出表</w:t>
            </w:r>
          </w:p>
        </w:tc>
      </w:tr>
      <w:tr w14:paraId="04DCDD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714CB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04680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6B199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0C89A0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4D99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09CB2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0DF1FC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5EA611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778B80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21AC3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3D8DA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1EFA5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A51D1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14、一般公共预算“三公”经费支出表</w:t>
            </w:r>
          </w:p>
        </w:tc>
      </w:tr>
      <w:tr w14:paraId="31966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5AF2A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15、政府性基金预算支出表</w:t>
            </w:r>
          </w:p>
        </w:tc>
      </w:tr>
      <w:tr w14:paraId="7464A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C190B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230D71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9B322B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4306F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C14D896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18、国有资本经营预算支出表</w:t>
            </w:r>
          </w:p>
        </w:tc>
      </w:tr>
      <w:tr w14:paraId="07D0EB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6BA0D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19、财政专户管理资金预算支出表</w:t>
            </w:r>
          </w:p>
        </w:tc>
      </w:tr>
      <w:tr w14:paraId="7A9D746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826203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20、专项资金预算汇总表</w:t>
            </w:r>
          </w:p>
        </w:tc>
      </w:tr>
      <w:tr w14:paraId="4FE9A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93A7AC8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21、项目支出绩效目标表</w:t>
            </w:r>
          </w:p>
        </w:tc>
      </w:tr>
      <w:tr w14:paraId="6868E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5B0B40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22、单位整体支出绩效目标表</w:t>
            </w:r>
          </w:p>
        </w:tc>
      </w:tr>
      <w:tr w14:paraId="03A70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FE45A0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23、一般公共预算基本支出表</w:t>
            </w:r>
          </w:p>
        </w:tc>
      </w:tr>
      <w:tr w14:paraId="0FE860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C98D711">
            <w:pPr>
              <w:spacing w:beforeLines="0" w:afterLines="0" w:line="375" w:lineRule="exact"/>
              <w:ind w:left="20"/>
              <w:rPr>
                <w:rFonts w:hint="eastAsia" w:ascii="Dialog" w:hAnsi="Dialog"/>
                <w:color w:val="FF0000"/>
                <w:sz w:val="32"/>
                <w:szCs w:val="24"/>
              </w:rPr>
            </w:pPr>
            <w:r>
              <w:rPr>
                <w:rFonts w:hint="eastAsia" w:ascii="Dialog" w:hAnsi="Dialog"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  <w:tr w14:paraId="230225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DC2F4C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C2078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415FE2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D12C5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233DE32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第一部分  2025年单位预算说明</w:t>
            </w:r>
          </w:p>
        </w:tc>
      </w:tr>
      <w:tr w14:paraId="63579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10A70B9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81A3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99C279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一、单位基本概况</w:t>
            </w:r>
          </w:p>
        </w:tc>
      </w:tr>
      <w:tr w14:paraId="0E33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371AF2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（一）职能职责</w:t>
            </w:r>
          </w:p>
        </w:tc>
      </w:tr>
      <w:tr w14:paraId="70841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20409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市工商联是党领导下的以非公有制企业和非公有制经济人士为主体，具有统战性、经济性、民间性有机统一基本特征的人民团体和商会组织。</w:t>
            </w:r>
          </w:p>
        </w:tc>
      </w:tr>
      <w:tr w14:paraId="3CA5EF7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28BF7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（二）机构设置</w:t>
            </w:r>
          </w:p>
        </w:tc>
      </w:tr>
      <w:tr w14:paraId="520F5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4E4A63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内设部室5个，行政编制14个，事业编制8个，全部纳入部门预算编制范围，1个所属二级事业单位：岳阳市民营企业服务中心。内设部室：办公室、会员部、经济部、宣教人事部，商会部。</w:t>
            </w:r>
          </w:p>
        </w:tc>
      </w:tr>
      <w:tr w14:paraId="435248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6BCB1C7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二、单位预算单位构成</w:t>
            </w:r>
          </w:p>
        </w:tc>
      </w:tr>
      <w:tr w14:paraId="7FF321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7DEA5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</w:t>
            </w:r>
            <w:r>
              <w:rPr>
                <w:rFonts w:hint="eastAsia" w:ascii="宋体" w:hAnsi="宋体"/>
                <w:sz w:val="32"/>
                <w:szCs w:val="24"/>
              </w:rPr>
              <w:t xml:space="preserve">  </w:t>
            </w:r>
            <w:r>
              <w:rPr>
                <w:rFonts w:hint="eastAsia" w:ascii="宋体" w:hAnsi="宋体"/>
                <w:sz w:val="32"/>
                <w:szCs w:val="24"/>
                <w:lang w:val="en-US" w:eastAsia="zh-CN"/>
              </w:rPr>
              <w:t>汇总预算：市工商联本级和岳阳市民营企业服务中心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。</w:t>
            </w:r>
          </w:p>
        </w:tc>
      </w:tr>
      <w:tr w14:paraId="4B4046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73BBCF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三、单位收支总体情况</w:t>
            </w:r>
          </w:p>
        </w:tc>
      </w:tr>
      <w:tr w14:paraId="2CD920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529CC0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没有政府性基金预算拨款、国有资本经营预算收入和纳入专户管理的非税收入拨款收入，也没有使用政府性基金预算拨款、国有资本经营预算收入和纳入专户管理的非税收入拨款安排的支出，所以公开的附件15、16、17、18、19表均为空。</w:t>
            </w:r>
          </w:p>
        </w:tc>
      </w:tr>
      <w:tr w14:paraId="4E108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7154A0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（一）收入预算</w:t>
            </w:r>
          </w:p>
        </w:tc>
      </w:tr>
      <w:tr w14:paraId="529CA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ADD054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包括一般公共预算、政府性基金、国有资本经营预算等财政拨款收入，以及经营收入、事业收入等单位资金。2025年度本单位收入预算465.70万元，其中，一般公共预算拨款465.70万元，政府性基金预算资金0.00万元(所以公开的附件17为空)，国有资本经营预算资金0.00万元(所以公开的附件18为空)，财政专户管理资金0.00万元(所以公开的附件19为空)，上级补助收入资金0.00万元，事业单位经营收入资金0.00万元，上年结转结余0.00万元。(数据来源见表2)本单位2025年收入较去年增加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56.06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13.69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人员增加。</w:t>
            </w:r>
          </w:p>
        </w:tc>
      </w:tr>
      <w:tr w14:paraId="68D03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724F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（二）支出预算</w:t>
            </w:r>
          </w:p>
        </w:tc>
      </w:tr>
      <w:tr w14:paraId="576C76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E9758E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2025年本单位支出预算465.70万元，其中，201一般公共服务支出379.63万元，208社会保障和就业支出35.62万元，210卫生健康支出26.43万元，221住房保障支出24.01万元，支出较去年增加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56.06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13.69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%，主要是因为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人员增加。</w:t>
            </w:r>
          </w:p>
        </w:tc>
      </w:tr>
      <w:tr w14:paraId="5165E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D0823B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四、一般公共预算拨款支出预算</w:t>
            </w:r>
          </w:p>
        </w:tc>
      </w:tr>
      <w:tr w14:paraId="503E85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2D46BB3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一般公共预算拨款支出预算465.70万元，其中，201一般公共服务支出379.63万元，占81.52%；208社会保障和就业支出35.62万元，占7.65%；210卫生健康支出26.43万元，占5.68%；221住房保障支出24.01万元，占5.16%；具体安排情况如下：</w:t>
            </w:r>
          </w:p>
        </w:tc>
      </w:tr>
      <w:tr w14:paraId="75E01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314A44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一）基本支出：2025年基本支出年初预算数为410.70万元（数据来源见表23），是指为保障单位机构正常运转、完成日常工作任务而发生的各项支出，包括用于基本工资、津贴补贴等人员经费以及办公费、印刷费、水电费、差旅费等日常公用经费。</w:t>
            </w:r>
          </w:p>
        </w:tc>
      </w:tr>
      <w:tr w14:paraId="7B2D0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5C456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（二）项目支出：2025年项目支出年初预算数为55.00万元（数据来源见表20），是指单位为完成特定行政工作任务或事业发展目标而发生的支出，包括有关业务工作经费、运行维护经费、其他事业发展资金等。其中：日常工作经费专项支出55.00万元，主要用于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日常工作经费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方面。</w:t>
            </w:r>
          </w:p>
        </w:tc>
      </w:tr>
      <w:tr w14:paraId="0CF1D7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EE8D70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五、政府性基金预算支出</w:t>
            </w:r>
          </w:p>
        </w:tc>
      </w:tr>
      <w:tr w14:paraId="24A37B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FF0F25D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2025年度本单位无政府性基金安排的支出，所以公开的附件15-17（政府性基金预算）为空。</w:t>
            </w:r>
          </w:p>
        </w:tc>
      </w:tr>
      <w:tr w14:paraId="1A0812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77AC811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六、其他重要事项的情况说明</w:t>
            </w:r>
          </w:p>
        </w:tc>
      </w:tr>
      <w:tr w14:paraId="78961DA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563EF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（一）机关运行经费</w:t>
            </w:r>
          </w:p>
        </w:tc>
      </w:tr>
      <w:tr w14:paraId="572B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BE29253">
            <w:pPr>
              <w:spacing w:beforeLines="0" w:afterLines="0" w:line="375" w:lineRule="exact"/>
              <w:ind w:left="20"/>
              <w:rPr>
                <w:rFonts w:hint="default" w:ascii="宋体" w:hAnsi="宋体" w:eastAsia="宋体"/>
                <w:sz w:val="32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本单位2025年机关运行经费当年一般公共预算拨款67.20万元（数据来源见表12），比上一年增加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12.5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万元，上升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22.85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%，主要原因是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二级单位加入预算和人员增加。</w:t>
            </w:r>
          </w:p>
        </w:tc>
      </w:tr>
      <w:tr w14:paraId="1C2EE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E48FA54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（二）“三公”经费预算</w:t>
            </w:r>
          </w:p>
        </w:tc>
      </w:tr>
      <w:tr w14:paraId="4C7B67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BA9931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“三公”经费预算数14.76万元（数据来源见表14），其中，公务接待费1.00万元，因公出国（境）费10.76万元，公务用车购置及运行费3.00万元（其中，公务用车购置费0.00万元，公务用车运行费3.00万元）。2025年三公经费预算较上年减少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3.05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万元，下降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原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因是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公务接待次数减少。</w:t>
            </w:r>
          </w:p>
        </w:tc>
      </w:tr>
      <w:tr w14:paraId="15812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8339AC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（三）一般性支出情况</w:t>
            </w:r>
          </w:p>
        </w:tc>
      </w:tr>
      <w:tr w14:paraId="1CA3FB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D6E07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本单位2025年会议费预算1.00万元（数据来源见表13会议费、培训费），拟召开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次会议，人数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100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全市工商联系统工作会议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；培训费预算0.20万元，拟开展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次培训，人数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人，内容为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商协会业务培训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；2025年度本单位未计划举办节庆、晚会、论坛、赛事活动。</w:t>
            </w:r>
          </w:p>
        </w:tc>
      </w:tr>
      <w:tr w14:paraId="3AD3F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A1472E2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（四）委托业务费情况</w:t>
            </w:r>
          </w:p>
        </w:tc>
      </w:tr>
      <w:tr w14:paraId="11F31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088B2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本单位2025年本级委托业务费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sz w:val="32"/>
                <w:szCs w:val="24"/>
              </w:rPr>
              <w:t>万元，比上年预算减少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0.5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万元，下降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14.3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%，主要原因是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相关业务需求减少。</w:t>
            </w:r>
          </w:p>
        </w:tc>
      </w:tr>
      <w:tr w14:paraId="6A94F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51097F3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（五）政府采购情况</w:t>
            </w:r>
          </w:p>
        </w:tc>
      </w:tr>
      <w:tr w14:paraId="29A89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8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3FDCD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本单位2025年政府采购预算总额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35.19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万元，其中工程类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万元，货物类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8.43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万元，服务类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26.76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万元。</w:t>
            </w:r>
          </w:p>
        </w:tc>
      </w:tr>
      <w:tr w14:paraId="279D8B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4C8BEA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（六）国有资产占有使用及新增资产配置情况</w:t>
            </w:r>
          </w:p>
        </w:tc>
      </w:tr>
      <w:tr w14:paraId="67C206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0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050AFB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截至上年底，本单位共有车辆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辆，其中领导干部用车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辆，一般公务用车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辆，其他用车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辆。单位价值50万元以上通用设备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台，单位价值100万元以上专用设备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 xml:space="preserve">台。 </w:t>
            </w:r>
          </w:p>
          <w:p w14:paraId="1DCE486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2025年拟报废处置车辆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辆，其中：报废处置领导干部用车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辆，报废处置一般公务用车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辆，报废处置其他用车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辆，报废处置单位价值50万元以上通用设备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台，报废处置单位价值100万元以上通用设备</w:t>
            </w:r>
            <w:r>
              <w:rPr>
                <w:rFonts w:hint="eastAsia" w:ascii="宋体" w:hAnsi="宋体" w:eastAsia="宋体"/>
                <w:sz w:val="32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32"/>
                <w:szCs w:val="24"/>
              </w:rPr>
              <w:t>台。2025年度本单位未计划处置或新增车辆、设备等。</w:t>
            </w:r>
          </w:p>
        </w:tc>
      </w:tr>
      <w:tr w14:paraId="7F1BFF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D7398DE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（七）预算绩效目标说明</w:t>
            </w:r>
          </w:p>
        </w:tc>
      </w:tr>
      <w:tr w14:paraId="14F77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45277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  本单位所有支出实行绩效目标管理。纳入2025年单位整体支出绩效目标的金额为465.70万元，其中，基本支出410.70万元，项目支出55.00万元，详见文尾附表中单位预算公开表格的表21-22。</w:t>
            </w:r>
          </w:p>
        </w:tc>
      </w:tr>
      <w:tr w14:paraId="36F10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0F855ED">
            <w:pPr>
              <w:spacing w:beforeLines="0" w:afterLines="0" w:line="375" w:lineRule="exact"/>
              <w:ind w:left="20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 xml:space="preserve">  七、名词解释</w:t>
            </w:r>
          </w:p>
        </w:tc>
      </w:tr>
      <w:tr w14:paraId="26F655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88214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1、机关运行经费：是指各单位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      </w:r>
          </w:p>
        </w:tc>
      </w:tr>
      <w:tr w14:paraId="7A8EE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5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EE26B8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 xml:space="preserve">  2、“三公”经费：纳入财政预算管理的“三公“经费，是指用一般公共预算拨款安排的公务接待费、公务用车购置及运行维护费和因公出国（境）费。其中，公务接待费反映单位按规定开支的各类公务接待支出；公务用车购置及运行费反映单位公务用车车辆购置支出（含车辆购置税），以及燃料费、维修费、保险费等支出；因公出国（境）费反映单位公务出国（境）的国际旅费、国外城市间交通费、食宿费等支出。</w:t>
            </w:r>
          </w:p>
        </w:tc>
      </w:tr>
      <w:tr w14:paraId="5163FB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D3082A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6C127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BA61A94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0E7290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" w:hRule="atLeast"/>
        </w:trPr>
        <w:tc>
          <w:tcPr>
            <w:tcW w:w="15306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3D40A38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70925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AFC7D1C">
            <w:pPr>
              <w:spacing w:beforeLines="0" w:afterLines="0" w:line="375" w:lineRule="exact"/>
              <w:ind w:left="20"/>
              <w:jc w:val="center"/>
              <w:rPr>
                <w:rFonts w:hint="eastAsia" w:ascii="Dialog" w:hAnsi="Dialog"/>
                <w:sz w:val="32"/>
                <w:szCs w:val="24"/>
              </w:rPr>
            </w:pPr>
            <w:r>
              <w:rPr>
                <w:rFonts w:hint="eastAsia" w:ascii="Dialog" w:hAnsi="Dialog"/>
                <w:sz w:val="32"/>
                <w:szCs w:val="24"/>
              </w:rPr>
              <w:t>第二部分  2025年单位预算公开表格</w:t>
            </w:r>
          </w:p>
        </w:tc>
      </w:tr>
      <w:tr w14:paraId="2971A7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82E96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1、收支总表</w:t>
            </w:r>
          </w:p>
        </w:tc>
      </w:tr>
      <w:tr w14:paraId="360B1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B783A1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2、收入总表</w:t>
            </w:r>
          </w:p>
        </w:tc>
      </w:tr>
      <w:tr w14:paraId="586B56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11022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3、支出总表</w:t>
            </w:r>
          </w:p>
        </w:tc>
      </w:tr>
      <w:tr w14:paraId="25985D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B001806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4、支出预算分类汇总表（按政府预算经济分类）</w:t>
            </w:r>
          </w:p>
        </w:tc>
      </w:tr>
      <w:tr w14:paraId="71F93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6983CD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5、支出预算分类汇总表（按部门预算经济分类）</w:t>
            </w:r>
          </w:p>
        </w:tc>
      </w:tr>
      <w:tr w14:paraId="142197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436B76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6、财政拨款收支总表</w:t>
            </w:r>
          </w:p>
        </w:tc>
      </w:tr>
      <w:tr w14:paraId="3C6B2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57257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7、一般公共预算支出表</w:t>
            </w:r>
          </w:p>
        </w:tc>
      </w:tr>
      <w:tr w14:paraId="70129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73DA50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8、一般公共预算基本支出表-人员经费（工资福利支出）（按政府预算经济分类）</w:t>
            </w:r>
          </w:p>
        </w:tc>
      </w:tr>
      <w:tr w14:paraId="0C2A7D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D085987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9、一般公共预算基本支出表-人员经费（工资福利支出）（按部门预算经济分类）</w:t>
            </w:r>
          </w:p>
        </w:tc>
      </w:tr>
      <w:tr w14:paraId="1C84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DBDC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10、一般公共预算基本支出表-人员经费（对个人和家庭的补助）（按政府预算经济分类）</w:t>
            </w:r>
          </w:p>
        </w:tc>
      </w:tr>
      <w:tr w14:paraId="2EA4C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443601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11、一般公共预算基本支出表-人员经费（对个人和家庭的补助）（按部门预算经济分类）</w:t>
            </w:r>
          </w:p>
        </w:tc>
      </w:tr>
      <w:tr w14:paraId="1F885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220E20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12、一般公共预算基本支出表-公用经费（商品和服务支出）（按政府预算经济分类）</w:t>
            </w:r>
          </w:p>
        </w:tc>
      </w:tr>
      <w:tr w14:paraId="572D20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19B50A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13、一般公共预算基本支出表-公用经费（商品和服务支出）（按部门预算经济分类）</w:t>
            </w:r>
          </w:p>
        </w:tc>
      </w:tr>
      <w:tr w14:paraId="037AE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18A708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14、一般公共预算“三公”经费支出表</w:t>
            </w:r>
          </w:p>
        </w:tc>
      </w:tr>
      <w:tr w14:paraId="63C75A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FCD31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15、政府性基金预算支出表</w:t>
            </w:r>
          </w:p>
        </w:tc>
      </w:tr>
      <w:tr w14:paraId="747102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81A0E8E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16、政府性基金预算支出分类汇总表（按政府预算经济分类）</w:t>
            </w:r>
          </w:p>
        </w:tc>
      </w:tr>
      <w:tr w14:paraId="1BCD02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51C7AB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17、政府性基金预算支出分类汇总表（按部门预算经济分类）</w:t>
            </w:r>
          </w:p>
        </w:tc>
      </w:tr>
      <w:tr w14:paraId="1D2ED3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E849C1A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18、国有资本经营预算支出表</w:t>
            </w:r>
          </w:p>
        </w:tc>
      </w:tr>
      <w:tr w14:paraId="76D2C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3C7F24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19、财政专户管理资金预算支出表</w:t>
            </w:r>
          </w:p>
        </w:tc>
      </w:tr>
      <w:tr w14:paraId="6D59A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A0F5834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20、专项资金预算汇总表</w:t>
            </w:r>
          </w:p>
        </w:tc>
      </w:tr>
      <w:tr w14:paraId="4B994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3EE1A8B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21、项目支出绩效目标表</w:t>
            </w:r>
          </w:p>
        </w:tc>
      </w:tr>
      <w:tr w14:paraId="741B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4061F6F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22、单位整体支出绩效目标表</w:t>
            </w:r>
          </w:p>
        </w:tc>
      </w:tr>
      <w:tr w14:paraId="779917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2752D2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sz w:val="32"/>
                <w:szCs w:val="24"/>
              </w:rPr>
            </w:pPr>
            <w:r>
              <w:rPr>
                <w:rFonts w:hint="eastAsia" w:ascii="宋体" w:hAnsi="宋体" w:eastAsia="宋体"/>
                <w:sz w:val="32"/>
                <w:szCs w:val="24"/>
              </w:rPr>
              <w:t>23、一般公共预算基本支出表</w:t>
            </w:r>
          </w:p>
        </w:tc>
      </w:tr>
      <w:tr w14:paraId="4392EF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5306" w:type="dxa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619239">
            <w:pPr>
              <w:spacing w:beforeLines="0" w:afterLines="0" w:line="375" w:lineRule="exact"/>
              <w:ind w:left="20"/>
              <w:rPr>
                <w:rFonts w:hint="eastAsia" w:ascii="宋体" w:hAnsi="宋体" w:eastAsia="宋体"/>
                <w:color w:val="FF0000"/>
                <w:sz w:val="32"/>
                <w:szCs w:val="24"/>
              </w:rPr>
            </w:pPr>
            <w:r>
              <w:rPr>
                <w:rFonts w:hint="eastAsia" w:ascii="宋体" w:hAnsi="宋体" w:eastAsia="宋体"/>
                <w:b/>
                <w:color w:val="FF0000"/>
                <w:sz w:val="32"/>
                <w:szCs w:val="24"/>
              </w:rPr>
              <w:t>注：以上单位预算公开报表中，空表表示本单位无相关收支情况。</w:t>
            </w:r>
          </w:p>
        </w:tc>
      </w:tr>
    </w:tbl>
    <w:p w14:paraId="2937B4BB"/>
    <w:sectPr>
      <w:pgSz w:w="18708" w:h="15840"/>
      <w:pgMar w:top="388" w:right="1080" w:bottom="388" w:left="108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roman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roman"/>
    <w:pitch w:val="default"/>
    <w:sig w:usb0="80000287" w:usb1="2ACF3C50" w:usb2="00000016" w:usb3="00000000" w:csb0="0004001F" w:csb1="00000000"/>
  </w:font>
  <w:font w:name="Dialog">
    <w:altName w:val="Times New Roman"/>
    <w:panose1 w:val="00000000000000000000"/>
    <w:charset w:val="86"/>
    <w:family w:val="roma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3"/>
  <w:displayVerticalDrawingGridEvery w:val="3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3F72496"/>
    <w:rsid w:val="346A4358"/>
    <w:rsid w:val="35523852"/>
    <w:rsid w:val="37706ED4"/>
    <w:rsid w:val="44705C7F"/>
    <w:rsid w:val="5DCE3495"/>
    <w:rsid w:val="767642C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semiHidden="0" w:name="Normal"/>
    <w:lsdException w:uiPriority="99" w:semiHidden="0" w:name="heading 1"/>
    <w:lsdException w:uiPriority="99" w:semiHidden="0" w:name="heading 2"/>
    <w:lsdException w:uiPriority="99" w:semiHidden="0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iPriority="99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iPriority="99" w:name="Strong"/>
    <w:lsdException w:uiPriority="99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color w:val="000000"/>
      <w:sz w:val="24"/>
      <w:szCs w:val="24"/>
    </w:rPr>
  </w:style>
  <w:style w:type="paragraph" w:styleId="2">
    <w:name w:val="heading 1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32"/>
      <w:szCs w:val="24"/>
    </w:rPr>
  </w:style>
  <w:style w:type="paragraph" w:styleId="3">
    <w:name w:val="heading 2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i/>
      <w:color w:val="000000"/>
      <w:sz w:val="28"/>
      <w:szCs w:val="24"/>
    </w:rPr>
  </w:style>
  <w:style w:type="paragraph" w:styleId="4">
    <w:name w:val="heading 3"/>
    <w:unhideWhenUsed/>
    <w:uiPriority w:val="99"/>
    <w:pPr>
      <w:widowControl w:val="0"/>
      <w:autoSpaceDE w:val="0"/>
      <w:autoSpaceDN w:val="0"/>
      <w:adjustRightInd w:val="0"/>
      <w:spacing w:beforeLines="0" w:afterLines="0"/>
    </w:pPr>
    <w:rPr>
      <w:rFonts w:hint="default" w:ascii="Arial" w:hAnsi="Arial"/>
      <w:b/>
      <w:color w:val="000000"/>
      <w:sz w:val="26"/>
      <w:szCs w:val="24"/>
    </w:rPr>
  </w:style>
  <w:style w:type="character" w:default="1" w:styleId="6">
    <w:name w:val="Default Paragraph Font"/>
    <w:semiHidden/>
    <w:unhideWhenUsed/>
    <w:uiPriority w:val="99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TotalTime>186</TotalTime>
  <ScaleCrop>false</ScaleCrop>
  <LinksUpToDate>false</LinksUpToDate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2026-04-16T02:06:26Z</dcterms:created>
  <dc:creator>Administrator</dc:creator>
  <cp:lastModifiedBy>Administrator</cp:lastModifiedBy>
  <dcterms:modified xsi:type="dcterms:W3CDTF">2026-04-17T03:57:55Z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38C1D7CED7E5466A9AE83B6D961A13A7_13</vt:lpwstr>
  </property>
  <property fmtid="{D5CDD505-2E9C-101B-9397-08002B2CF9AE}" pid="4" name="KSOTemplateDocerSaveRecord">
    <vt:lpwstr>eyJoZGlkIjoiNWUzMWNiMzZmNjc2NjE3YWRiOTIzY2E1MzhkY2E2MTQifQ==</vt:lpwstr>
  </property>
</Properties>
</file>