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D2" w:rsidRDefault="00AB07D2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53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06"/>
      </w:tblGrid>
      <w:tr w:rsidR="00AB07D2">
        <w:trPr>
          <w:trHeight w:val="95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1110" w:lineRule="exact"/>
              <w:ind w:left="20"/>
              <w:jc w:val="center"/>
              <w:rPr>
                <w:rFonts w:ascii="微软雅黑" w:eastAsia="微软雅黑" w:hAnsi="Times New Roman" w:cs="微软雅黑"/>
                <w:b/>
                <w:bCs/>
                <w:sz w:val="84"/>
                <w:szCs w:val="84"/>
              </w:rPr>
            </w:pP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岳阳市文学艺术界联合会</w:t>
            </w:r>
            <w:r>
              <w:rPr>
                <w:rFonts w:ascii="微软雅黑" w:eastAsia="微软雅黑" w:hAnsi="Times New Roman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年度</w:t>
            </w:r>
          </w:p>
          <w:p w:rsidR="00AB07D2" w:rsidRDefault="00C11194">
            <w:pPr>
              <w:spacing w:line="1110" w:lineRule="exact"/>
              <w:ind w:left="20"/>
              <w:jc w:val="center"/>
              <w:rPr>
                <w:rFonts w:ascii="微软雅黑" w:eastAsia="微软雅黑" w:hAnsi="Times New Roman" w:cs="微软雅黑"/>
                <w:sz w:val="84"/>
                <w:szCs w:val="84"/>
              </w:rPr>
            </w:pP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部门预算</w:t>
            </w:r>
          </w:p>
        </w:tc>
      </w:tr>
      <w:tr w:rsidR="00AB07D2">
        <w:trPr>
          <w:trHeight w:val="442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525" w:lineRule="exact"/>
              <w:ind w:left="20"/>
              <w:jc w:val="center"/>
              <w:rPr>
                <w:rFonts w:ascii="Dialog" w:eastAsia="Dialog" w:hAnsi="Times New Roman" w:cs="Dialog"/>
                <w:sz w:val="44"/>
                <w:szCs w:val="44"/>
              </w:rPr>
            </w:pPr>
            <w:r>
              <w:rPr>
                <w:rFonts w:ascii="Dialog" w:eastAsia="Dialog" w:hAnsi="Times New Roman" w:cs="Dialog" w:hint="eastAsia"/>
                <w:sz w:val="44"/>
                <w:szCs w:val="44"/>
              </w:rPr>
              <w:t>目录</w:t>
            </w: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第一部分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年部门预算说明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第二部分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年部门预算公开表格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、收支总表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、收入总表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4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、支出预算分类汇总表（按政府预算经济分类）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、支出预算分类汇总表（按部门预算经济分类）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、财政拨款收支总表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7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8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人员经费（工资福利支出）（按政府预算经济分类）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9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人员经费（工资福利支出）（按部门预算经济分类）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lastRenderedPageBreak/>
              <w:t>10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公用经费（商品和服务支出）（按政府预算经济分类）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公用经费（商品和服务支出）（按部门预算经济分类）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14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、一般公共预算“三公”经费支出表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17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18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、国有资本经营预算支出表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19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、财政专户管理资金预算支出表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20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、专项资金预算汇总表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、项目支出绩效目标表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、部门整体支出绩效目标表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color w:val="FF0000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jc w:val="center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第一部分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年部门预算说明</w:t>
            </w: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一、部门基本概况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（一）职能职责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D6FDF" w:rsidRPr="006044CC" w:rsidRDefault="00C11194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="003D6FDF" w:rsidRPr="006044CC">
              <w:rPr>
                <w:rFonts w:ascii="宋体" w:hAnsi="Times New Roman" w:cs="宋体"/>
                <w:sz w:val="32"/>
                <w:szCs w:val="32"/>
              </w:rPr>
              <w:t>1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、作为党和政府联系文艺界的桥梁和纽带，贯彻落实党的文艺工作方针，开展同各文艺工作者协会和各县市区文联的团结引导、联络协调、服务管理、自律维权工作，听取和反映文艺界的情况和意见。</w:t>
            </w:r>
          </w:p>
          <w:p w:rsidR="003D6FDF" w:rsidRPr="006044CC" w:rsidRDefault="003D6FDF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hAnsi="Times New Roman" w:cs="宋体"/>
                <w:sz w:val="32"/>
                <w:szCs w:val="32"/>
              </w:rPr>
              <w:t>2</w:t>
            </w:r>
            <w:r w:rsidRPr="006044CC">
              <w:rPr>
                <w:rFonts w:ascii="宋体" w:hAnsi="Times New Roman" w:cs="宋体" w:hint="eastAsia"/>
                <w:sz w:val="32"/>
                <w:szCs w:val="32"/>
              </w:rPr>
              <w:t>、组织召开市文联和市文艺工作者协会代表大会、全委会、理事会、主席团会议；组织召开全市文联系统的工作和学术研讨会议。</w:t>
            </w:r>
          </w:p>
          <w:p w:rsidR="003D6FDF" w:rsidRPr="006044CC" w:rsidRDefault="003D6FDF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hAnsi="Times New Roman" w:cs="宋体"/>
                <w:sz w:val="32"/>
                <w:szCs w:val="32"/>
              </w:rPr>
              <w:t>3</w:t>
            </w:r>
            <w:r w:rsidRPr="006044CC">
              <w:rPr>
                <w:rFonts w:ascii="宋体" w:hAnsi="Times New Roman" w:cs="宋体" w:hint="eastAsia"/>
                <w:sz w:val="32"/>
                <w:szCs w:val="32"/>
              </w:rPr>
              <w:t>、开展多种形式的文艺活动，发现和培养文学艺术人才，繁荣文学艺术创作。</w:t>
            </w:r>
          </w:p>
          <w:p w:rsidR="003D6FDF" w:rsidRPr="006044CC" w:rsidRDefault="003D6FDF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hAnsi="Times New Roman" w:cs="宋体"/>
                <w:sz w:val="32"/>
                <w:szCs w:val="32"/>
              </w:rPr>
              <w:t>4</w:t>
            </w:r>
            <w:r w:rsidRPr="006044CC">
              <w:rPr>
                <w:rFonts w:ascii="宋体" w:hAnsi="Times New Roman" w:cs="宋体" w:hint="eastAsia"/>
                <w:sz w:val="32"/>
                <w:szCs w:val="32"/>
              </w:rPr>
              <w:t>、协同有关部门联系、组织中外文艺界的文化交流活动，加强国内外文化交流。</w:t>
            </w:r>
          </w:p>
          <w:p w:rsidR="003D6FDF" w:rsidRPr="006044CC" w:rsidRDefault="003D6FDF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hAnsi="Times New Roman" w:cs="宋体"/>
                <w:sz w:val="32"/>
                <w:szCs w:val="32"/>
              </w:rPr>
              <w:t>5</w:t>
            </w:r>
            <w:r w:rsidRPr="006044CC">
              <w:rPr>
                <w:rFonts w:ascii="宋体" w:hAnsi="Times New Roman" w:cs="宋体" w:hint="eastAsia"/>
                <w:sz w:val="32"/>
                <w:szCs w:val="32"/>
              </w:rPr>
              <w:t>、维护文艺工作协会的合法权益，为团体会员服务。</w:t>
            </w:r>
          </w:p>
          <w:p w:rsidR="003D6FDF" w:rsidRPr="006044CC" w:rsidRDefault="003D6FDF" w:rsidP="003D6FDF"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hAnsi="Times New Roman" w:cs="宋体"/>
                <w:sz w:val="32"/>
                <w:szCs w:val="32"/>
              </w:rPr>
              <w:t>6</w:t>
            </w:r>
            <w:r w:rsidRPr="006044CC">
              <w:rPr>
                <w:rFonts w:ascii="宋体" w:hAnsi="Times New Roman" w:cs="宋体" w:hint="eastAsia"/>
                <w:sz w:val="32"/>
                <w:szCs w:val="32"/>
              </w:rPr>
              <w:t>、完成市委、市政府交办的其他任务。</w:t>
            </w:r>
          </w:p>
          <w:p w:rsidR="00AB07D2" w:rsidRPr="003D6FDF" w:rsidRDefault="00AB07D2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（二）机构设置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根据编委核定，我单位内设处室</w:t>
            </w:r>
            <w:r w:rsidR="003D6FDF" w:rsidRPr="006044CC">
              <w:rPr>
                <w:rFonts w:ascii="宋体" w:hAnsi="Times New Roman" w:cs="宋体"/>
                <w:sz w:val="32"/>
                <w:szCs w:val="32"/>
              </w:rPr>
              <w:t>3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个，分别是办公室（人事科）、组织联络科、作协秘书科。市文联机关行政编制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12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名。设主席</w:t>
            </w:r>
            <w:r w:rsidR="003D6FDF" w:rsidRPr="006044CC">
              <w:rPr>
                <w:rFonts w:ascii="宋体" w:hAnsi="Times New Roman" w:cs="宋体"/>
                <w:sz w:val="32"/>
                <w:szCs w:val="32"/>
              </w:rPr>
              <w:t>1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名，副主席</w:t>
            </w:r>
            <w:r w:rsidR="003D6FDF" w:rsidRPr="006044CC">
              <w:rPr>
                <w:rFonts w:ascii="宋体" w:hAnsi="Times New Roman" w:cs="宋体"/>
                <w:sz w:val="32"/>
                <w:szCs w:val="32"/>
              </w:rPr>
              <w:t>2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名；正科级领导职数</w:t>
            </w:r>
            <w:r w:rsidR="003D6FDF" w:rsidRPr="006044CC">
              <w:rPr>
                <w:rFonts w:ascii="宋体" w:hAnsi="Times New Roman" w:cs="宋体"/>
                <w:sz w:val="32"/>
                <w:szCs w:val="32"/>
              </w:rPr>
              <w:t>3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名，副科级领导职数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3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名，科员职数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3</w:t>
            </w:r>
            <w:r w:rsidR="003D6FDF" w:rsidRPr="006044CC">
              <w:rPr>
                <w:rFonts w:ascii="宋体" w:hAnsi="Times New Roman" w:cs="宋体" w:hint="eastAsia"/>
                <w:sz w:val="32"/>
                <w:szCs w:val="32"/>
              </w:rPr>
              <w:t>名。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二、部门预算构成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本部门预算为汇总预算，纳入编制范围的预算单位包括：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岳阳市文学艺术界联合会本级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3D6FDF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三、部门收支总体情况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表均为空。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lastRenderedPageBreak/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（一）收入预算</w:t>
            </w:r>
          </w:p>
        </w:tc>
      </w:tr>
      <w:tr w:rsidR="00AB07D2">
        <w:trPr>
          <w:trHeight w:val="1469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Pr="003D6FDF" w:rsidRDefault="00C11194" w:rsidP="003D6FDF">
            <w:pPr>
              <w:spacing w:line="375" w:lineRule="exact"/>
              <w:ind w:left="20"/>
              <w:rPr>
                <w:rFonts w:ascii="宋体" w:eastAsia="宋体" w:hAnsi="Times New Roman" w:cs="宋体"/>
                <w:b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年度本部门收入预算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305.15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万元，其中，一般公共预算拨款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305.15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万元，政府性基金预算资金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，国有资本经营预算资金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，财政专户管理资金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，上级补助收入资金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万元，事业单位经营收入资金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万元，上年结转结余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年收入较去年增加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21.78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3D6FDF">
              <w:rPr>
                <w:rFonts w:ascii="宋体" w:eastAsia="宋体" w:hAnsi="Times New Roman" w:cs="宋体" w:hint="eastAsia"/>
                <w:sz w:val="32"/>
                <w:szCs w:val="32"/>
              </w:rPr>
              <w:t>7.69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，主要是因为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新调入2人，工资福利增加</w:t>
            </w:r>
            <w:r w:rsidR="003D6FDF">
              <w:rPr>
                <w:rFonts w:ascii="宋体" w:hAnsi="Times New Roman" w:cs="宋体" w:hint="eastAsia"/>
                <w:b/>
                <w:sz w:val="32"/>
                <w:szCs w:val="32"/>
              </w:rPr>
              <w:t>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（二）支出预算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3D6FDF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年本部门支出预算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305.15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文化旅游体育与传媒支出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266.45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社会保障和就业支出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20.89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卫生健康支出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3.73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住房保障支出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14.08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万元，支出较去年增加</w:t>
            </w:r>
            <w:r w:rsidR="003D6FDF">
              <w:rPr>
                <w:rFonts w:ascii="宋体" w:eastAsia="宋体" w:hAnsi="Times New Roman" w:cs="宋体" w:hint="eastAsia"/>
                <w:sz w:val="32"/>
                <w:szCs w:val="32"/>
              </w:rPr>
              <w:t>21.78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3D6FDF">
              <w:rPr>
                <w:rFonts w:ascii="宋体" w:eastAsia="宋体" w:hAnsi="Times New Roman" w:cs="宋体" w:hint="eastAsia"/>
                <w:sz w:val="32"/>
                <w:szCs w:val="32"/>
              </w:rPr>
              <w:t>7.69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，主要是因为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调入2人，人员支出增加。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四、一般公共预算拨款支出预算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年一般公共预算拨款支出预算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305.15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文化旅游体育与传媒支出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266.45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87.32%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社会保障和就业支出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20.89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6.85%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卫生健康支出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3.73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1.22%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住房保障支出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14.08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4.61%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；具体安排情况如下：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（一）基本支出：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年基本支出年初预算数为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272.65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:rsidR="00AB07D2">
        <w:trPr>
          <w:trHeight w:val="97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3D6FDF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（二）项目支出：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年项目支出年初预算数为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32.50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人以下单位补助专项支出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5.00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万元，主要用于</w:t>
            </w:r>
            <w:r w:rsidR="003D6FDF">
              <w:rPr>
                <w:rFonts w:ascii="宋体" w:eastAsia="宋体" w:hAnsi="Times New Roman" w:cs="宋体" w:hint="eastAsia"/>
                <w:sz w:val="32"/>
                <w:szCs w:val="32"/>
              </w:rPr>
              <w:t>日常工作经费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方面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,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日常工作经费专项支出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27.50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万元，主要用于</w:t>
            </w:r>
            <w:r w:rsidR="003D6FDF">
              <w:rPr>
                <w:rFonts w:ascii="宋体" w:eastAsia="宋体" w:hAnsi="Times New Roman" w:cs="宋体" w:hint="eastAsia"/>
                <w:sz w:val="32"/>
                <w:szCs w:val="32"/>
              </w:rPr>
              <w:t>弥补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机关公用经费不足，保运转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方面。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五、政府性基金预算支出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15-17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（政府性基金预算）为空。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六、其他重要事项的情况说明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（一）机关运行经费</w:t>
            </w:r>
          </w:p>
        </w:tc>
      </w:tr>
      <w:tr w:rsidR="00AB07D2">
        <w:trPr>
          <w:trHeight w:val="4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42.47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），比上一年增加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8.95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26.7</w:t>
            </w:r>
            <w:r w:rsidR="003D6FDF">
              <w:rPr>
                <w:rFonts w:ascii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，主要原因是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新调入2人，公用经费增加。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（二）“三公”经费预算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年“三公”经费预算数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），其中，公务接待费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万元，因公出国（境）费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万元，公务用车购置及运行费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万元（其中，公务用车购置费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万元，公务用车运行费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万元）。</w:t>
            </w:r>
            <w:r w:rsidR="003D6FDF">
              <w:rPr>
                <w:rFonts w:ascii="宋体" w:hAnsi="Times New Roman" w:cs="宋体"/>
                <w:sz w:val="32"/>
                <w:szCs w:val="32"/>
              </w:rPr>
              <w:t>2025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年三公经费预算较上年持平。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（三）一般性支出情况</w:t>
            </w:r>
          </w:p>
        </w:tc>
      </w:tr>
      <w:tr w:rsidR="00AB07D2">
        <w:trPr>
          <w:trHeight w:val="97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5F1FE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年会议费预算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会议费、培训费），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拟召开1次会议，人数100余人，内容为市文联第五届委员会第八次全体会议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；培训费预算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 w:rsidR="003D6FDF">
              <w:rPr>
                <w:rFonts w:ascii="宋体" w:hAnsi="Times New Roman" w:cs="宋体" w:hint="eastAsia"/>
                <w:sz w:val="32"/>
                <w:szCs w:val="32"/>
              </w:rPr>
              <w:t>拟开展1次培训，人数90余人，内容为学习贯彻习近平文化思想培训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年度本部门未计划举办节庆、晚会、论坛、赛事活动。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（四）委托业务费情况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5F1FE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lastRenderedPageBreak/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年本级等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家行政事业单位委托业务费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5.98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万元，比上年预算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基本持平。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（五）政府采购情况</w:t>
            </w:r>
          </w:p>
        </w:tc>
      </w:tr>
      <w:tr w:rsidR="00AB07D2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 w:rsidP="005F1FE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年政府采购预算总额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33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万元，其中工程类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万元，货物类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万元，服务类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24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（六）国有资产占有使用及新增资产配置情况</w:t>
            </w:r>
          </w:p>
        </w:tc>
      </w:tr>
      <w:tr w:rsidR="00AB07D2">
        <w:trPr>
          <w:trHeight w:val="2210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截至上年底，本部门共有车辆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辆，其中领导干部用车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辆，一般公务用车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辆，其他用车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辆。单位价值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万元以上通用设备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台，单位价值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万元以上专用设备</w:t>
            </w:r>
            <w:r w:rsidR="005F1FE4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台。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</w:p>
          <w:p w:rsidR="00AB07D2" w:rsidRDefault="00C11194" w:rsidP="005F1FE4">
            <w:pPr>
              <w:spacing w:line="375" w:lineRule="exact"/>
              <w:ind w:leftChars="8" w:left="19" w:firstLineChars="100" w:firstLine="3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年度本部门未计划处置或新增车辆、设备等。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（七）预算绩效目标说明</w:t>
            </w:r>
          </w:p>
        </w:tc>
      </w:tr>
      <w:tr w:rsidR="00AB07D2">
        <w:trPr>
          <w:trHeight w:val="4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年部门整体支出绩效目标的金额为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305.15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万元，其中，基本支出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272.65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万元，项目支出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32.50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21-22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。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七、名词解释</w:t>
            </w:r>
          </w:p>
        </w:tc>
      </w:tr>
      <w:tr w:rsidR="00AB07D2">
        <w:trPr>
          <w:trHeight w:val="110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:rsidR="00AB07D2">
        <w:trPr>
          <w:trHeight w:val="110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AB07D2" w:rsidRDefault="00AB07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jc w:val="center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第二部分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年部门预算公开表格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、收支总表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、收入总表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、支出预算分类汇总表（按政府预算经济分类）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、支出预算分类汇总表（按部门预算经济分类）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、财政拨款收支总表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人员经费（工资福利支出）（按政府预算经济分类）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人员经费（工资福利支出）（按部门预算经济分类）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公用经费（商品和服务支出）（按政府预算经济分类）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公用经费（商品和服务支出）（按部门预算经济分类）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lastRenderedPageBreak/>
              <w:t>14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、一般公共预算“三公”经费支出表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、国有资本经营预算支出表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、财政专户管理资金预算支出表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、专项资金预算汇总表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、项目支出绩效目标表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、部门整体支出绩效目标表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</w:p>
        </w:tc>
      </w:tr>
      <w:tr w:rsidR="00AB07D2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B07D2" w:rsidRDefault="00C11194">
            <w:pPr>
              <w:spacing w:line="375" w:lineRule="exact"/>
              <w:ind w:left="20"/>
              <w:rPr>
                <w:rFonts w:ascii="宋体" w:eastAsia="宋体" w:hAnsi="Times New Roman" w:cs="宋体"/>
                <w:color w:val="FF0000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 w:rsidR="00C11194" w:rsidRDefault="00C11194"/>
    <w:sectPr w:rsidR="00C11194" w:rsidSect="00AB07D2">
      <w:pgSz w:w="18708" w:h="15840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59" w:rsidRDefault="000A7C59" w:rsidP="004375F9">
      <w:r>
        <w:separator/>
      </w:r>
    </w:p>
  </w:endnote>
  <w:endnote w:type="continuationSeparator" w:id="1">
    <w:p w:rsidR="000A7C59" w:rsidRDefault="000A7C59" w:rsidP="00437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59" w:rsidRDefault="000A7C59" w:rsidP="004375F9">
      <w:r>
        <w:separator/>
      </w:r>
    </w:p>
  </w:footnote>
  <w:footnote w:type="continuationSeparator" w:id="1">
    <w:p w:rsidR="000A7C59" w:rsidRDefault="000A7C59" w:rsidP="00437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5F9"/>
    <w:rsid w:val="000A7C59"/>
    <w:rsid w:val="003D6FDF"/>
    <w:rsid w:val="004375F9"/>
    <w:rsid w:val="005F1FE4"/>
    <w:rsid w:val="00AB07D2"/>
    <w:rsid w:val="00C1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B07D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B07D2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B07D2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AB07D2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07D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B07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B07D2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3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5F9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5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5F9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590</Words>
  <Characters>3363</Characters>
  <Application>Microsoft Office Word</Application>
  <DocSecurity>0</DocSecurity>
  <Lines>28</Lines>
  <Paragraphs>7</Paragraphs>
  <ScaleCrop>false</ScaleCrop>
  <Company>微软中国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2026-04-13T07:57:00Z</dcterms:created>
  <dcterms:modified xsi:type="dcterms:W3CDTF">2026-04-14T02:49:00Z</dcterms:modified>
</cp:coreProperties>
</file>