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中国人民政治协商会议岳阳市委员会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2025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right="0" w:firstLine="640" w:firstLineChars="200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1.负责组织实施政协章程规定的任务和全国政协、湖南省政协所作的决议，履行政治协商、民主监督和参政议政的职能。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645"/>
              <w:jc w:val="both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2.负责市政协全体委员会议、常务委员会议、主席会议、专题议政性常委会议的会务工作。组织实施市政协全体委员会议、常务委员会议、主席会议的决议、决定。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645"/>
              <w:jc w:val="both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3.负责会同市委办、市政府办制订年度调研协商监督计划。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645"/>
              <w:jc w:val="both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4.整理、报送政协组织和委员履行职能形成的调研报告、视察报告、大会发言、建议案；收集反映社情民意，处理政协委员和人民群众的来信来访。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5.研究统一战线和人民政协的理论、政策，提出人民政协履行职能的工作建议，总结地方政协的工作经验；协调和组织市政协的对内对外宣传工作。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6.负责委员视察、调查、评议、参观、学习、座谈、研讨等活动的具体组织和服务工作。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7.密切与市委、市政府有关部门和县(市、区)政协的工作联系；负责联络各民主党派市委、市工商联、市知联会。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8.负责市政协机关的机构编制、人事管理和机关事务管理工作。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9.承办市政协全体委员会议、常务委员会议、主席会议交办的其它事项。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（二）机构设置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根据编办核定，市政协机关办事机构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个和专门委员会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个，共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正处级机构，分别为办公室、研究室、委员学习联络委员会、提案委员会、经济科技和外事委员会、农业和农村委员会、人口资源环境委员会、文化教育卫生体育和文史委员会、社会法制和民族宗教委员。办公室内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个职能科室，分别为办公室秘书科、财务科、政工科、法制信访科、课题预研科、宣传信息科。研究室内设综合科，提案委员会下设综合科、提案督办科，其他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个专门工作委员会各分别内设综合科。机关党委、机关纪委、离退休人员管理服务科按有关章程和规定设置。核定办公室正科级事业单位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个，即新闻宣传中心和政协委员服务中心。核定市政协机关行政编制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44+2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不含市政协领导编制，其中周转编制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个），机关后勤服务事业编制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个，全额事业编制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个。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本部门预算为汇总预算，纳入编制范围的预算单位包括：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本单位预算仅含本级预算。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减少330.75万元，主要是因为一项目收入预算减少；二有人员退休导致人员经费收入预算减少。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1683.80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132.16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121.74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88.61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减少330.75万元，主要是因为一项目支出预算减少；二有人员退休导致人员经费支出预算减少。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1683.80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83.1%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132.16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6.52%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121.74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6.01%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88.61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4.37%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1644.81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），是指部门为完成特定行政工作任务或事业发展目标而发生的支出，包括有关业务工作经费、运行维护经费、其他事业发展资金等。其中：日常工作经费专项支出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主要用于全年一次的政协全体会议及常务委员会议等会议方面；办公楼物业、临聘人员劳务费运转保障方面；开展重点调研、督办提案、课题研究等工作，切实履行政协政治协商、民主监督、参政议政的职能方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295.31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），比上一年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减少15.04万元，降低4.85%。主要原因一是预算人数减少；二是公务车辆核减，公务用车运行费减少。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89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54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54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减少19万元，主要原因一是2024年有购置公务用车预算；二是公务车辆减少，公务用车运行费减少。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会议费列支主要来源于项目支出日常工作经费中，拟召开60次会议，人数2800余人，内容为1次政协全体会议、政协常务委员会议、界别协商会、政协工作会议等；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培训费列支主要来源于项目支出日常工作经费中，拟开展10次培训，人数600余人，内容为政协委员、政协机关干部为政协履职及政协业务知识培训；2025年度本部门未计划举办节庆、晚会、论坛、赛事活动。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年本级行政事业单位委托业务费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与上年持平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委托业务费两年都在项目支出里列支。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本部门2025年政府采购预算总额605.84万元，其中工程类35万元，货物类103.32万元，服务类467.52万元。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20" w:right="0" w:firstLine="640" w:firstLineChars="200"/>
              <w:rPr>
                <w:rFonts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截至上年底，本部门共有车辆10辆，其中领导干部用车1辆，一般公务用车5辆，其他用车4辆。单位价值50万元以上通用设备0台，单位价值100万元以上专用设备0台。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20" w:right="0" w:firstLine="0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 2025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0辆，其中领导干部用车0辆，一般公务用车0辆，其他用车0辆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20" w:right="0" w:firstLine="0"/>
              <w:rPr>
                <w:rFonts w:hint="default" w:ascii="Arial" w:hAnsi="Arial" w:cs="Arial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 2025年度本部门未计划处置或新增车辆、设备等（2025年1月已无偿调剂的1辆公务用车至机关事务管理局，将于2025年在账务系统中做资产调剂）。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1644.81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2464C"/>
    <w:rsid w:val="00A2464C"/>
    <w:rsid w:val="06FD5A20"/>
    <w:rsid w:val="0FA061D1"/>
    <w:rsid w:val="126C2167"/>
    <w:rsid w:val="16890894"/>
    <w:rsid w:val="194F72E1"/>
    <w:rsid w:val="1BC67F77"/>
    <w:rsid w:val="1C543654"/>
    <w:rsid w:val="224E0902"/>
    <w:rsid w:val="2451241E"/>
    <w:rsid w:val="25355CBA"/>
    <w:rsid w:val="25585D1F"/>
    <w:rsid w:val="25E128CD"/>
    <w:rsid w:val="2981013C"/>
    <w:rsid w:val="2AB51C1C"/>
    <w:rsid w:val="2CB04B66"/>
    <w:rsid w:val="32350691"/>
    <w:rsid w:val="345277AD"/>
    <w:rsid w:val="351427B8"/>
    <w:rsid w:val="377F2698"/>
    <w:rsid w:val="45966797"/>
    <w:rsid w:val="484255C9"/>
    <w:rsid w:val="4F236272"/>
    <w:rsid w:val="4F7540C1"/>
    <w:rsid w:val="51FD6DDF"/>
    <w:rsid w:val="5D4728CD"/>
    <w:rsid w:val="5E047C7A"/>
    <w:rsid w:val="5E920BE0"/>
    <w:rsid w:val="61130C4D"/>
    <w:rsid w:val="61615668"/>
    <w:rsid w:val="73C6468A"/>
    <w:rsid w:val="74986F4A"/>
    <w:rsid w:val="771168FC"/>
    <w:rsid w:val="787210A3"/>
    <w:rsid w:val="78F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3">
    <w:name w:val="页眉 Char"/>
    <w:basedOn w:val="9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587</Words>
  <Characters>3346</Characters>
  <Lines>27</Lines>
  <Paragraphs>7</Paragraphs>
  <TotalTime>19</TotalTime>
  <ScaleCrop>false</ScaleCrop>
  <LinksUpToDate>false</LinksUpToDate>
  <CharactersWithSpaces>3926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2026-04-20T01:49:00Z</dcterms:created>
  <dc:creator>PC</dc:creator>
  <cp:lastModifiedBy>笑魂魂</cp:lastModifiedBy>
  <dcterms:modified xsi:type="dcterms:W3CDTF">2026-04-20T02:44:20Z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