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sz w:val="2"/>
          <w:szCs w:val="24"/>
        </w:rPr>
      </w:pPr>
      <w:bookmarkStart w:id="0" w:name="_GoBack"/>
      <w:bookmarkEnd w:id="0"/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1125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岳阳市洞庭湖大桥养护中心2025年度</w:t>
            </w:r>
          </w:p>
          <w:p>
            <w:pPr>
              <w:spacing w:line="1125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1、负责桥梁结构安全，桥面运营安全；负责组织桥梁经常性、定期特殊检测；负责大桥及附属设施设备的日常养护和维修，桥梁大中修、新建、改建工程的组织实施；负责大桥区域卫生保洁及美化亮化。</w:t>
            </w:r>
          </w:p>
          <w:p>
            <w:pPr>
              <w:spacing w:line="375" w:lineRule="exact"/>
              <w:ind w:left="20"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2、负责大桥区域内监控及信息报送。</w:t>
            </w:r>
          </w:p>
          <w:p>
            <w:pPr>
              <w:spacing w:line="375" w:lineRule="exact"/>
              <w:ind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3、负责大桥安全巡查、应急处理。</w:t>
            </w:r>
          </w:p>
          <w:p>
            <w:pPr>
              <w:spacing w:line="375" w:lineRule="exact"/>
              <w:ind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4、承办市交通运输局交办的其他事项。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根据编委核定，大桥养护中心设置7个部室及2个分支机构，其中：7个部室为综合部、财务部、工程技术部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32"/>
                <w:szCs w:val="24"/>
              </w:rPr>
              <w:t>安全生产部、人事部、应急部、维护养护部；2个分支机构为维护站、桥梁健康监测中心。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本单位预算仅含本级预算。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2025年度本单位收入预算1408.06万元，其中，一般公共预算拨款1408.06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35.49</w:t>
            </w:r>
            <w:r>
              <w:rPr>
                <w:rFonts w:hint="eastAsia" w:ascii="宋体" w:hAnsi="宋体"/>
                <w:sz w:val="32"/>
                <w:szCs w:val="24"/>
              </w:rPr>
              <w:t>万元，主要是因为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项目经费缩减。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2025年本单位支出预算1408.06万元，其中，208社会保障和就业支出264.02万元，210卫生健康支出74.29万元，214交通运输支出993.36万元，221住房保障支出76.39万元，支出较去年减少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35.49</w:t>
            </w:r>
            <w:r>
              <w:rPr>
                <w:rFonts w:hint="eastAsia" w:ascii="宋体" w:hAnsi="宋体"/>
                <w:sz w:val="32"/>
                <w:szCs w:val="24"/>
              </w:rPr>
              <w:t>万元，主要是因为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项目经费缩减。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2025年一般公共预算拨款支出预算1408.06万元，其中，208社会保障和就业支出264.02万元，占18.75%；210卫生健康支出74.29万元，占5.28%；214交通运输支出993.36万元，占70.55%；221住房保障支出76.39万元，占5.43%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基本支出：2025年基本支出年初预算数为1228.91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项目支出：2025年项目支出年初预算数为179.15万元（数据来源见表20），是指单位为完成特定行政工作任务或事业发展目标而发生的支出，包括有关业务工作经费、运行维护经费、其他事业发展资金等。其中：非税执收经费专项支出11.65万元，主要用于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桥梁日常维护</w:t>
            </w:r>
            <w:r>
              <w:rPr>
                <w:rFonts w:hint="eastAsia" w:ascii="宋体" w:hAnsi="宋体"/>
                <w:sz w:val="32"/>
                <w:szCs w:val="24"/>
              </w:rPr>
              <w:t>方面,日常工作经费专项支出167.50万元，主要用于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大桥保险合同、大桥路灯和景观灯、大桥防雷、桥梁日常维护和大桥应急抢救</w:t>
            </w:r>
            <w:r>
              <w:rPr>
                <w:rFonts w:hint="eastAsia" w:ascii="宋体" w:hAnsi="宋体"/>
                <w:sz w:val="32"/>
                <w:szCs w:val="24"/>
              </w:rPr>
              <w:t>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2025年度本单位无政府性基金安排的支出，所以公开的附件15-17（政府性基金预算）为空。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本单位2025年机关运行经费当年一般公共预算拨款130.08万元（数据来源见表12），比上一年增加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9.49</w:t>
            </w:r>
            <w:r>
              <w:rPr>
                <w:rFonts w:hint="eastAsia" w:ascii="宋体" w:hAnsi="宋体"/>
                <w:sz w:val="32"/>
                <w:szCs w:val="24"/>
              </w:rPr>
              <w:t>万元，增加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7.87</w:t>
            </w:r>
            <w:r>
              <w:rPr>
                <w:rFonts w:hint="eastAsia" w:ascii="宋体" w:hAnsi="宋体"/>
                <w:sz w:val="32"/>
                <w:szCs w:val="24"/>
              </w:rPr>
              <w:t>%。主要原因是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单位新增一人，退休一人，人员和公用经费增加。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“三公”经费预算数15.20万元（数据来源见表14），其中，公务接待费0.20万元，因公出国（境）费0.00万元，公务用车购置及运行费15.00万元（其中，公务用车购置费0.00万元，公务用车运行费15.00万元）。2025年三公经费预算较上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/>
                <w:sz w:val="32"/>
                <w:szCs w:val="24"/>
              </w:rPr>
              <w:t>万元，主要原因是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公务接待费开支减少。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本单位2025年会议费预算0.00万元（数据来源见表13会议费、培训费），拟召开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0人</w:t>
            </w:r>
            <w:r>
              <w:rPr>
                <w:rFonts w:hint="eastAsia" w:ascii="宋体" w:hAnsi="宋体"/>
                <w:sz w:val="32"/>
                <w:szCs w:val="24"/>
              </w:rPr>
              <w:t>；培训费预算4.63万元，拟开展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67</w:t>
            </w:r>
            <w:r>
              <w:rPr>
                <w:rFonts w:hint="eastAsia" w:ascii="宋体" w:hAnsi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安全演练培训、党员教育培训和桥梁养护技术培训</w:t>
            </w:r>
            <w:r>
              <w:rPr>
                <w:rFonts w:hint="eastAsia" w:ascii="宋体" w:hAnsi="宋体"/>
                <w:sz w:val="32"/>
                <w:szCs w:val="24"/>
              </w:rPr>
              <w:t>；计划举办节庆、晚会、论坛、赛事活动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万元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246.252</w:t>
            </w:r>
            <w:r>
              <w:rPr>
                <w:rFonts w:hint="eastAsia" w:ascii="宋体" w:hAnsi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28.4</w:t>
            </w:r>
            <w:r>
              <w:rPr>
                <w:rFonts w:hint="eastAsia" w:ascii="宋体" w:hAnsi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9.43</w:t>
            </w:r>
            <w:r>
              <w:rPr>
                <w:rFonts w:hint="eastAsia" w:ascii="宋体" w:hAnsi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208.422</w:t>
            </w:r>
            <w:r>
              <w:rPr>
                <w:rFonts w:hint="eastAsia" w:ascii="宋体" w:hAnsi="宋体"/>
                <w:sz w:val="32"/>
                <w:szCs w:val="24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18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2"/>
                <w:szCs w:val="24"/>
              </w:rPr>
              <w:t xml:space="preserve">台。 </w:t>
            </w:r>
          </w:p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2025年拟报废处置车辆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台。拟新增配置车辆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辆。</w:t>
            </w:r>
          </w:p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</w:rPr>
              <w:t>年度本单位未计划处置或新增车辆、设备等。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 本单位所有支出实行绩效目标管理。纳入2025年单位整体支出绩效目标的金额为1408.06万元，其中，基本支出1228.91万元，项目支出179.15万元，详见文尾附表中单位预算公开表格的表21-22。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>
      <w:pPr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DC13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2025-04-11T01:42:44Z</dcterms:created>
  <dc:creator>Administrator</dc:creator>
  <cp:lastModifiedBy>Administrator</cp:lastModifiedBy>
  <dcterms:modified xsi:type="dcterms:W3CDTF">2025-04-11T01:42:58Z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B72AE13A9F3B42499FF91B0C485FBCD1</vt:lpwstr>
  </property>
</Properties>
</file>