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A26D4">
      <w:pPr>
        <w:spacing w:beforeLines="0" w:afterLines="0" w:line="1110" w:lineRule="exact"/>
        <w:ind w:left="20"/>
        <w:jc w:val="center"/>
        <w:rPr>
          <w:rFonts w:hint="eastAsia" w:ascii="微软雅黑" w:hAnsi="微软雅黑" w:eastAsia="微软雅黑"/>
          <w:b/>
          <w:sz w:val="84"/>
          <w:szCs w:val="24"/>
        </w:rPr>
      </w:pPr>
    </w:p>
    <w:p w14:paraId="1E818DB5">
      <w:pPr>
        <w:spacing w:beforeLines="0" w:afterLines="0" w:line="1110" w:lineRule="exact"/>
        <w:ind w:left="20"/>
        <w:jc w:val="center"/>
        <w:rPr>
          <w:rFonts w:hint="eastAsia" w:ascii="微软雅黑" w:hAnsi="微软雅黑" w:eastAsia="微软雅黑"/>
          <w:b/>
          <w:sz w:val="84"/>
          <w:szCs w:val="24"/>
        </w:rPr>
      </w:pPr>
    </w:p>
    <w:p w14:paraId="590755AB">
      <w:pPr>
        <w:spacing w:beforeLines="0" w:afterLines="0" w:line="1110" w:lineRule="exact"/>
        <w:ind w:left="20"/>
        <w:jc w:val="center"/>
        <w:rPr>
          <w:rFonts w:hint="eastAsia" w:ascii="微软雅黑" w:hAnsi="微软雅黑" w:eastAsia="微软雅黑"/>
          <w:b/>
          <w:sz w:val="84"/>
          <w:szCs w:val="24"/>
        </w:rPr>
      </w:pPr>
    </w:p>
    <w:p w14:paraId="4DD1F920">
      <w:pPr>
        <w:spacing w:beforeLines="0" w:afterLines="0" w:line="1110" w:lineRule="exact"/>
        <w:ind w:left="20"/>
        <w:jc w:val="left"/>
        <w:rPr>
          <w:rFonts w:hint="eastAsia" w:ascii="微软雅黑" w:hAnsi="微软雅黑" w:eastAsia="微软雅黑"/>
          <w:b/>
          <w:sz w:val="84"/>
          <w:szCs w:val="24"/>
        </w:rPr>
      </w:pPr>
    </w:p>
    <w:p w14:paraId="4DB46DCC">
      <w:pPr>
        <w:spacing w:beforeLines="0" w:afterLines="0" w:line="1110" w:lineRule="exact"/>
        <w:ind w:left="2898" w:leftChars="307" w:hanging="2161" w:hangingChars="300"/>
        <w:jc w:val="left"/>
        <w:rPr>
          <w:rFonts w:hint="eastAsia" w:ascii="微软雅黑" w:hAnsi="微软雅黑" w:eastAsia="微软雅黑"/>
          <w:b/>
          <w:sz w:val="72"/>
          <w:szCs w:val="72"/>
        </w:rPr>
      </w:pPr>
      <w:r>
        <w:rPr>
          <w:rFonts w:hint="eastAsia" w:ascii="微软雅黑" w:hAnsi="微软雅黑" w:eastAsia="微软雅黑"/>
          <w:b/>
          <w:sz w:val="72"/>
          <w:szCs w:val="72"/>
        </w:rPr>
        <w:t>岳阳市公安局君山分局2025年度</w:t>
      </w:r>
    </w:p>
    <w:p w14:paraId="19B1D73E">
      <w:pPr>
        <w:spacing w:beforeLines="0" w:afterLines="0" w:line="1110" w:lineRule="exact"/>
        <w:jc w:val="left"/>
        <w:rPr>
          <w:rFonts w:hint="eastAsia" w:ascii="微软雅黑" w:hAnsi="微软雅黑" w:eastAsia="微软雅黑"/>
          <w:b/>
          <w:sz w:val="72"/>
          <w:szCs w:val="72"/>
        </w:rPr>
      </w:pPr>
      <w:r>
        <w:rPr>
          <w:rFonts w:hint="eastAsia" w:ascii="微软雅黑" w:hAnsi="微软雅黑" w:eastAsia="微软雅黑"/>
          <w:b/>
          <w:sz w:val="72"/>
          <w:szCs w:val="72"/>
          <w:lang w:val="en-US" w:eastAsia="zh-CN"/>
        </w:rPr>
        <w:t xml:space="preserve">         </w:t>
      </w:r>
      <w:r>
        <w:rPr>
          <w:rFonts w:hint="eastAsia" w:ascii="微软雅黑" w:hAnsi="微软雅黑" w:eastAsia="微软雅黑"/>
          <w:b/>
          <w:sz w:val="72"/>
          <w:szCs w:val="72"/>
        </w:rPr>
        <w:t>单位预算</w:t>
      </w:r>
    </w:p>
    <w:p w14:paraId="0A407813">
      <w:pPr>
        <w:rPr>
          <w:rFonts w:hint="eastAsia" w:ascii="Dialog" w:hAnsi="Dialog"/>
          <w:sz w:val="44"/>
          <w:szCs w:val="24"/>
        </w:rPr>
      </w:pPr>
    </w:p>
    <w:p w14:paraId="6A7B4824">
      <w:pPr>
        <w:rPr>
          <w:rFonts w:hint="eastAsia" w:ascii="Dialog" w:hAnsi="Dialog"/>
          <w:sz w:val="44"/>
          <w:szCs w:val="24"/>
        </w:rPr>
      </w:pPr>
    </w:p>
    <w:p w14:paraId="4045D234">
      <w:pPr>
        <w:rPr>
          <w:rFonts w:hint="eastAsia" w:ascii="Dialog" w:hAnsi="Dialog"/>
          <w:sz w:val="44"/>
          <w:szCs w:val="24"/>
        </w:rPr>
      </w:pPr>
    </w:p>
    <w:p w14:paraId="2858583C">
      <w:pPr>
        <w:rPr>
          <w:rFonts w:hint="eastAsia" w:ascii="Dialog" w:hAnsi="Dialog"/>
          <w:sz w:val="44"/>
          <w:szCs w:val="24"/>
        </w:rPr>
      </w:pPr>
    </w:p>
    <w:p w14:paraId="58669E2A">
      <w:pPr>
        <w:rPr>
          <w:rFonts w:hint="eastAsia" w:ascii="Dialog" w:hAnsi="Dialog"/>
          <w:sz w:val="44"/>
          <w:szCs w:val="24"/>
        </w:rPr>
      </w:pPr>
    </w:p>
    <w:p w14:paraId="29C3A1B4">
      <w:pPr>
        <w:rPr>
          <w:rFonts w:hint="eastAsia" w:ascii="Dialog" w:hAnsi="Dialog"/>
          <w:sz w:val="44"/>
          <w:szCs w:val="24"/>
        </w:rPr>
      </w:pPr>
    </w:p>
    <w:p w14:paraId="6042A111">
      <w:pPr>
        <w:rPr>
          <w:rFonts w:hint="eastAsia" w:ascii="Dialog" w:hAnsi="Dialog"/>
          <w:sz w:val="44"/>
          <w:szCs w:val="24"/>
        </w:rPr>
      </w:pPr>
    </w:p>
    <w:p w14:paraId="6D6AEBB4">
      <w:pPr>
        <w:rPr>
          <w:rFonts w:hint="eastAsia" w:ascii="Dialog" w:hAnsi="Dialog"/>
          <w:sz w:val="44"/>
          <w:szCs w:val="24"/>
        </w:rPr>
      </w:pPr>
    </w:p>
    <w:p w14:paraId="04687A6B">
      <w:pPr>
        <w:rPr>
          <w:rFonts w:hint="eastAsia" w:ascii="Dialog" w:hAnsi="Dialog"/>
          <w:sz w:val="44"/>
          <w:szCs w:val="24"/>
        </w:rPr>
      </w:pPr>
    </w:p>
    <w:p w14:paraId="1579D7B7">
      <w:pPr>
        <w:jc w:val="center"/>
        <w:rPr>
          <w:rFonts w:hint="eastAsia" w:ascii="Dialog" w:hAnsi="Dialog"/>
          <w:sz w:val="44"/>
          <w:szCs w:val="24"/>
        </w:rPr>
      </w:pPr>
      <w:r>
        <w:rPr>
          <w:rFonts w:hint="eastAsia" w:ascii="Dialog" w:hAnsi="Dialog"/>
          <w:sz w:val="44"/>
          <w:szCs w:val="24"/>
        </w:rPr>
        <w:t>目</w:t>
      </w:r>
      <w:r>
        <w:rPr>
          <w:rFonts w:hint="eastAsia" w:ascii="Dialog" w:hAnsi="Dialog"/>
          <w:sz w:val="44"/>
          <w:szCs w:val="24"/>
          <w:lang w:val="en-US" w:eastAsia="zh-CN"/>
        </w:rPr>
        <w:t xml:space="preserve">   </w:t>
      </w:r>
      <w:r>
        <w:rPr>
          <w:rFonts w:hint="eastAsia" w:ascii="Dialog" w:hAnsi="Dialog"/>
          <w:sz w:val="44"/>
          <w:szCs w:val="24"/>
        </w:rPr>
        <w:t>录</w:t>
      </w:r>
    </w:p>
    <w:p w14:paraId="1FA4DA1E">
      <w:pPr>
        <w:numPr>
          <w:ilvl w:val="0"/>
          <w:numId w:val="1"/>
        </w:numPr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 xml:space="preserve"> 2025年单位预算说明</w:t>
      </w:r>
    </w:p>
    <w:p w14:paraId="32D59652">
      <w:pPr>
        <w:numPr>
          <w:ilvl w:val="0"/>
          <w:numId w:val="1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 xml:space="preserve"> 2025年单位预算公开表格</w:t>
      </w:r>
    </w:p>
    <w:p w14:paraId="22F5AA50">
      <w:pPr>
        <w:numPr>
          <w:ilvl w:val="0"/>
          <w:numId w:val="2"/>
        </w:numPr>
        <w:ind w:left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收支总表</w:t>
      </w:r>
    </w:p>
    <w:p w14:paraId="1C99DFCC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收入总表</w:t>
      </w:r>
    </w:p>
    <w:p w14:paraId="5FD1C51E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支出总表</w:t>
      </w:r>
    </w:p>
    <w:p w14:paraId="4C2C66E4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支出预算分类汇总表（按政府预算经济分类）</w:t>
      </w:r>
    </w:p>
    <w:p w14:paraId="0291E3CF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支出预算分类汇总表（按部门预算经济分类）</w:t>
      </w:r>
    </w:p>
    <w:p w14:paraId="1B3646A1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财政拨款收支总表</w:t>
      </w:r>
    </w:p>
    <w:p w14:paraId="3F33B649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一般公共预算支出表</w:t>
      </w:r>
    </w:p>
    <w:p w14:paraId="537B1548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一般公共预算基本支出表-人员经费（工资福利支出）（按政府预算经济分类）</w:t>
      </w:r>
    </w:p>
    <w:p w14:paraId="7491D9DA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一般公共预算基本支出表-人员经费（工资福利支出）（按部门预算经济分类）</w:t>
      </w:r>
    </w:p>
    <w:p w14:paraId="582925E2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一般公共预算基本支出表-人员经费（对个人和家庭的补助）（按政府预算经济分类）</w:t>
      </w:r>
    </w:p>
    <w:p w14:paraId="0F2582DC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一般公共预算基本支出表-人员经费（对个人和家庭的补助）（按部门预算经济分类）</w:t>
      </w:r>
    </w:p>
    <w:p w14:paraId="7E180113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一般公共预算基本支出表-公用经费（商品和服务支出）（按政府预算经济分类）</w:t>
      </w:r>
    </w:p>
    <w:p w14:paraId="0CD712AF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  <w:lang w:eastAsia="zh-CN"/>
        </w:rPr>
      </w:pPr>
      <w:r>
        <w:rPr>
          <w:rFonts w:hint="eastAsia" w:ascii="Dialog" w:hAnsi="Dialog"/>
          <w:sz w:val="32"/>
          <w:szCs w:val="24"/>
        </w:rPr>
        <w:t>一般公共预算基本支出表-公用经费（商品和服务支出）（按部门预算经济分类</w:t>
      </w:r>
      <w:r>
        <w:rPr>
          <w:rFonts w:hint="eastAsia" w:ascii="Dialog" w:hAnsi="Dialog"/>
          <w:sz w:val="32"/>
          <w:szCs w:val="24"/>
          <w:lang w:eastAsia="zh-CN"/>
        </w:rPr>
        <w:t>）</w:t>
      </w:r>
    </w:p>
    <w:p w14:paraId="3601FD78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一般公共预算“三公”经费支出表</w:t>
      </w:r>
    </w:p>
    <w:p w14:paraId="4A5FB59F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政府性基金预算支出表</w:t>
      </w:r>
    </w:p>
    <w:p w14:paraId="7194D9C8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政府性基金预算支出分类汇总表（按政府预算经济类）</w:t>
      </w:r>
    </w:p>
    <w:p w14:paraId="6F69428E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政府性基金预算支出分类汇总表（按部门预算经济类）</w:t>
      </w:r>
    </w:p>
    <w:p w14:paraId="2C7A251C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国有资本经营预算支出表</w:t>
      </w:r>
    </w:p>
    <w:p w14:paraId="24F177D1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财政专户管理资金预算支出表</w:t>
      </w:r>
    </w:p>
    <w:p w14:paraId="0409580D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专项资金预算汇总表</w:t>
      </w:r>
    </w:p>
    <w:p w14:paraId="64C0196C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项目支出绩效目标表</w:t>
      </w:r>
    </w:p>
    <w:p w14:paraId="2FC09D4D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单位整体支出绩效目标表</w:t>
      </w:r>
    </w:p>
    <w:p w14:paraId="4D5A848B">
      <w:pPr>
        <w:numPr>
          <w:ilvl w:val="0"/>
          <w:numId w:val="2"/>
        </w:numPr>
        <w:ind w:left="0" w:leftChars="0" w:firstLine="0" w:firstLine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一般公共预算基本支出表</w:t>
      </w:r>
    </w:p>
    <w:p w14:paraId="3A4A5E8F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  <w:r>
        <w:rPr>
          <w:rFonts w:hint="eastAsia" w:ascii="Dialog" w:hAnsi="Dialog"/>
          <w:color w:val="FF0000"/>
          <w:sz w:val="32"/>
          <w:szCs w:val="24"/>
        </w:rPr>
        <w:t>注：以上单位预算公开报表中，空表表示本单位无相关收支情况。</w:t>
      </w:r>
    </w:p>
    <w:p w14:paraId="2D8BF24D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32BD8C46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6FCCF34F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3F6D2E70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56741DCF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3DE5D175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50413E46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7C3DE102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236E7C06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105F32DE">
      <w:pPr>
        <w:numPr>
          <w:ilvl w:val="0"/>
          <w:numId w:val="0"/>
        </w:numPr>
        <w:ind w:leftChars="0"/>
        <w:rPr>
          <w:rFonts w:hint="eastAsia" w:ascii="Dialog" w:hAnsi="Dialog"/>
          <w:color w:val="FF0000"/>
          <w:sz w:val="32"/>
          <w:szCs w:val="24"/>
        </w:rPr>
      </w:pPr>
    </w:p>
    <w:p w14:paraId="74F4A7E3">
      <w:pPr>
        <w:numPr>
          <w:ilvl w:val="0"/>
          <w:numId w:val="3"/>
        </w:numPr>
        <w:ind w:leftChars="0"/>
        <w:jc w:val="center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2025年单位预算说明</w:t>
      </w:r>
    </w:p>
    <w:p w14:paraId="5DE49A5A"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一、</w:t>
      </w:r>
      <w:r>
        <w:rPr>
          <w:rFonts w:hint="eastAsia" w:ascii="Dialog" w:hAnsi="Dialog"/>
          <w:sz w:val="32"/>
          <w:szCs w:val="24"/>
        </w:rPr>
        <w:t>单位基本概况</w:t>
      </w:r>
    </w:p>
    <w:p w14:paraId="4B47E73B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eastAsia="zh-CN"/>
        </w:rPr>
        <w:t>（一）</w:t>
      </w:r>
      <w:r>
        <w:rPr>
          <w:rFonts w:hint="eastAsia" w:ascii="宋体" w:hAnsi="宋体" w:eastAsia="宋体"/>
          <w:sz w:val="32"/>
          <w:szCs w:val="24"/>
        </w:rPr>
        <w:t>职能职责</w:t>
      </w:r>
    </w:p>
    <w:p w14:paraId="1FFE0ED2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Times New Roman" w:cs="宋体"/>
          <w:sz w:val="32"/>
          <w:szCs w:val="32"/>
        </w:rPr>
        <w:t>预防制止和侦查违法犯罪活动；维护社会治安秩序，制止危害社会治安秩序的行为；组织实施消防工作，实行消防监督；管理枪支弹药、控制刀具和易燃易爆、剧毒、放射等危险物品；对法律、法规指定的特种行业进行管理；警卫国家规定的特定人员，守卫重要的场所和设施；管理集会、游行、示威活动；管理户政、国籍、出入境事务和外国人在中国境内居留、旅行的有关事务；维护国边境地区的治安秩序；管理监督计算机信息系统的安全保卫工作；指导监督国家机关、社会团体、企业事业组织和重点建设工程的治安保卫工作，指导治安保卫委员会等群众性组织的治安防范工作；法律法规规定的其他职责。</w:t>
      </w:r>
    </w:p>
    <w:p w14:paraId="4794246B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val="en-US" w:eastAsia="zh-CN"/>
        </w:rPr>
        <w:t xml:space="preserve">    （二）</w:t>
      </w:r>
      <w:r>
        <w:rPr>
          <w:rFonts w:hint="eastAsia" w:ascii="宋体" w:hAnsi="宋体" w:eastAsia="宋体"/>
          <w:sz w:val="32"/>
          <w:szCs w:val="24"/>
        </w:rPr>
        <w:t>机构设置</w:t>
      </w:r>
    </w:p>
    <w:p w14:paraId="5E89C0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textAlignment w:val="auto"/>
        <w:rPr>
          <w:rFonts w:hint="default" w:ascii="宋体" w:hAnsi="Times New Roman" w:cs="宋体"/>
          <w:sz w:val="32"/>
          <w:szCs w:val="32"/>
          <w:lang w:val="en-US" w:eastAsia="zh-CN"/>
        </w:rPr>
      </w:pPr>
      <w:r>
        <w:rPr>
          <w:rFonts w:hint="eastAsia" w:ascii="宋体" w:hAnsi="Times New Roman" w:cs="宋体"/>
          <w:sz w:val="32"/>
          <w:szCs w:val="32"/>
          <w:lang w:eastAsia="zh-CN"/>
        </w:rPr>
        <w:t>岳阳市公安局君山分局</w:t>
      </w:r>
      <w:r>
        <w:rPr>
          <w:rFonts w:hint="eastAsia" w:ascii="宋体" w:hAnsi="Times New Roman" w:cs="宋体"/>
          <w:sz w:val="32"/>
          <w:szCs w:val="32"/>
        </w:rPr>
        <w:t>包括：</w:t>
      </w:r>
      <w:r>
        <w:rPr>
          <w:rFonts w:hint="eastAsia" w:ascii="宋体" w:hAnsi="Times New Roman" w:cs="宋体"/>
          <w:sz w:val="32"/>
          <w:szCs w:val="32"/>
          <w:lang w:eastAsia="zh-CN"/>
        </w:rPr>
        <w:t>政工室、警务保障室、纪委检查室、办公室、法制大队、国保大队、刑事侦查大队、经侦大队、治安大队、拘留所等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16个内设机构，下属</w:t>
      </w:r>
      <w:r>
        <w:rPr>
          <w:rFonts w:hint="eastAsia" w:ascii="宋体" w:hAnsi="Times New Roman" w:cs="宋体"/>
          <w:sz w:val="32"/>
          <w:szCs w:val="32"/>
          <w:lang w:eastAsia="zh-CN"/>
        </w:rPr>
        <w:t>林角佬派出所、君山派出所、柳林洲派出所、广兴洲派出所、许市派出所、采桑湖派出所、钱粮湖派出所、良心堡派出所等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8个派出所</w:t>
      </w:r>
      <w:r>
        <w:rPr>
          <w:rFonts w:hint="eastAsia" w:ascii="宋体" w:hAnsi="Times New Roman" w:cs="宋体"/>
          <w:sz w:val="32"/>
          <w:szCs w:val="32"/>
          <w:lang w:eastAsia="zh-CN"/>
        </w:rPr>
        <w:t>。</w:t>
      </w:r>
      <w:r>
        <w:rPr>
          <w:rFonts w:hint="eastAsia" w:ascii="宋体" w:hAnsi="宋体"/>
          <w:sz w:val="30"/>
          <w:szCs w:val="24"/>
          <w:shd w:val="clear" w:color="auto" w:fill="FFFFFF"/>
          <w:lang w:eastAsia="zh-CN"/>
        </w:rPr>
        <w:t>岳阳市公安局君山分局</w:t>
      </w:r>
      <w:r>
        <w:rPr>
          <w:rFonts w:hint="eastAsia" w:ascii="宋体" w:hAnsi="Times New Roman" w:cs="宋体"/>
          <w:sz w:val="32"/>
          <w:szCs w:val="32"/>
        </w:rPr>
        <w:t>现有人员编制 1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47</w:t>
      </w:r>
      <w:r>
        <w:rPr>
          <w:rFonts w:hint="eastAsia" w:ascii="宋体" w:hAnsi="Times New Roman" w:cs="宋体"/>
          <w:sz w:val="32"/>
          <w:szCs w:val="32"/>
        </w:rPr>
        <w:t>名，预算人数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140</w:t>
      </w:r>
      <w:r>
        <w:rPr>
          <w:rFonts w:hint="eastAsia" w:ascii="宋体" w:hAnsi="Times New Roman" w:cs="宋体"/>
          <w:sz w:val="32"/>
          <w:szCs w:val="32"/>
        </w:rPr>
        <w:t>名</w:t>
      </w:r>
      <w:r>
        <w:rPr>
          <w:rFonts w:hint="eastAsia" w:ascii="宋体" w:hAnsi="Times New Roman" w:cs="宋体"/>
          <w:sz w:val="32"/>
          <w:szCs w:val="32"/>
          <w:lang w:eastAsia="zh-CN"/>
        </w:rPr>
        <w:t>，</w:t>
      </w:r>
      <w:r>
        <w:rPr>
          <w:rFonts w:hint="eastAsia" w:ascii="宋体" w:hAnsi="宋体" w:cs="宋体"/>
          <w:sz w:val="32"/>
          <w:szCs w:val="24"/>
        </w:rPr>
        <w:t>退休人员</w:t>
      </w:r>
      <w:r>
        <w:rPr>
          <w:rFonts w:hint="eastAsia" w:ascii="宋体" w:hAnsi="宋体" w:cs="宋体"/>
          <w:sz w:val="32"/>
          <w:szCs w:val="24"/>
          <w:lang w:val="en-US" w:eastAsia="zh-CN"/>
        </w:rPr>
        <w:t>22</w:t>
      </w:r>
      <w:r>
        <w:rPr>
          <w:rFonts w:hint="eastAsia" w:ascii="宋体" w:hAnsi="宋体" w:cs="宋体"/>
          <w:sz w:val="32"/>
          <w:szCs w:val="24"/>
        </w:rPr>
        <w:t>人，临时人员</w:t>
      </w:r>
      <w:r>
        <w:rPr>
          <w:rFonts w:hint="eastAsia" w:ascii="宋体" w:hAnsi="宋体" w:cs="宋体"/>
          <w:sz w:val="32"/>
          <w:szCs w:val="24"/>
          <w:lang w:val="en-US" w:eastAsia="zh-CN"/>
        </w:rPr>
        <w:t>154</w:t>
      </w:r>
      <w:r>
        <w:rPr>
          <w:rFonts w:hint="eastAsia" w:ascii="宋体" w:hAnsi="宋体" w:cs="宋体"/>
          <w:sz w:val="32"/>
          <w:szCs w:val="24"/>
        </w:rPr>
        <w:t>人</w:t>
      </w:r>
      <w:r>
        <w:rPr>
          <w:rFonts w:hint="eastAsia" w:ascii="宋体" w:hAnsi="宋体" w:cs="宋体"/>
          <w:sz w:val="32"/>
          <w:szCs w:val="24"/>
          <w:lang w:eastAsia="zh-CN"/>
        </w:rPr>
        <w:t>。</w:t>
      </w:r>
    </w:p>
    <w:p w14:paraId="43723A3B"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宋体" w:hAnsi="Times New Roman" w:cs="宋体"/>
          <w:sz w:val="32"/>
          <w:szCs w:val="32"/>
          <w:lang w:eastAsia="zh-CN"/>
        </w:rPr>
        <w:t>二、</w:t>
      </w:r>
      <w:r>
        <w:rPr>
          <w:rFonts w:hint="eastAsia" w:ascii="Dialog" w:hAnsi="Dialog"/>
          <w:sz w:val="32"/>
          <w:szCs w:val="24"/>
        </w:rPr>
        <w:t>单位预算单位构成</w:t>
      </w:r>
    </w:p>
    <w:p w14:paraId="2237B0CD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本单位预算仅含本级预算。</w:t>
      </w:r>
    </w:p>
    <w:p w14:paraId="714043BB"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三、</w:t>
      </w:r>
      <w:r>
        <w:rPr>
          <w:rFonts w:hint="eastAsia" w:ascii="Dialog" w:hAnsi="Dialog"/>
          <w:sz w:val="32"/>
          <w:szCs w:val="24"/>
        </w:rPr>
        <w:t>单位收支总体情况</w:t>
      </w:r>
    </w:p>
    <w:p w14:paraId="01EB856C"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2025年没有政府性基金预算拨款、国有资本经营预算收入和纳入专户管理的非税收入拨款收入，也没有使用政府性基金预算拨款、国有资本经营预算收入和纳入专户管理的非税收入拨款安排的支出，所以公开的附件15、16、17、18、19表均为空。</w:t>
      </w:r>
    </w:p>
    <w:p w14:paraId="32E2F10B">
      <w:pPr>
        <w:numPr>
          <w:ilvl w:val="0"/>
          <w:numId w:val="0"/>
        </w:numPr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val="en-US" w:eastAsia="zh-CN"/>
        </w:rPr>
        <w:t xml:space="preserve">    （一）</w:t>
      </w:r>
      <w:r>
        <w:rPr>
          <w:rFonts w:hint="eastAsia" w:ascii="Dialog" w:hAnsi="Dialog"/>
          <w:sz w:val="32"/>
          <w:szCs w:val="24"/>
        </w:rPr>
        <w:t>收入预算</w:t>
      </w:r>
    </w:p>
    <w:p w14:paraId="74249D8A">
      <w:pPr>
        <w:numPr>
          <w:ilvl w:val="0"/>
          <w:numId w:val="0"/>
        </w:numPr>
        <w:ind w:firstLine="640" w:firstLineChars="200"/>
        <w:rPr>
          <w:rFonts w:hint="eastAsia" w:ascii="宋体" w:hAnsi="宋体"/>
          <w:sz w:val="32"/>
          <w:szCs w:val="24"/>
          <w:lang w:eastAsia="zh-CN"/>
        </w:rPr>
      </w:pPr>
      <w:r>
        <w:rPr>
          <w:rFonts w:hint="eastAsia" w:ascii="宋体" w:hAnsi="宋体" w:eastAsia="宋体"/>
          <w:sz w:val="32"/>
          <w:szCs w:val="24"/>
        </w:rPr>
        <w:t>包括一般公共预算、政府性基金、国有资本经营预算等财政拨款收入，以及经营收入、事业收入等单位资金。2025年度本单位收入预算3030.23万元，其中，一般公共预算拨款3030.23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2025年收入较去年</w:t>
      </w:r>
      <w:r>
        <w:rPr>
          <w:rFonts w:hint="eastAsia" w:ascii="宋体" w:hAnsi="宋体"/>
          <w:sz w:val="32"/>
          <w:szCs w:val="24"/>
        </w:rPr>
        <w:t>去年减少</w:t>
      </w:r>
      <w:r>
        <w:rPr>
          <w:rFonts w:hint="eastAsia" w:ascii="宋体" w:hAnsi="宋体"/>
          <w:sz w:val="32"/>
          <w:szCs w:val="24"/>
          <w:lang w:val="en-US" w:eastAsia="zh-CN"/>
        </w:rPr>
        <w:t>134.73</w:t>
      </w:r>
      <w:r>
        <w:rPr>
          <w:rFonts w:hint="eastAsia" w:ascii="宋体" w:hAnsi="宋体"/>
          <w:sz w:val="32"/>
          <w:szCs w:val="24"/>
        </w:rPr>
        <w:t>万元，主要是因为</w:t>
      </w:r>
      <w:r>
        <w:rPr>
          <w:rFonts w:hint="eastAsia" w:ascii="宋体" w:hAnsi="宋体"/>
          <w:sz w:val="32"/>
          <w:szCs w:val="24"/>
          <w:lang w:eastAsia="zh-CN"/>
        </w:rPr>
        <w:t>项目资金减少。</w:t>
      </w:r>
    </w:p>
    <w:p w14:paraId="187BF1D2"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宋体" w:hAnsi="宋体"/>
          <w:sz w:val="32"/>
          <w:szCs w:val="24"/>
          <w:lang w:eastAsia="zh-CN"/>
        </w:rPr>
        <w:t>（二）</w:t>
      </w:r>
      <w:r>
        <w:rPr>
          <w:rFonts w:hint="eastAsia" w:ascii="Dialog" w:hAnsi="Dialog"/>
          <w:sz w:val="32"/>
          <w:szCs w:val="24"/>
        </w:rPr>
        <w:t>支出预算</w:t>
      </w:r>
    </w:p>
    <w:p w14:paraId="001D177D"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2025年本单位支出预算3030.23万元，其中，204公共安全支出2425.96万元，208社会保障和就业支出249.14万元，210卫生健康支出186.78万元，221住房保障支出168.35万元，支出较去年</w:t>
      </w:r>
      <w:r>
        <w:rPr>
          <w:rFonts w:hint="eastAsia" w:ascii="宋体" w:hAnsi="宋体"/>
          <w:sz w:val="32"/>
          <w:szCs w:val="24"/>
        </w:rPr>
        <w:t>支出较去年减少</w:t>
      </w:r>
      <w:r>
        <w:rPr>
          <w:rFonts w:hint="eastAsia" w:ascii="宋体" w:hAnsi="宋体"/>
          <w:sz w:val="32"/>
          <w:szCs w:val="24"/>
          <w:lang w:val="en-US" w:eastAsia="zh-CN"/>
        </w:rPr>
        <w:t>134.73</w:t>
      </w:r>
      <w:r>
        <w:rPr>
          <w:rFonts w:hint="eastAsia" w:ascii="宋体" w:hAnsi="宋体"/>
          <w:sz w:val="32"/>
          <w:szCs w:val="24"/>
        </w:rPr>
        <w:t>万元，主要是因为</w:t>
      </w:r>
      <w:r>
        <w:rPr>
          <w:rFonts w:hint="eastAsia" w:ascii="宋体" w:hAnsi="宋体"/>
          <w:sz w:val="32"/>
          <w:szCs w:val="24"/>
          <w:lang w:eastAsia="zh-CN"/>
        </w:rPr>
        <w:t>项目资金减少。</w:t>
      </w:r>
    </w:p>
    <w:p w14:paraId="3579EE79">
      <w:pPr>
        <w:numPr>
          <w:ilvl w:val="0"/>
          <w:numId w:val="0"/>
        </w:numPr>
        <w:ind w:left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val="en-US" w:eastAsia="zh-CN"/>
        </w:rPr>
        <w:t xml:space="preserve">    四、</w:t>
      </w:r>
      <w:r>
        <w:rPr>
          <w:rFonts w:hint="eastAsia" w:ascii="Dialog" w:hAnsi="Dialog"/>
          <w:sz w:val="32"/>
          <w:szCs w:val="24"/>
        </w:rPr>
        <w:t>一般公共预算拨款支出预算</w:t>
      </w:r>
    </w:p>
    <w:p w14:paraId="7813130D"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2025年一般公共预算拨款支出预算3030.23万元，其中，204公共安全支出2425.96万元，占80.06%；208社会保障和就业支出249.14万元，占8.22%；210卫生健康支出186.78万元，占6.16%；221住房保障支出168.35万元，占5.56%；具体安排情况如下：</w:t>
      </w:r>
    </w:p>
    <w:p w14:paraId="7D1A4FD1">
      <w:pPr>
        <w:numPr>
          <w:ilvl w:val="0"/>
          <w:numId w:val="0"/>
        </w:numPr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val="en-US" w:eastAsia="zh-CN"/>
        </w:rPr>
        <w:t xml:space="preserve">    （一）</w:t>
      </w:r>
      <w:r>
        <w:rPr>
          <w:rFonts w:hint="eastAsia" w:ascii="宋体" w:hAnsi="宋体" w:eastAsia="宋体"/>
          <w:sz w:val="32"/>
          <w:szCs w:val="24"/>
        </w:rPr>
        <w:t>基本支出：2025年基本支出年初预算数为2680.23万元（数据来源见表23），是指为保障单位机构正常运转、完成日常工作任务而发生的各项支出，包括用于基本工资、津贴补贴等人员经费以及办公费、印刷费、水电费、差旅费等日常公用经费。</w:t>
      </w:r>
    </w:p>
    <w:p w14:paraId="18D284B4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eastAsia="zh-CN"/>
        </w:rPr>
        <w:t>（二）</w:t>
      </w:r>
      <w:r>
        <w:rPr>
          <w:rFonts w:hint="eastAsia" w:ascii="宋体" w:hAnsi="宋体" w:eastAsia="宋体"/>
          <w:sz w:val="32"/>
          <w:szCs w:val="24"/>
        </w:rPr>
        <w:t>项目支出：2025年项目支出年初预算数为350.00万元（数据来源见表20），是指单位为完成特定行政工作任务或事业发展目标而发生的支出，包括有关业务工作经费、运行维护经费、其他事业发展资金等。其中：其他人员类支出专项支出242.99万元，</w:t>
      </w:r>
      <w:r>
        <w:rPr>
          <w:rFonts w:hint="eastAsia" w:ascii="宋体" w:hAnsi="宋体"/>
          <w:sz w:val="32"/>
          <w:szCs w:val="24"/>
        </w:rPr>
        <w:t>主要用于</w:t>
      </w:r>
      <w:r>
        <w:rPr>
          <w:rFonts w:hint="eastAsia" w:ascii="宋体" w:hAnsi="Times New Roman" w:cs="宋体"/>
          <w:sz w:val="32"/>
          <w:szCs w:val="32"/>
          <w:lang w:eastAsia="zh-CN"/>
        </w:rPr>
        <w:t>人民警察法定之外加班补助、执勤岗位津贴</w:t>
      </w:r>
      <w:r>
        <w:rPr>
          <w:rFonts w:hint="eastAsia" w:ascii="宋体" w:hAnsi="Times New Roman" w:cs="宋体"/>
          <w:sz w:val="32"/>
          <w:szCs w:val="32"/>
        </w:rPr>
        <w:t>,乡镇派出所民警工作津贴</w:t>
      </w:r>
      <w:r>
        <w:rPr>
          <w:rFonts w:hint="eastAsia" w:ascii="宋体" w:hAnsi="Times New Roman" w:cs="宋体"/>
          <w:sz w:val="32"/>
          <w:szCs w:val="32"/>
          <w:lang w:eastAsia="zh-CN"/>
        </w:rPr>
        <w:t>方面支出</w:t>
      </w:r>
      <w:r>
        <w:rPr>
          <w:rFonts w:hint="eastAsia" w:ascii="宋体" w:hAnsi="宋体"/>
          <w:sz w:val="32"/>
          <w:szCs w:val="24"/>
          <w:lang w:eastAsia="zh-CN"/>
        </w:rPr>
        <w:t>；</w:t>
      </w:r>
      <w:r>
        <w:rPr>
          <w:rFonts w:hint="eastAsia" w:ascii="宋体" w:hAnsi="宋体" w:eastAsia="宋体"/>
          <w:sz w:val="32"/>
          <w:szCs w:val="24"/>
        </w:rPr>
        <w:t>日常工作经费专项支出107.01万元，主要用于</w:t>
      </w:r>
      <w:r>
        <w:rPr>
          <w:rFonts w:hint="eastAsia" w:ascii="宋体" w:hAnsi="宋体"/>
          <w:sz w:val="32"/>
          <w:szCs w:val="24"/>
        </w:rPr>
        <w:t>用于</w:t>
      </w:r>
      <w:r>
        <w:rPr>
          <w:rFonts w:hint="eastAsia" w:ascii="宋体" w:hAnsi="Times New Roman" w:cs="宋体"/>
          <w:sz w:val="32"/>
          <w:szCs w:val="32"/>
          <w:lang w:eastAsia="zh-CN"/>
        </w:rPr>
        <w:t>“平安城市”电子防控监控摄像头电费、差旅费、维修（护）费等方面</w:t>
      </w:r>
      <w:r>
        <w:rPr>
          <w:rFonts w:hint="eastAsia" w:ascii="宋体" w:hAnsi="宋体" w:eastAsia="宋体"/>
          <w:sz w:val="32"/>
          <w:szCs w:val="24"/>
        </w:rPr>
        <w:t>。</w:t>
      </w:r>
    </w:p>
    <w:p w14:paraId="0F698284"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五、</w:t>
      </w:r>
      <w:r>
        <w:rPr>
          <w:rFonts w:hint="eastAsia" w:ascii="Dialog" w:hAnsi="Dialog"/>
          <w:sz w:val="32"/>
          <w:szCs w:val="24"/>
        </w:rPr>
        <w:t>政府性基金预算支出</w:t>
      </w:r>
    </w:p>
    <w:p w14:paraId="37E3ADA8"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2025年度本单位无政府性基金安排的支出，所以公开的附件15-17（政府性基金预算）为空。</w:t>
      </w:r>
    </w:p>
    <w:p w14:paraId="1CEE0964"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六、</w:t>
      </w:r>
      <w:r>
        <w:rPr>
          <w:rFonts w:hint="eastAsia" w:ascii="Dialog" w:hAnsi="Dialog"/>
          <w:sz w:val="32"/>
          <w:szCs w:val="24"/>
        </w:rPr>
        <w:t>其他重要事项的情况说明</w:t>
      </w:r>
    </w:p>
    <w:p w14:paraId="1FE3510B"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（一）</w:t>
      </w:r>
      <w:r>
        <w:rPr>
          <w:rFonts w:hint="eastAsia" w:ascii="Dialog" w:hAnsi="Dialog"/>
          <w:sz w:val="32"/>
          <w:szCs w:val="24"/>
        </w:rPr>
        <w:t>机关运行经费</w:t>
      </w:r>
    </w:p>
    <w:p w14:paraId="62718EAE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本单位2025年机关运行经费当年一般公共预算拨款477.92万元（数据来源见表12），</w:t>
      </w:r>
      <w:r>
        <w:rPr>
          <w:rFonts w:hint="eastAsia" w:ascii="宋体" w:hAnsi="宋体"/>
          <w:sz w:val="32"/>
          <w:szCs w:val="24"/>
        </w:rPr>
        <w:t>比上一年增加</w:t>
      </w:r>
      <w:r>
        <w:rPr>
          <w:rFonts w:hint="eastAsia" w:ascii="宋体" w:hAnsi="宋体"/>
          <w:sz w:val="32"/>
          <w:szCs w:val="24"/>
          <w:lang w:val="en-US" w:eastAsia="zh-CN"/>
        </w:rPr>
        <w:t>39.21</w:t>
      </w:r>
      <w:r>
        <w:rPr>
          <w:rFonts w:hint="eastAsia" w:ascii="宋体" w:hAnsi="宋体"/>
          <w:sz w:val="32"/>
          <w:szCs w:val="24"/>
        </w:rPr>
        <w:t>万元，增加</w:t>
      </w:r>
      <w:r>
        <w:rPr>
          <w:rFonts w:hint="eastAsia" w:ascii="宋体" w:hAnsi="宋体"/>
          <w:sz w:val="32"/>
          <w:szCs w:val="24"/>
          <w:lang w:val="en-US" w:eastAsia="zh-CN"/>
        </w:rPr>
        <w:t>8.94</w:t>
      </w:r>
      <w:r>
        <w:rPr>
          <w:rFonts w:hint="eastAsia" w:ascii="宋体" w:hAnsi="宋体"/>
          <w:sz w:val="32"/>
          <w:szCs w:val="24"/>
        </w:rPr>
        <w:t>%。主要原因</w:t>
      </w:r>
      <w:r>
        <w:rPr>
          <w:rFonts w:hint="eastAsia" w:ascii="宋体" w:hAnsi="Times New Roman" w:cs="宋体"/>
          <w:sz w:val="32"/>
          <w:szCs w:val="32"/>
        </w:rPr>
        <w:t>是</w:t>
      </w:r>
      <w:r>
        <w:rPr>
          <w:rFonts w:hint="eastAsia" w:ascii="宋体" w:hAnsi="宋体" w:cs="宋体"/>
          <w:sz w:val="32"/>
          <w:szCs w:val="24"/>
          <w:lang w:eastAsia="zh-CN"/>
        </w:rPr>
        <w:t>公车运行维护费、其他相关费用增加</w:t>
      </w:r>
      <w:r>
        <w:rPr>
          <w:rFonts w:hint="eastAsia" w:ascii="宋体" w:hAnsi="Times New Roman" w:cs="宋体"/>
          <w:sz w:val="32"/>
          <w:szCs w:val="32"/>
          <w:lang w:eastAsia="zh-CN"/>
        </w:rPr>
        <w:t>。</w:t>
      </w:r>
    </w:p>
    <w:p w14:paraId="2F488B9E"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（二）</w:t>
      </w:r>
      <w:r>
        <w:rPr>
          <w:rFonts w:hint="eastAsia" w:ascii="Dialog" w:hAnsi="Dialog"/>
          <w:sz w:val="32"/>
          <w:szCs w:val="24"/>
        </w:rPr>
        <w:t>“三公”经费预算</w:t>
      </w:r>
    </w:p>
    <w:p w14:paraId="7AE24980"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  <w:highlight w:val="yellow"/>
        </w:rPr>
      </w:pPr>
      <w:r>
        <w:rPr>
          <w:rFonts w:hint="eastAsia" w:ascii="宋体" w:hAnsi="宋体"/>
          <w:sz w:val="32"/>
          <w:szCs w:val="24"/>
          <w:highlight w:val="yellow"/>
        </w:rPr>
        <w:t>本单位2025年“三公”经费预算数</w:t>
      </w:r>
      <w:r>
        <w:rPr>
          <w:rFonts w:hint="eastAsia" w:ascii="宋体" w:hAnsi="宋体"/>
          <w:sz w:val="32"/>
          <w:szCs w:val="24"/>
          <w:highlight w:val="yellow"/>
          <w:lang w:val="en-US" w:eastAsia="zh-CN"/>
        </w:rPr>
        <w:t>143.4</w:t>
      </w:r>
      <w:r>
        <w:rPr>
          <w:rFonts w:hint="eastAsia" w:ascii="宋体" w:hAnsi="宋体"/>
          <w:sz w:val="32"/>
          <w:szCs w:val="24"/>
          <w:highlight w:val="yellow"/>
        </w:rPr>
        <w:t>万元（数据来源见表14），其中，公务接待费1.00万元，因公出国（境）费0.00万元，公务用车购置及运行费</w:t>
      </w:r>
      <w:r>
        <w:rPr>
          <w:rFonts w:hint="eastAsia" w:ascii="宋体" w:hAnsi="宋体"/>
          <w:sz w:val="32"/>
          <w:szCs w:val="24"/>
          <w:highlight w:val="yellow"/>
          <w:lang w:val="en-US" w:eastAsia="zh-CN"/>
        </w:rPr>
        <w:t>142.4</w:t>
      </w:r>
      <w:r>
        <w:rPr>
          <w:rFonts w:hint="eastAsia" w:ascii="宋体" w:hAnsi="宋体"/>
          <w:sz w:val="32"/>
          <w:szCs w:val="24"/>
          <w:highlight w:val="yellow"/>
        </w:rPr>
        <w:t>万元（其中，公务用车购置费</w:t>
      </w:r>
      <w:r>
        <w:rPr>
          <w:rFonts w:hint="eastAsia" w:ascii="宋体" w:hAnsi="宋体"/>
          <w:sz w:val="32"/>
          <w:szCs w:val="24"/>
          <w:highlight w:val="yellow"/>
          <w:lang w:val="en-US" w:eastAsia="zh-CN"/>
        </w:rPr>
        <w:t>50</w:t>
      </w:r>
      <w:r>
        <w:rPr>
          <w:rFonts w:hint="eastAsia" w:ascii="宋体" w:hAnsi="宋体"/>
          <w:sz w:val="32"/>
          <w:szCs w:val="24"/>
          <w:highlight w:val="yellow"/>
        </w:rPr>
        <w:t>.00万元，公务用车运行费92.40万元）。2025年三公经费预算较上年减少</w:t>
      </w:r>
      <w:r>
        <w:rPr>
          <w:rFonts w:hint="eastAsia" w:ascii="宋体" w:hAnsi="宋体"/>
          <w:sz w:val="32"/>
          <w:szCs w:val="24"/>
          <w:highlight w:val="yellow"/>
          <w:lang w:val="en-US" w:eastAsia="zh-CN"/>
        </w:rPr>
        <w:t>3.6</w:t>
      </w:r>
      <w:r>
        <w:rPr>
          <w:rFonts w:hint="eastAsia" w:ascii="宋体" w:hAnsi="宋体"/>
          <w:sz w:val="32"/>
          <w:szCs w:val="24"/>
          <w:highlight w:val="yellow"/>
        </w:rPr>
        <w:t>万元，主要原因是</w:t>
      </w:r>
      <w:r>
        <w:rPr>
          <w:rFonts w:hint="eastAsia" w:ascii="宋体" w:hAnsi="宋体"/>
          <w:sz w:val="32"/>
          <w:szCs w:val="24"/>
          <w:highlight w:val="yellow"/>
          <w:lang w:eastAsia="zh-CN"/>
        </w:rPr>
        <w:t>公务用车购置费减少。</w:t>
      </w:r>
    </w:p>
    <w:p w14:paraId="61AF8F3A">
      <w:pPr>
        <w:numPr>
          <w:ilvl w:val="0"/>
          <w:numId w:val="0"/>
        </w:numPr>
        <w:ind w:leftChars="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val="en-US" w:eastAsia="zh-CN"/>
        </w:rPr>
        <w:t xml:space="preserve">    （三）</w:t>
      </w:r>
      <w:r>
        <w:rPr>
          <w:rFonts w:hint="eastAsia" w:ascii="Dialog" w:hAnsi="Dialog"/>
          <w:sz w:val="32"/>
          <w:szCs w:val="24"/>
        </w:rPr>
        <w:t>一般性支出情况</w:t>
      </w:r>
    </w:p>
    <w:p w14:paraId="43AC033E">
      <w:pPr>
        <w:numPr>
          <w:ilvl w:val="0"/>
          <w:numId w:val="0"/>
        </w:numPr>
        <w:ind w:leftChars="0" w:firstLine="640" w:firstLineChars="200"/>
        <w:rPr>
          <w:rFonts w:hint="eastAsia" w:ascii="宋体" w:hAnsi="Times New Roman" w:cs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24"/>
        </w:rPr>
        <w:t>本单位2025年会议费预算0.50万元（数据来源见表13会议费、培训费），</w:t>
      </w:r>
      <w:r>
        <w:rPr>
          <w:rFonts w:hint="eastAsia" w:ascii="宋体" w:hAnsi="Times New Roman" w:cs="宋体"/>
          <w:sz w:val="32"/>
          <w:szCs w:val="32"/>
        </w:rPr>
        <w:t>拟召开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4</w:t>
      </w:r>
      <w:r>
        <w:rPr>
          <w:rFonts w:hint="eastAsia" w:ascii="宋体" w:hAnsi="Times New Roman" w:cs="宋体"/>
          <w:sz w:val="32"/>
          <w:szCs w:val="32"/>
        </w:rPr>
        <w:t>次会议，人数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144</w:t>
      </w:r>
      <w:r>
        <w:rPr>
          <w:rFonts w:hint="eastAsia" w:ascii="宋体" w:hAnsi="Times New Roman" w:cs="宋体"/>
          <w:sz w:val="32"/>
          <w:szCs w:val="32"/>
        </w:rPr>
        <w:t>人，内容为</w:t>
      </w:r>
      <w:r>
        <w:rPr>
          <w:rFonts w:hint="eastAsia" w:ascii="宋体" w:hAnsi="Times New Roman" w:cs="宋体"/>
          <w:sz w:val="32"/>
          <w:szCs w:val="32"/>
          <w:lang w:eastAsia="zh-CN"/>
        </w:rPr>
        <w:t>公安工作推进会、</w:t>
      </w:r>
      <w:r>
        <w:rPr>
          <w:rFonts w:hint="eastAsia" w:ascii="宋体" w:hAnsi="Times New Roman" w:cs="宋体"/>
          <w:sz w:val="32"/>
          <w:szCs w:val="32"/>
        </w:rPr>
        <w:t>表彰奖励会、考评绩效会</w:t>
      </w:r>
      <w:r>
        <w:rPr>
          <w:rFonts w:hint="eastAsia" w:ascii="宋体" w:hAnsi="宋体"/>
          <w:sz w:val="32"/>
          <w:szCs w:val="24"/>
        </w:rPr>
        <w:t>；培训费预算5.00万元，</w:t>
      </w:r>
      <w:r>
        <w:rPr>
          <w:rFonts w:hint="eastAsia" w:ascii="宋体" w:hAnsi="Times New Roman" w:cs="宋体"/>
          <w:sz w:val="32"/>
          <w:szCs w:val="32"/>
        </w:rPr>
        <w:t>拟开展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10</w:t>
      </w:r>
      <w:r>
        <w:rPr>
          <w:rFonts w:hint="eastAsia" w:ascii="宋体" w:hAnsi="Times New Roman" w:cs="宋体"/>
          <w:sz w:val="32"/>
          <w:szCs w:val="32"/>
        </w:rPr>
        <w:t>次培训，人数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108</w:t>
      </w:r>
      <w:r>
        <w:rPr>
          <w:rFonts w:hint="eastAsia" w:ascii="宋体" w:hAnsi="Times New Roman" w:cs="宋体"/>
          <w:sz w:val="32"/>
          <w:szCs w:val="32"/>
        </w:rPr>
        <w:t>人，内容为辅警的辅警相关管理制度</w:t>
      </w:r>
      <w:r>
        <w:rPr>
          <w:rFonts w:hint="eastAsia" w:ascii="宋体" w:hAnsi="Times New Roman" w:cs="宋体"/>
          <w:sz w:val="32"/>
          <w:szCs w:val="32"/>
          <w:lang w:eastAsia="zh-CN"/>
        </w:rPr>
        <w:t>和</w:t>
      </w:r>
      <w:r>
        <w:rPr>
          <w:rFonts w:hint="eastAsia" w:ascii="宋体" w:hAnsi="Times New Roman" w:cs="宋体"/>
          <w:sz w:val="32"/>
          <w:szCs w:val="32"/>
        </w:rPr>
        <w:t>执法规范化</w:t>
      </w:r>
      <w:r>
        <w:rPr>
          <w:rFonts w:hint="eastAsia" w:ascii="宋体" w:hAnsi="Times New Roman" w:cs="宋体"/>
          <w:sz w:val="32"/>
          <w:szCs w:val="32"/>
          <w:lang w:eastAsia="zh-CN"/>
        </w:rPr>
        <w:t>培训、</w:t>
      </w:r>
      <w:r>
        <w:rPr>
          <w:rFonts w:hint="eastAsia" w:ascii="宋体" w:hAnsi="Times New Roman" w:cs="宋体"/>
          <w:sz w:val="32"/>
          <w:szCs w:val="32"/>
        </w:rPr>
        <w:t>新警</w:t>
      </w:r>
      <w:r>
        <w:rPr>
          <w:rFonts w:hint="eastAsia" w:ascii="宋体" w:hAnsi="Times New Roman" w:cs="宋体"/>
          <w:sz w:val="32"/>
          <w:szCs w:val="32"/>
          <w:lang w:eastAsia="zh-CN"/>
        </w:rPr>
        <w:t>入警</w:t>
      </w:r>
      <w:r>
        <w:rPr>
          <w:rFonts w:hint="eastAsia" w:ascii="宋体" w:hAnsi="Times New Roman" w:cs="宋体"/>
          <w:sz w:val="32"/>
          <w:szCs w:val="32"/>
        </w:rPr>
        <w:t>培训及民警</w:t>
      </w:r>
      <w:r>
        <w:rPr>
          <w:rFonts w:hint="eastAsia" w:ascii="宋体" w:hAnsi="Times New Roman" w:cs="宋体"/>
          <w:sz w:val="32"/>
          <w:szCs w:val="32"/>
          <w:lang w:eastAsia="zh-CN"/>
        </w:rPr>
        <w:t>晋职晋衔培训、专业技术提升培训</w:t>
      </w:r>
      <w:r>
        <w:rPr>
          <w:rFonts w:hint="eastAsia" w:ascii="宋体" w:hAnsi="Times New Roman" w:cs="宋体"/>
          <w:sz w:val="32"/>
          <w:szCs w:val="32"/>
        </w:rPr>
        <w:t>；202</w:t>
      </w:r>
      <w:r>
        <w:rPr>
          <w:rFonts w:hint="eastAsia" w:ascii="宋体" w:hAnsi="Times New Roman" w:cs="宋体"/>
          <w:sz w:val="32"/>
          <w:szCs w:val="32"/>
          <w:lang w:val="en-US" w:eastAsia="zh-CN"/>
        </w:rPr>
        <w:t>5</w:t>
      </w:r>
      <w:r>
        <w:rPr>
          <w:rFonts w:hint="eastAsia" w:ascii="宋体" w:hAnsi="Times New Roman" w:cs="宋体"/>
          <w:sz w:val="32"/>
          <w:szCs w:val="32"/>
        </w:rPr>
        <w:t>年度本单位未计划举办节庆、晚会、论坛、赛事活动。</w:t>
      </w:r>
    </w:p>
    <w:p w14:paraId="65751BFE">
      <w:pPr>
        <w:numPr>
          <w:ilvl w:val="0"/>
          <w:numId w:val="0"/>
        </w:numPr>
        <w:ind w:leftChars="0" w:firstLine="640" w:firstLineChars="200"/>
        <w:rPr>
          <w:rFonts w:hint="default" w:ascii="Dialog" w:hAnsi="Dialog" w:eastAsia="宋体"/>
          <w:sz w:val="32"/>
          <w:szCs w:val="24"/>
          <w:lang w:val="en-US" w:eastAsia="zh-CN"/>
        </w:rPr>
      </w:pPr>
      <w:r>
        <w:rPr>
          <w:rFonts w:hint="eastAsia" w:ascii="宋体" w:hAnsi="Times New Roman" w:cs="宋体"/>
          <w:sz w:val="32"/>
          <w:szCs w:val="32"/>
          <w:lang w:eastAsia="zh-CN"/>
        </w:rPr>
        <w:t>（</w:t>
      </w:r>
      <w:r>
        <w:rPr>
          <w:rFonts w:hint="eastAsia" w:ascii="Dialog" w:hAnsi="Dialog"/>
          <w:sz w:val="32"/>
          <w:szCs w:val="24"/>
          <w:lang w:eastAsia="zh-CN"/>
        </w:rPr>
        <w:t>四）</w:t>
      </w:r>
      <w:r>
        <w:rPr>
          <w:rFonts w:hint="eastAsia" w:ascii="Dialog" w:hAnsi="Dialog"/>
          <w:sz w:val="32"/>
          <w:szCs w:val="24"/>
        </w:rPr>
        <w:t>委托业务费情况</w:t>
      </w:r>
    </w:p>
    <w:p w14:paraId="24FDD90A"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  <w:highlight w:val="none"/>
          <w:lang w:eastAsia="zh-CN"/>
        </w:rPr>
      </w:pPr>
      <w:r>
        <w:rPr>
          <w:rFonts w:hint="eastAsia" w:ascii="宋体" w:hAnsi="宋体" w:eastAsia="宋体"/>
          <w:sz w:val="32"/>
          <w:szCs w:val="24"/>
          <w:highlight w:val="none"/>
        </w:rPr>
        <w:t>本单位2025年本级委托业务费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sz w:val="32"/>
          <w:szCs w:val="24"/>
          <w:highlight w:val="none"/>
        </w:rPr>
        <w:t>万元，比上年预算增加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/>
          <w:sz w:val="32"/>
          <w:szCs w:val="24"/>
          <w:highlight w:val="none"/>
        </w:rPr>
        <w:t>万元，上升</w:t>
      </w:r>
      <w:r>
        <w:rPr>
          <w:rFonts w:hint="eastAsia" w:ascii="宋体" w:hAnsi="宋体"/>
          <w:sz w:val="32"/>
          <w:szCs w:val="24"/>
          <w:highlight w:val="none"/>
          <w:lang w:val="en-US" w:eastAsia="zh-CN"/>
        </w:rPr>
        <w:t>100</w:t>
      </w:r>
      <w:r>
        <w:rPr>
          <w:rFonts w:hint="eastAsia" w:ascii="宋体" w:hAnsi="宋体" w:eastAsia="宋体"/>
          <w:sz w:val="32"/>
          <w:szCs w:val="24"/>
          <w:highlight w:val="none"/>
        </w:rPr>
        <w:t>%，主要原因是</w:t>
      </w:r>
      <w:r>
        <w:rPr>
          <w:rFonts w:hint="eastAsia" w:ascii="宋体" w:hAnsi="宋体"/>
          <w:sz w:val="32"/>
          <w:szCs w:val="24"/>
          <w:highlight w:val="none"/>
          <w:lang w:eastAsia="zh-CN"/>
        </w:rPr>
        <w:t>相关业务增加。</w:t>
      </w:r>
      <w:bookmarkStart w:id="0" w:name="_GoBack"/>
      <w:bookmarkEnd w:id="0"/>
    </w:p>
    <w:p w14:paraId="43AA4675"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（五）</w:t>
      </w:r>
      <w:r>
        <w:rPr>
          <w:rFonts w:hint="eastAsia" w:ascii="Dialog" w:hAnsi="Dialog"/>
          <w:sz w:val="32"/>
          <w:szCs w:val="24"/>
        </w:rPr>
        <w:t>政府采购情况</w:t>
      </w:r>
    </w:p>
    <w:p w14:paraId="581F8BAF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</w:rPr>
        <w:t>本单位2025年政府采购预算总额</w:t>
      </w:r>
      <w:r>
        <w:rPr>
          <w:rFonts w:hint="eastAsia" w:ascii="宋体" w:hAnsi="宋体"/>
          <w:sz w:val="32"/>
          <w:szCs w:val="24"/>
          <w:lang w:val="en-US" w:eastAsia="zh-CN"/>
        </w:rPr>
        <w:t>7145.59</w:t>
      </w:r>
      <w:r>
        <w:rPr>
          <w:rFonts w:hint="eastAsia" w:ascii="宋体" w:hAnsi="宋体"/>
          <w:sz w:val="32"/>
          <w:szCs w:val="24"/>
        </w:rPr>
        <w:t>万元，其中工程类</w:t>
      </w:r>
      <w:r>
        <w:rPr>
          <w:rFonts w:hint="eastAsia" w:ascii="宋体" w:hAnsi="宋体"/>
          <w:sz w:val="32"/>
          <w:szCs w:val="24"/>
          <w:lang w:val="en-US" w:eastAsia="zh-CN"/>
        </w:rPr>
        <w:t>5564.34</w:t>
      </w:r>
      <w:r>
        <w:rPr>
          <w:rFonts w:hint="eastAsia" w:ascii="宋体" w:hAnsi="宋体"/>
          <w:sz w:val="32"/>
          <w:szCs w:val="24"/>
        </w:rPr>
        <w:t>万元，货物类</w:t>
      </w:r>
      <w:r>
        <w:rPr>
          <w:rFonts w:hint="eastAsia" w:ascii="宋体" w:hAnsi="宋体"/>
          <w:sz w:val="32"/>
          <w:szCs w:val="24"/>
          <w:lang w:val="en-US" w:eastAsia="zh-CN"/>
        </w:rPr>
        <w:t>392.25</w:t>
      </w:r>
      <w:r>
        <w:rPr>
          <w:rFonts w:hint="eastAsia" w:ascii="宋体" w:hAnsi="宋体"/>
          <w:sz w:val="32"/>
          <w:szCs w:val="24"/>
        </w:rPr>
        <w:t>万元，服务类</w:t>
      </w:r>
      <w:r>
        <w:rPr>
          <w:rFonts w:hint="eastAsia" w:ascii="宋体" w:hAnsi="宋体"/>
          <w:sz w:val="32"/>
          <w:szCs w:val="24"/>
          <w:lang w:val="en-US" w:eastAsia="zh-CN"/>
        </w:rPr>
        <w:t>1189</w:t>
      </w:r>
      <w:r>
        <w:rPr>
          <w:rFonts w:hint="eastAsia" w:ascii="宋体" w:hAnsi="宋体"/>
          <w:sz w:val="32"/>
          <w:szCs w:val="24"/>
        </w:rPr>
        <w:t>万元。</w:t>
      </w:r>
    </w:p>
    <w:p w14:paraId="6CDCE8AA"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（六）</w:t>
      </w:r>
      <w:r>
        <w:rPr>
          <w:rFonts w:hint="eastAsia" w:ascii="Dialog" w:hAnsi="Dialog"/>
          <w:sz w:val="32"/>
          <w:szCs w:val="24"/>
        </w:rPr>
        <w:t>国有资产占有使用及新增资产配置情况</w:t>
      </w:r>
    </w:p>
    <w:p w14:paraId="3EBB7803"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</w:rPr>
        <w:t>截至上年底，本单位共有车辆</w:t>
      </w:r>
      <w:r>
        <w:rPr>
          <w:rFonts w:hint="eastAsia" w:ascii="宋体" w:hAnsi="宋体"/>
          <w:sz w:val="32"/>
          <w:szCs w:val="24"/>
          <w:lang w:val="en-US" w:eastAsia="zh-CN"/>
        </w:rPr>
        <w:t>30</w:t>
      </w:r>
      <w:r>
        <w:rPr>
          <w:rFonts w:hint="eastAsia" w:ascii="宋体" w:hAnsi="宋体"/>
          <w:sz w:val="32"/>
          <w:szCs w:val="24"/>
        </w:rPr>
        <w:t>辆，其中领导干部用车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28</w:t>
      </w:r>
      <w:r>
        <w:rPr>
          <w:rFonts w:hint="eastAsia" w:ascii="宋体" w:hAnsi="宋体"/>
          <w:sz w:val="32"/>
          <w:szCs w:val="24"/>
        </w:rPr>
        <w:t>辆，其他用车</w:t>
      </w:r>
      <w:r>
        <w:rPr>
          <w:rFonts w:hint="eastAsia" w:ascii="宋体" w:hAnsi="宋体"/>
          <w:sz w:val="32"/>
          <w:szCs w:val="24"/>
          <w:lang w:val="en-US" w:eastAsia="zh-CN"/>
        </w:rPr>
        <w:t>2</w:t>
      </w:r>
      <w:r>
        <w:rPr>
          <w:rFonts w:hint="eastAsia" w:ascii="宋体" w:hAnsi="宋体"/>
          <w:sz w:val="32"/>
          <w:szCs w:val="24"/>
        </w:rPr>
        <w:t>辆。单位价值50万元以上通用设备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台，单位价值100万元以上专用设备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台。</w:t>
      </w:r>
    </w:p>
    <w:p w14:paraId="75C17743">
      <w:pPr>
        <w:numPr>
          <w:ilvl w:val="0"/>
          <w:numId w:val="0"/>
        </w:numPr>
        <w:ind w:leftChars="0" w:firstLine="640" w:firstLineChars="200"/>
        <w:rPr>
          <w:rFonts w:hint="eastAsia" w:ascii="宋体" w:hAnsi="宋体"/>
          <w:sz w:val="32"/>
          <w:szCs w:val="24"/>
        </w:rPr>
      </w:pPr>
      <w:r>
        <w:rPr>
          <w:rFonts w:hint="eastAsia" w:ascii="宋体" w:hAnsi="宋体"/>
          <w:sz w:val="32"/>
          <w:szCs w:val="24"/>
        </w:rPr>
        <w:t>2025年拟报废处置车辆</w:t>
      </w:r>
      <w:r>
        <w:rPr>
          <w:rFonts w:hint="eastAsia" w:ascii="宋体" w:hAnsi="宋体"/>
          <w:sz w:val="32"/>
          <w:szCs w:val="24"/>
          <w:lang w:val="en-US" w:eastAsia="zh-CN"/>
        </w:rPr>
        <w:t>2</w:t>
      </w:r>
      <w:r>
        <w:rPr>
          <w:rFonts w:hint="eastAsia" w:ascii="宋体" w:hAnsi="宋体"/>
          <w:sz w:val="32"/>
          <w:szCs w:val="24"/>
        </w:rPr>
        <w:t>辆，其中：报废处置领导干部用车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辆，报废处置一般公务用车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2</w:t>
      </w:r>
      <w:r>
        <w:rPr>
          <w:rFonts w:hint="eastAsia" w:ascii="宋体" w:hAnsi="宋体"/>
          <w:sz w:val="32"/>
          <w:szCs w:val="24"/>
        </w:rPr>
        <w:t>辆，报废处置其他用车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辆，报废处置单位价值50万元以上通用设备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台，报废处置单位价值100万元以上通用设备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台。拟新增配置车辆</w:t>
      </w:r>
      <w:r>
        <w:rPr>
          <w:rFonts w:hint="eastAsia" w:ascii="宋体" w:hAnsi="宋体"/>
          <w:sz w:val="32"/>
          <w:szCs w:val="24"/>
          <w:lang w:val="en-US" w:eastAsia="zh-CN"/>
        </w:rPr>
        <w:t>1</w:t>
      </w:r>
      <w:r>
        <w:rPr>
          <w:rFonts w:hint="eastAsia" w:ascii="宋体" w:hAnsi="宋体"/>
          <w:sz w:val="32"/>
          <w:szCs w:val="24"/>
        </w:rPr>
        <w:t>辆，其中领导干部用车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1</w:t>
      </w:r>
      <w:r>
        <w:rPr>
          <w:rFonts w:hint="eastAsia" w:ascii="宋体" w:hAnsi="宋体"/>
          <w:sz w:val="32"/>
          <w:szCs w:val="24"/>
        </w:rPr>
        <w:t>辆，其他用车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辆，主要用于</w:t>
      </w:r>
      <w:r>
        <w:rPr>
          <w:rFonts w:hint="eastAsia" w:ascii="宋体" w:hAnsi="宋体"/>
          <w:sz w:val="32"/>
          <w:szCs w:val="24"/>
          <w:lang w:eastAsia="zh-CN"/>
        </w:rPr>
        <w:t>运兵车车辆更新</w:t>
      </w:r>
      <w:r>
        <w:rPr>
          <w:rFonts w:hint="eastAsia" w:ascii="宋体" w:hAnsi="宋体"/>
          <w:sz w:val="32"/>
          <w:szCs w:val="24"/>
        </w:rPr>
        <w:t>，资金来源为</w:t>
      </w:r>
      <w:r>
        <w:rPr>
          <w:rFonts w:hint="eastAsia" w:ascii="宋体" w:hAnsi="宋体"/>
          <w:sz w:val="32"/>
          <w:szCs w:val="24"/>
          <w:lang w:eastAsia="zh-CN"/>
        </w:rPr>
        <w:t>非税收入</w:t>
      </w:r>
      <w:r>
        <w:rPr>
          <w:rFonts w:hint="eastAsia" w:ascii="宋体" w:hAnsi="宋体"/>
          <w:sz w:val="32"/>
          <w:szCs w:val="24"/>
        </w:rPr>
        <w:t>。</w:t>
      </w:r>
    </w:p>
    <w:p w14:paraId="45D6FC8F"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</w:rPr>
        <w:t>2025年拟新增配备领导干部用车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辆，一般公务用车</w:t>
      </w:r>
      <w:r>
        <w:rPr>
          <w:rFonts w:hint="eastAsia" w:ascii="宋体" w:hAnsi="宋体"/>
          <w:sz w:val="32"/>
          <w:szCs w:val="24"/>
          <w:lang w:val="en-US" w:eastAsia="zh-CN"/>
        </w:rPr>
        <w:t>1</w:t>
      </w:r>
      <w:r>
        <w:rPr>
          <w:rFonts w:hint="eastAsia" w:ascii="宋体" w:hAnsi="宋体"/>
          <w:sz w:val="32"/>
          <w:szCs w:val="24"/>
        </w:rPr>
        <w:t>辆，其他用车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辆，新增配备单位价值50万元以上通用设备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台，单位价值100万元以上专用设备</w:t>
      </w:r>
      <w:r>
        <w:rPr>
          <w:rFonts w:hint="eastAsia" w:ascii="宋体" w:hAnsi="宋体"/>
          <w:sz w:val="32"/>
          <w:szCs w:val="24"/>
          <w:lang w:val="en-US" w:eastAsia="zh-CN"/>
        </w:rPr>
        <w:t>0</w:t>
      </w:r>
      <w:r>
        <w:rPr>
          <w:rFonts w:hint="eastAsia" w:ascii="宋体" w:hAnsi="宋体"/>
          <w:sz w:val="32"/>
          <w:szCs w:val="24"/>
        </w:rPr>
        <w:t>台。</w:t>
      </w:r>
    </w:p>
    <w:p w14:paraId="797A56B0">
      <w:pPr>
        <w:numPr>
          <w:ilvl w:val="0"/>
          <w:numId w:val="0"/>
        </w:numPr>
        <w:ind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（七）</w:t>
      </w:r>
      <w:r>
        <w:rPr>
          <w:rFonts w:hint="eastAsia" w:ascii="Dialog" w:hAnsi="Dialog"/>
          <w:sz w:val="32"/>
          <w:szCs w:val="24"/>
        </w:rPr>
        <w:t>预算绩效目标说明</w:t>
      </w:r>
    </w:p>
    <w:p w14:paraId="3D492AD5">
      <w:pPr>
        <w:numPr>
          <w:ilvl w:val="0"/>
          <w:numId w:val="0"/>
        </w:numPr>
        <w:ind w:leftChars="0"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本单位所有支出实行绩效目标管理。纳入2025年单位整体支出绩效目标的金额为3030.23万元，其中，基本支出2680.23万元，项目支出350.00万元，详见文尾附表中单位预算公开表格的表21-22。</w:t>
      </w:r>
    </w:p>
    <w:p w14:paraId="4C6BA0F9">
      <w:pPr>
        <w:numPr>
          <w:ilvl w:val="0"/>
          <w:numId w:val="0"/>
        </w:numPr>
        <w:ind w:leftChars="0" w:firstLine="640" w:firstLineChars="200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  <w:lang w:eastAsia="zh-CN"/>
        </w:rPr>
        <w:t>七、</w:t>
      </w:r>
      <w:r>
        <w:rPr>
          <w:rFonts w:hint="eastAsia" w:ascii="Dialog" w:hAnsi="Dialog"/>
          <w:sz w:val="32"/>
          <w:szCs w:val="24"/>
        </w:rPr>
        <w:t>名词解释</w:t>
      </w:r>
    </w:p>
    <w:p w14:paraId="5528E214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val="en-US" w:eastAsia="zh-CN"/>
        </w:rPr>
        <w:t>1、</w:t>
      </w:r>
      <w:r>
        <w:rPr>
          <w:rFonts w:hint="eastAsia" w:ascii="宋体" w:hAnsi="宋体" w:eastAsia="宋体"/>
          <w:sz w:val="32"/>
          <w:szCs w:val="24"/>
        </w:rPr>
        <w:t>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0EF81AF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/>
          <w:sz w:val="32"/>
          <w:szCs w:val="24"/>
          <w:lang w:val="en-US" w:eastAsia="zh-CN"/>
        </w:rPr>
        <w:t>2、</w:t>
      </w:r>
      <w:r>
        <w:rPr>
          <w:rFonts w:hint="eastAsia" w:ascii="宋体" w:hAnsi="宋体" w:eastAsia="宋体"/>
          <w:sz w:val="32"/>
          <w:szCs w:val="24"/>
        </w:rPr>
        <w:t>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</w:r>
    </w:p>
    <w:p w14:paraId="01DC78D0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</w:p>
    <w:p w14:paraId="4084B3C3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</w:p>
    <w:p w14:paraId="260F720D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</w:p>
    <w:p w14:paraId="4E1B9CCB">
      <w:pPr>
        <w:numPr>
          <w:ilvl w:val="0"/>
          <w:numId w:val="0"/>
        </w:numPr>
        <w:ind w:firstLine="640" w:firstLineChars="200"/>
        <w:rPr>
          <w:rFonts w:hint="eastAsia" w:ascii="宋体" w:hAnsi="宋体" w:eastAsia="宋体"/>
          <w:sz w:val="32"/>
          <w:szCs w:val="24"/>
        </w:rPr>
      </w:pPr>
    </w:p>
    <w:p w14:paraId="7E351E88">
      <w:pPr>
        <w:numPr>
          <w:ilvl w:val="0"/>
          <w:numId w:val="3"/>
        </w:numPr>
        <w:ind w:left="0" w:leftChars="0" w:firstLine="0" w:firstLineChars="0"/>
        <w:jc w:val="center"/>
        <w:rPr>
          <w:rFonts w:hint="eastAsia" w:ascii="Dialog" w:hAnsi="Dialog"/>
          <w:sz w:val="32"/>
          <w:szCs w:val="24"/>
        </w:rPr>
      </w:pPr>
      <w:r>
        <w:rPr>
          <w:rFonts w:hint="eastAsia" w:ascii="Dialog" w:hAnsi="Dialog"/>
          <w:sz w:val="32"/>
          <w:szCs w:val="24"/>
        </w:rPr>
        <w:t>2025年单位预算公开表格</w:t>
      </w:r>
    </w:p>
    <w:p w14:paraId="380279B2">
      <w:pPr>
        <w:numPr>
          <w:ilvl w:val="0"/>
          <w:numId w:val="4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收支总表</w:t>
      </w:r>
    </w:p>
    <w:p w14:paraId="7172297A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收入总表</w:t>
      </w:r>
    </w:p>
    <w:p w14:paraId="0113B20B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支出总表</w:t>
      </w:r>
    </w:p>
    <w:p w14:paraId="50F3097A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支出预算分类汇总表（按政府预算经济分类）</w:t>
      </w:r>
    </w:p>
    <w:p w14:paraId="7884C883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支出预算分类汇总表（按部门预算经济分类）</w:t>
      </w:r>
    </w:p>
    <w:p w14:paraId="3D7C88A3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财政拨款收支总表</w:t>
      </w:r>
    </w:p>
    <w:p w14:paraId="072496B4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一般公共预算支出表</w:t>
      </w:r>
    </w:p>
    <w:p w14:paraId="7CE52BF0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一般公共预算基本支出表-人员经费（工资福利支出）（按政府预算经济分类）</w:t>
      </w:r>
    </w:p>
    <w:p w14:paraId="3878EA53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  <w:lang w:eastAsia="zh-CN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一般公共预算基本支出表-人员经费（工资福利支出）（按部门预算经济分类）</w:t>
      </w:r>
    </w:p>
    <w:p w14:paraId="40BDA778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一般公共预算基本支出表-人员经费（对个人和家庭的补助）（按政府预算经济分类）</w:t>
      </w:r>
    </w:p>
    <w:p w14:paraId="58756882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一般公共预算基本支出表-人员经费（对个人和家庭的补助）（按部门预算经济分类）</w:t>
      </w:r>
    </w:p>
    <w:p w14:paraId="6FF75CA8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一般公共预算基本支出表-公用经费（商品和服务支出）（按政府预算经济分类）</w:t>
      </w:r>
    </w:p>
    <w:p w14:paraId="1670E215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一般公共预算基本支出表-公用经费（商品和服务支出）（按部门预算经济分类）</w:t>
      </w:r>
    </w:p>
    <w:p w14:paraId="25BB447C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一般公共预算“三公”经费支出表</w:t>
      </w:r>
    </w:p>
    <w:p w14:paraId="79639B7C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政府性基金预算支出表</w:t>
      </w:r>
    </w:p>
    <w:p w14:paraId="03F8B027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政府性基金预算支出分类汇总表（按政府预算经济分类）</w:t>
      </w:r>
    </w:p>
    <w:p w14:paraId="54748624">
      <w:pPr>
        <w:numPr>
          <w:ilvl w:val="0"/>
          <w:numId w:val="4"/>
        </w:numPr>
        <w:ind w:left="0" w:leftChars="0" w:firstLine="0" w:firstLine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政府性基金预算支出分类汇总表（按部门预算经济分类）</w:t>
      </w:r>
    </w:p>
    <w:p w14:paraId="2BDA8DFD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18、国有资本经营预算支出表</w:t>
      </w:r>
    </w:p>
    <w:p w14:paraId="05BFE81A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19、财政专户管理资金预算支出表</w:t>
      </w:r>
    </w:p>
    <w:p w14:paraId="6F3DC90F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20、专项资金预算汇总表</w:t>
      </w:r>
    </w:p>
    <w:p w14:paraId="17C7DFEB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21、项目支出绩效目标表</w:t>
      </w:r>
    </w:p>
    <w:p w14:paraId="7E25DD4D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22、单位整体支出绩效目标表</w:t>
      </w:r>
    </w:p>
    <w:p w14:paraId="60E563CB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</w:rPr>
      </w:pPr>
      <w:r>
        <w:rPr>
          <w:rFonts w:hint="eastAsia" w:ascii="宋体" w:hAnsi="宋体" w:eastAsia="宋体"/>
          <w:sz w:val="32"/>
          <w:szCs w:val="24"/>
        </w:rPr>
        <w:t>23、一般公共预算基本支出表</w:t>
      </w:r>
    </w:p>
    <w:p w14:paraId="6228296E">
      <w:pPr>
        <w:numPr>
          <w:ilvl w:val="0"/>
          <w:numId w:val="0"/>
        </w:numPr>
        <w:ind w:leftChars="0"/>
        <w:rPr>
          <w:rFonts w:hint="eastAsia" w:ascii="宋体" w:hAnsi="宋体" w:eastAsia="宋体"/>
          <w:sz w:val="32"/>
          <w:szCs w:val="24"/>
          <w:lang w:eastAsia="zh-CN"/>
        </w:rPr>
      </w:pPr>
      <w:r>
        <w:rPr>
          <w:rFonts w:hint="eastAsia" w:ascii="宋体" w:hAnsi="宋体" w:eastAsia="宋体"/>
          <w:b/>
          <w:color w:val="FF0000"/>
          <w:sz w:val="32"/>
          <w:szCs w:val="24"/>
        </w:rPr>
        <w:t>注：以上单位预算公开报表中，空表表示本单位无相关收支情况。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Dialog">
    <w:altName w:val="Times New Roman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1ADA85"/>
    <w:multiLevelType w:val="singleLevel"/>
    <w:tmpl w:val="8D1ADA8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16C4576"/>
    <w:multiLevelType w:val="singleLevel"/>
    <w:tmpl w:val="B16C4576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E40C986F"/>
    <w:multiLevelType w:val="singleLevel"/>
    <w:tmpl w:val="E40C986F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3">
    <w:nsid w:val="096C9962"/>
    <w:multiLevelType w:val="singleLevel"/>
    <w:tmpl w:val="096C996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73EFC"/>
    <w:rsid w:val="07C224DB"/>
    <w:rsid w:val="0CBC662D"/>
    <w:rsid w:val="16291B8F"/>
    <w:rsid w:val="1AF47261"/>
    <w:rsid w:val="20B87907"/>
    <w:rsid w:val="276C5114"/>
    <w:rsid w:val="3122473F"/>
    <w:rsid w:val="319F6A34"/>
    <w:rsid w:val="329B3CED"/>
    <w:rsid w:val="45AC718B"/>
    <w:rsid w:val="4EA9168A"/>
    <w:rsid w:val="54E62E5D"/>
    <w:rsid w:val="5D692BAA"/>
    <w:rsid w:val="5E873EFC"/>
    <w:rsid w:val="5E9358C1"/>
    <w:rsid w:val="671C3E03"/>
    <w:rsid w:val="69611618"/>
    <w:rsid w:val="7B81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color w:val="000000"/>
      <w:sz w:val="24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3569</Words>
  <Characters>3924</Characters>
  <Lines>0</Lines>
  <Paragraphs>0</Paragraphs>
  <TotalTime>1</TotalTime>
  <ScaleCrop>false</ScaleCrop>
  <LinksUpToDate>false</LinksUpToDate>
  <CharactersWithSpaces>3959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2026-04-14T01:07:00Z</dcterms:created>
  <dc:creator>Administrator</dc:creator>
  <cp:lastModifiedBy>Administrator</cp:lastModifiedBy>
  <dcterms:modified xsi:type="dcterms:W3CDTF">2026-04-17T03:12:42Z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7DAABD5A6D6449DAB78F885084D07BE8_11</vt:lpwstr>
  </property>
  <property fmtid="{D5CDD505-2E9C-101B-9397-08002B2CF9AE}" pid="4" name="KSOTemplateDocerSaveRecord">
    <vt:lpwstr>eyJoZGlkIjoiOTZlYjhhYjE1MTNlYjg0MTJlMzgxN2U1NjI5NTliNzUifQ==</vt:lpwstr>
  </property>
</Properties>
</file>