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6FEB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4FF695D">
            <w:pPr>
              <w:spacing w:line="1110" w:lineRule="exact"/>
              <w:ind w:left="20"/>
              <w:jc w:val="center"/>
              <w:rPr>
                <w:rFonts w:hint="eastAsia" w:ascii="微软雅黑" w:hAnsi="微软雅黑" w:eastAsia="微软雅黑"/>
                <w:b/>
                <w:sz w:val="84"/>
                <w:szCs w:val="24"/>
              </w:rPr>
            </w:pPr>
            <w:r>
              <w:rPr>
                <w:rFonts w:hint="eastAsia" w:ascii="微软雅黑" w:hAnsi="微软雅黑" w:eastAsia="微软雅黑"/>
                <w:b/>
                <w:sz w:val="84"/>
                <w:szCs w:val="24"/>
              </w:rPr>
              <w:t>岳阳市社会科学界联合会2025年度</w:t>
            </w:r>
          </w:p>
          <w:p w14:paraId="7602F2CC">
            <w:pPr>
              <w:spacing w:line="1110" w:lineRule="exact"/>
              <w:ind w:left="20"/>
              <w:jc w:val="center"/>
              <w:rPr>
                <w:rFonts w:hint="eastAsia" w:ascii="微软雅黑" w:hAnsi="微软雅黑" w:eastAsia="微软雅黑"/>
                <w:sz w:val="84"/>
                <w:szCs w:val="24"/>
              </w:rPr>
            </w:pPr>
            <w:r>
              <w:rPr>
                <w:rFonts w:hint="eastAsia" w:ascii="微软雅黑" w:hAnsi="微软雅黑" w:eastAsia="微软雅黑"/>
                <w:b/>
                <w:sz w:val="84"/>
                <w:szCs w:val="24"/>
              </w:rPr>
              <w:t>部门预算</w:t>
            </w:r>
          </w:p>
        </w:tc>
      </w:tr>
      <w:tr w14:paraId="4A30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C45D28C">
            <w:pPr>
              <w:spacing w:line="525" w:lineRule="exact"/>
              <w:ind w:left="20"/>
              <w:jc w:val="center"/>
              <w:rPr>
                <w:rFonts w:hint="eastAsia" w:ascii="Dialog" w:hAnsi="Dialog"/>
                <w:sz w:val="44"/>
                <w:szCs w:val="24"/>
              </w:rPr>
            </w:pPr>
            <w:r>
              <w:rPr>
                <w:rFonts w:hint="eastAsia" w:ascii="Dialog" w:hAnsi="Dialog"/>
                <w:sz w:val="44"/>
                <w:szCs w:val="24"/>
              </w:rPr>
              <w:t>目录</w:t>
            </w:r>
          </w:p>
        </w:tc>
      </w:tr>
      <w:tr w14:paraId="7B98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86B6D56">
            <w:pPr>
              <w:rPr>
                <w:rFonts w:hint="default"/>
                <w:sz w:val="24"/>
                <w:szCs w:val="24"/>
              </w:rPr>
            </w:pPr>
          </w:p>
        </w:tc>
      </w:tr>
      <w:tr w14:paraId="5A73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E4E008">
            <w:pPr>
              <w:spacing w:line="375" w:lineRule="exact"/>
              <w:ind w:left="20"/>
              <w:rPr>
                <w:rFonts w:hint="eastAsia" w:ascii="Dialog" w:hAnsi="Dialog"/>
                <w:sz w:val="32"/>
                <w:szCs w:val="24"/>
              </w:rPr>
            </w:pPr>
            <w:r>
              <w:rPr>
                <w:rFonts w:hint="eastAsia" w:ascii="Dialog" w:hAnsi="Dialog"/>
                <w:sz w:val="32"/>
                <w:szCs w:val="24"/>
              </w:rPr>
              <w:t>第一部分  2025年部门预算说明</w:t>
            </w:r>
          </w:p>
        </w:tc>
      </w:tr>
      <w:tr w14:paraId="4CC5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0EF131">
            <w:pPr>
              <w:spacing w:line="375" w:lineRule="exact"/>
              <w:ind w:left="20"/>
              <w:rPr>
                <w:rFonts w:hint="eastAsia" w:ascii="Dialog" w:hAnsi="Dialog"/>
                <w:sz w:val="32"/>
                <w:szCs w:val="24"/>
              </w:rPr>
            </w:pPr>
            <w:r>
              <w:rPr>
                <w:rFonts w:hint="eastAsia" w:ascii="Dialog" w:hAnsi="Dialog"/>
                <w:sz w:val="32"/>
                <w:szCs w:val="24"/>
              </w:rPr>
              <w:t>第二部分  2025年部门预算公开表格</w:t>
            </w:r>
          </w:p>
        </w:tc>
      </w:tr>
      <w:tr w14:paraId="0DDF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92E20DD">
            <w:pPr>
              <w:spacing w:line="375" w:lineRule="exact"/>
              <w:ind w:left="20"/>
              <w:rPr>
                <w:rFonts w:hint="eastAsia" w:ascii="Dialog" w:hAnsi="Dialog"/>
                <w:sz w:val="32"/>
                <w:szCs w:val="24"/>
              </w:rPr>
            </w:pPr>
            <w:r>
              <w:rPr>
                <w:rFonts w:hint="eastAsia" w:ascii="Dialog" w:hAnsi="Dialog"/>
                <w:sz w:val="32"/>
                <w:szCs w:val="24"/>
              </w:rPr>
              <w:t>1、收支总表</w:t>
            </w:r>
          </w:p>
        </w:tc>
      </w:tr>
      <w:tr w14:paraId="1EC7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3121AA">
            <w:pPr>
              <w:spacing w:line="375" w:lineRule="exact"/>
              <w:ind w:left="20"/>
              <w:rPr>
                <w:rFonts w:hint="eastAsia" w:ascii="Dialog" w:hAnsi="Dialog"/>
                <w:sz w:val="32"/>
                <w:szCs w:val="24"/>
              </w:rPr>
            </w:pPr>
            <w:r>
              <w:rPr>
                <w:rFonts w:hint="eastAsia" w:ascii="Dialog" w:hAnsi="Dialog"/>
                <w:sz w:val="32"/>
                <w:szCs w:val="24"/>
              </w:rPr>
              <w:t>2、收入总表</w:t>
            </w:r>
          </w:p>
        </w:tc>
      </w:tr>
      <w:tr w14:paraId="4D36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B65644F">
            <w:pPr>
              <w:spacing w:line="375" w:lineRule="exact"/>
              <w:ind w:left="20"/>
              <w:rPr>
                <w:rFonts w:hint="eastAsia" w:ascii="Dialog" w:hAnsi="Dialog"/>
                <w:sz w:val="32"/>
                <w:szCs w:val="24"/>
              </w:rPr>
            </w:pPr>
            <w:r>
              <w:rPr>
                <w:rFonts w:hint="eastAsia" w:ascii="Dialog" w:hAnsi="Dialog"/>
                <w:sz w:val="32"/>
                <w:szCs w:val="24"/>
              </w:rPr>
              <w:t>3、支出总表</w:t>
            </w:r>
          </w:p>
        </w:tc>
      </w:tr>
      <w:tr w14:paraId="4115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BA867C6">
            <w:pPr>
              <w:spacing w:line="375" w:lineRule="exact"/>
              <w:ind w:left="20"/>
              <w:rPr>
                <w:rFonts w:hint="eastAsia" w:ascii="Dialog" w:hAnsi="Dialog"/>
                <w:sz w:val="32"/>
                <w:szCs w:val="24"/>
              </w:rPr>
            </w:pPr>
            <w:r>
              <w:rPr>
                <w:rFonts w:hint="eastAsia" w:ascii="Dialog" w:hAnsi="Dialog"/>
                <w:sz w:val="32"/>
                <w:szCs w:val="24"/>
              </w:rPr>
              <w:t>4、支出预算分类汇总表（按政府预算经济分类）</w:t>
            </w:r>
          </w:p>
        </w:tc>
      </w:tr>
      <w:tr w14:paraId="5B6B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77949D0">
            <w:pPr>
              <w:spacing w:line="375" w:lineRule="exact"/>
              <w:ind w:left="20"/>
              <w:rPr>
                <w:rFonts w:hint="eastAsia" w:ascii="Dialog" w:hAnsi="Dialog"/>
                <w:sz w:val="32"/>
                <w:szCs w:val="24"/>
              </w:rPr>
            </w:pPr>
            <w:r>
              <w:rPr>
                <w:rFonts w:hint="eastAsia" w:ascii="Dialog" w:hAnsi="Dialog"/>
                <w:sz w:val="32"/>
                <w:szCs w:val="24"/>
              </w:rPr>
              <w:t>5、支出预算分类汇总表（按部门预算经济分类）</w:t>
            </w:r>
          </w:p>
        </w:tc>
      </w:tr>
      <w:tr w14:paraId="4A1F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3A4BEF">
            <w:pPr>
              <w:spacing w:line="375" w:lineRule="exact"/>
              <w:ind w:left="20"/>
              <w:rPr>
                <w:rFonts w:hint="eastAsia" w:ascii="Dialog" w:hAnsi="Dialog"/>
                <w:sz w:val="32"/>
                <w:szCs w:val="24"/>
              </w:rPr>
            </w:pPr>
            <w:r>
              <w:rPr>
                <w:rFonts w:hint="eastAsia" w:ascii="Dialog" w:hAnsi="Dialog"/>
                <w:sz w:val="32"/>
                <w:szCs w:val="24"/>
              </w:rPr>
              <w:t>6、财政拨款收支总表</w:t>
            </w:r>
          </w:p>
        </w:tc>
      </w:tr>
      <w:tr w14:paraId="37D6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1CCCE82">
            <w:pPr>
              <w:spacing w:line="375" w:lineRule="exact"/>
              <w:ind w:left="20"/>
              <w:rPr>
                <w:rFonts w:hint="eastAsia" w:ascii="Dialog" w:hAnsi="Dialog"/>
                <w:sz w:val="32"/>
                <w:szCs w:val="24"/>
              </w:rPr>
            </w:pPr>
            <w:r>
              <w:rPr>
                <w:rFonts w:hint="eastAsia" w:ascii="Dialog" w:hAnsi="Dialog"/>
                <w:sz w:val="32"/>
                <w:szCs w:val="24"/>
              </w:rPr>
              <w:t>7、一般公共预算支出表</w:t>
            </w:r>
          </w:p>
        </w:tc>
      </w:tr>
      <w:tr w14:paraId="53A1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02E6DF">
            <w:pPr>
              <w:spacing w:line="375" w:lineRule="exact"/>
              <w:ind w:left="20"/>
              <w:rPr>
                <w:rFonts w:hint="eastAsia" w:ascii="Dialog" w:hAnsi="Dialog"/>
                <w:sz w:val="32"/>
                <w:szCs w:val="24"/>
              </w:rPr>
            </w:pPr>
            <w:r>
              <w:rPr>
                <w:rFonts w:hint="eastAsia" w:ascii="Dialog" w:hAnsi="Dialog"/>
                <w:sz w:val="32"/>
                <w:szCs w:val="24"/>
              </w:rPr>
              <w:t>8、一般公共预算基本支出表-人员经费（工资福利支出）（按政府预算经济分类）</w:t>
            </w:r>
          </w:p>
        </w:tc>
      </w:tr>
      <w:tr w14:paraId="6D99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60FFDF4">
            <w:pPr>
              <w:spacing w:line="375" w:lineRule="exact"/>
              <w:ind w:left="20"/>
              <w:rPr>
                <w:rFonts w:hint="eastAsia" w:ascii="Dialog" w:hAnsi="Dialog"/>
                <w:sz w:val="32"/>
                <w:szCs w:val="24"/>
              </w:rPr>
            </w:pPr>
            <w:r>
              <w:rPr>
                <w:rFonts w:hint="eastAsia" w:ascii="Dialog" w:hAnsi="Dialog"/>
                <w:sz w:val="32"/>
                <w:szCs w:val="24"/>
              </w:rPr>
              <w:t>9、一般公共预算基本支出表-人员经费（工资福利支出）（按部门预算经济分类）</w:t>
            </w:r>
          </w:p>
        </w:tc>
      </w:tr>
      <w:tr w14:paraId="1172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7E3A9D">
            <w:pPr>
              <w:spacing w:line="375" w:lineRule="exact"/>
              <w:ind w:left="20"/>
              <w:rPr>
                <w:rFonts w:hint="eastAsia" w:ascii="Dialog" w:hAnsi="Dialog"/>
                <w:sz w:val="32"/>
                <w:szCs w:val="24"/>
              </w:rPr>
            </w:pPr>
            <w:r>
              <w:rPr>
                <w:rFonts w:hint="eastAsia" w:ascii="Dialog" w:hAnsi="Dialog"/>
                <w:sz w:val="32"/>
                <w:szCs w:val="24"/>
              </w:rPr>
              <w:t>10、一般公共预算基本支出表-人员经费（对个人和家庭的补助）（按政府预算经济分类）</w:t>
            </w:r>
          </w:p>
        </w:tc>
      </w:tr>
      <w:tr w14:paraId="6C57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1EA64F9">
            <w:pPr>
              <w:spacing w:line="375" w:lineRule="exact"/>
              <w:ind w:left="20"/>
              <w:rPr>
                <w:rFonts w:hint="eastAsia" w:ascii="Dialog" w:hAnsi="Dialog"/>
                <w:sz w:val="32"/>
                <w:szCs w:val="24"/>
              </w:rPr>
            </w:pPr>
            <w:r>
              <w:rPr>
                <w:rFonts w:hint="eastAsia" w:ascii="Dialog" w:hAnsi="Dialog"/>
                <w:sz w:val="32"/>
                <w:szCs w:val="24"/>
              </w:rPr>
              <w:t>11、一般公共预算基本支出表-人员经费（对个人和家庭的补助）（按部门预算经济分类）</w:t>
            </w:r>
          </w:p>
        </w:tc>
      </w:tr>
      <w:tr w14:paraId="6C32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A1B02D7">
            <w:pPr>
              <w:spacing w:line="375" w:lineRule="exact"/>
              <w:ind w:left="20"/>
              <w:rPr>
                <w:rFonts w:hint="eastAsia" w:ascii="Dialog" w:hAnsi="Dialog"/>
                <w:sz w:val="32"/>
                <w:szCs w:val="24"/>
              </w:rPr>
            </w:pPr>
            <w:r>
              <w:rPr>
                <w:rFonts w:hint="eastAsia" w:ascii="Dialog" w:hAnsi="Dialog"/>
                <w:sz w:val="32"/>
                <w:szCs w:val="24"/>
              </w:rPr>
              <w:t>12、一般公共预算基本支出表-公用经费（商品和服务支出）（按政府预算经济分类）</w:t>
            </w:r>
          </w:p>
        </w:tc>
      </w:tr>
      <w:tr w14:paraId="51FD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FAF756">
            <w:pPr>
              <w:spacing w:line="375" w:lineRule="exact"/>
              <w:ind w:left="20"/>
              <w:rPr>
                <w:rFonts w:hint="eastAsia" w:ascii="Dialog" w:hAnsi="Dialog"/>
                <w:sz w:val="32"/>
                <w:szCs w:val="24"/>
              </w:rPr>
            </w:pPr>
            <w:r>
              <w:rPr>
                <w:rFonts w:hint="eastAsia" w:ascii="Dialog" w:hAnsi="Dialog"/>
                <w:sz w:val="32"/>
                <w:szCs w:val="24"/>
              </w:rPr>
              <w:t>13、一般公共预算基本支出表-公用经费（商品和服务支出）（按部门预算经济分类）</w:t>
            </w:r>
          </w:p>
        </w:tc>
      </w:tr>
      <w:tr w14:paraId="2538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9120F64">
            <w:pPr>
              <w:spacing w:line="375" w:lineRule="exact"/>
              <w:ind w:left="20"/>
              <w:rPr>
                <w:rFonts w:hint="eastAsia" w:ascii="Dialog" w:hAnsi="Dialog"/>
                <w:sz w:val="32"/>
                <w:szCs w:val="24"/>
              </w:rPr>
            </w:pPr>
            <w:r>
              <w:rPr>
                <w:rFonts w:hint="eastAsia" w:ascii="Dialog" w:hAnsi="Dialog"/>
                <w:sz w:val="32"/>
                <w:szCs w:val="24"/>
              </w:rPr>
              <w:t>14、一般公共预算“三公”经费支出表</w:t>
            </w:r>
          </w:p>
        </w:tc>
      </w:tr>
      <w:tr w14:paraId="799A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A7D6037">
            <w:pPr>
              <w:spacing w:line="375" w:lineRule="exact"/>
              <w:ind w:left="20"/>
              <w:rPr>
                <w:rFonts w:hint="eastAsia" w:ascii="Dialog" w:hAnsi="Dialog"/>
                <w:sz w:val="32"/>
                <w:szCs w:val="24"/>
              </w:rPr>
            </w:pPr>
            <w:r>
              <w:rPr>
                <w:rFonts w:hint="eastAsia" w:ascii="Dialog" w:hAnsi="Dialog"/>
                <w:sz w:val="32"/>
                <w:szCs w:val="24"/>
              </w:rPr>
              <w:t>15、政府性基金预算支出表</w:t>
            </w:r>
          </w:p>
        </w:tc>
      </w:tr>
      <w:tr w14:paraId="6BC3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0F8549B">
            <w:pPr>
              <w:spacing w:line="375" w:lineRule="exact"/>
              <w:ind w:left="20"/>
              <w:rPr>
                <w:rFonts w:hint="eastAsia" w:ascii="Dialog" w:hAnsi="Dialog"/>
                <w:sz w:val="32"/>
                <w:szCs w:val="24"/>
              </w:rPr>
            </w:pPr>
            <w:r>
              <w:rPr>
                <w:rFonts w:hint="eastAsia" w:ascii="Dialog" w:hAnsi="Dialog"/>
                <w:sz w:val="32"/>
                <w:szCs w:val="24"/>
              </w:rPr>
              <w:t>16、政府性基金预算支出分类汇总表（按政府预算经济分类）</w:t>
            </w:r>
          </w:p>
        </w:tc>
      </w:tr>
      <w:tr w14:paraId="0FFB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BBF1C0E">
            <w:pPr>
              <w:spacing w:line="375" w:lineRule="exact"/>
              <w:ind w:left="20"/>
              <w:rPr>
                <w:rFonts w:hint="eastAsia" w:ascii="Dialog" w:hAnsi="Dialog"/>
                <w:sz w:val="32"/>
                <w:szCs w:val="24"/>
              </w:rPr>
            </w:pPr>
            <w:r>
              <w:rPr>
                <w:rFonts w:hint="eastAsia" w:ascii="Dialog" w:hAnsi="Dialog"/>
                <w:sz w:val="32"/>
                <w:szCs w:val="24"/>
              </w:rPr>
              <w:t>17、政府性基金预算支出分类汇总表（按部门预算经济分类）</w:t>
            </w:r>
          </w:p>
        </w:tc>
      </w:tr>
      <w:tr w14:paraId="5858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0125395">
            <w:pPr>
              <w:spacing w:line="375" w:lineRule="exact"/>
              <w:ind w:left="20"/>
              <w:rPr>
                <w:rFonts w:hint="eastAsia" w:ascii="Dialog" w:hAnsi="Dialog"/>
                <w:sz w:val="32"/>
                <w:szCs w:val="24"/>
              </w:rPr>
            </w:pPr>
            <w:r>
              <w:rPr>
                <w:rFonts w:hint="eastAsia" w:ascii="Dialog" w:hAnsi="Dialog"/>
                <w:sz w:val="32"/>
                <w:szCs w:val="24"/>
              </w:rPr>
              <w:t>18、国有资本经营预算支出表</w:t>
            </w:r>
          </w:p>
        </w:tc>
      </w:tr>
      <w:tr w14:paraId="7F81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ADB094">
            <w:pPr>
              <w:spacing w:line="375" w:lineRule="exact"/>
              <w:ind w:left="20"/>
              <w:rPr>
                <w:rFonts w:hint="eastAsia" w:ascii="Dialog" w:hAnsi="Dialog"/>
                <w:sz w:val="32"/>
                <w:szCs w:val="24"/>
              </w:rPr>
            </w:pPr>
            <w:r>
              <w:rPr>
                <w:rFonts w:hint="eastAsia" w:ascii="Dialog" w:hAnsi="Dialog"/>
                <w:sz w:val="32"/>
                <w:szCs w:val="24"/>
              </w:rPr>
              <w:t>19、财政专户管理资金预算支出表</w:t>
            </w:r>
          </w:p>
        </w:tc>
      </w:tr>
      <w:tr w14:paraId="76CB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8E8D12D">
            <w:pPr>
              <w:spacing w:line="375" w:lineRule="exact"/>
              <w:ind w:left="20"/>
              <w:rPr>
                <w:rFonts w:hint="eastAsia" w:ascii="Dialog" w:hAnsi="Dialog"/>
                <w:sz w:val="32"/>
                <w:szCs w:val="24"/>
              </w:rPr>
            </w:pPr>
            <w:r>
              <w:rPr>
                <w:rFonts w:hint="eastAsia" w:ascii="Dialog" w:hAnsi="Dialog"/>
                <w:sz w:val="32"/>
                <w:szCs w:val="24"/>
              </w:rPr>
              <w:t>20、专项资金预算汇总表</w:t>
            </w:r>
          </w:p>
        </w:tc>
      </w:tr>
      <w:tr w14:paraId="5651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DD312FE">
            <w:pPr>
              <w:spacing w:line="375" w:lineRule="exact"/>
              <w:ind w:left="20"/>
              <w:rPr>
                <w:rFonts w:hint="eastAsia" w:ascii="Dialog" w:hAnsi="Dialog"/>
                <w:sz w:val="32"/>
                <w:szCs w:val="24"/>
              </w:rPr>
            </w:pPr>
            <w:r>
              <w:rPr>
                <w:rFonts w:hint="eastAsia" w:ascii="Dialog" w:hAnsi="Dialog"/>
                <w:sz w:val="32"/>
                <w:szCs w:val="24"/>
              </w:rPr>
              <w:t>21、项目支出绩效目标表</w:t>
            </w:r>
          </w:p>
        </w:tc>
      </w:tr>
      <w:tr w14:paraId="016C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6CCA2F0">
            <w:pPr>
              <w:spacing w:line="375" w:lineRule="exact"/>
              <w:ind w:left="20"/>
              <w:rPr>
                <w:rFonts w:hint="eastAsia" w:ascii="Dialog" w:hAnsi="Dialog"/>
                <w:sz w:val="32"/>
                <w:szCs w:val="24"/>
              </w:rPr>
            </w:pPr>
            <w:r>
              <w:rPr>
                <w:rFonts w:hint="eastAsia" w:ascii="Dialog" w:hAnsi="Dialog"/>
                <w:sz w:val="32"/>
                <w:szCs w:val="24"/>
              </w:rPr>
              <w:t>22、部门整体支出绩效目标表</w:t>
            </w:r>
          </w:p>
        </w:tc>
      </w:tr>
      <w:tr w14:paraId="2989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B146735">
            <w:pPr>
              <w:spacing w:line="375" w:lineRule="exact"/>
              <w:ind w:left="20"/>
              <w:rPr>
                <w:rFonts w:hint="eastAsia" w:ascii="Dialog" w:hAnsi="Dialog"/>
                <w:sz w:val="32"/>
                <w:szCs w:val="24"/>
              </w:rPr>
            </w:pPr>
            <w:r>
              <w:rPr>
                <w:rFonts w:hint="eastAsia" w:ascii="Dialog" w:hAnsi="Dialog"/>
                <w:sz w:val="32"/>
                <w:szCs w:val="24"/>
              </w:rPr>
              <w:t>23、一般公共预算基本支出表</w:t>
            </w:r>
          </w:p>
        </w:tc>
      </w:tr>
      <w:tr w14:paraId="01D1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E3F70D">
            <w:pPr>
              <w:spacing w:line="375" w:lineRule="exact"/>
              <w:ind w:left="20"/>
              <w:rPr>
                <w:rFonts w:hint="eastAsia" w:ascii="Dialog" w:hAnsi="Dialog"/>
                <w:color w:val="FF0000"/>
                <w:sz w:val="32"/>
                <w:szCs w:val="24"/>
              </w:rPr>
            </w:pPr>
            <w:r>
              <w:rPr>
                <w:rFonts w:hint="eastAsia" w:ascii="Dialog" w:hAnsi="Dialog"/>
                <w:color w:val="FF0000"/>
                <w:sz w:val="32"/>
                <w:szCs w:val="24"/>
              </w:rPr>
              <w:t>注：以上部门预算公开报表中，空表表示本部门无相关收支情况。</w:t>
            </w:r>
          </w:p>
        </w:tc>
      </w:tr>
      <w:tr w14:paraId="671B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D439FE7">
            <w:pPr>
              <w:rPr>
                <w:rFonts w:hint="default"/>
                <w:sz w:val="24"/>
                <w:szCs w:val="24"/>
              </w:rPr>
            </w:pPr>
          </w:p>
        </w:tc>
      </w:tr>
      <w:tr w14:paraId="7CB5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52975A6">
            <w:pPr>
              <w:rPr>
                <w:rFonts w:hint="default"/>
                <w:sz w:val="24"/>
                <w:szCs w:val="24"/>
              </w:rPr>
            </w:pPr>
          </w:p>
        </w:tc>
      </w:tr>
      <w:tr w14:paraId="6705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B0E6D4">
            <w:pPr>
              <w:spacing w:line="375" w:lineRule="exact"/>
              <w:ind w:left="20"/>
              <w:jc w:val="center"/>
              <w:rPr>
                <w:rFonts w:hint="eastAsia" w:ascii="Dialog" w:hAnsi="Dialog"/>
                <w:sz w:val="32"/>
                <w:szCs w:val="24"/>
              </w:rPr>
            </w:pPr>
            <w:r>
              <w:rPr>
                <w:rFonts w:hint="eastAsia" w:ascii="Dialog" w:hAnsi="Dialog"/>
                <w:sz w:val="32"/>
                <w:szCs w:val="24"/>
              </w:rPr>
              <w:t>第一部分  2025年部门预算说明</w:t>
            </w:r>
          </w:p>
        </w:tc>
      </w:tr>
      <w:tr w14:paraId="0744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707D715">
            <w:pPr>
              <w:rPr>
                <w:rFonts w:hint="default"/>
                <w:sz w:val="24"/>
                <w:szCs w:val="24"/>
              </w:rPr>
            </w:pPr>
          </w:p>
        </w:tc>
      </w:tr>
      <w:tr w14:paraId="5BA6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AA61AC2">
            <w:pPr>
              <w:spacing w:line="375" w:lineRule="exact"/>
              <w:ind w:left="20"/>
              <w:rPr>
                <w:rFonts w:hint="eastAsia" w:ascii="Dialog" w:hAnsi="Dialog"/>
                <w:sz w:val="32"/>
                <w:szCs w:val="24"/>
              </w:rPr>
            </w:pPr>
            <w:r>
              <w:rPr>
                <w:rFonts w:hint="eastAsia" w:ascii="Dialog" w:hAnsi="Dialog"/>
                <w:sz w:val="32"/>
                <w:szCs w:val="24"/>
              </w:rPr>
              <w:t xml:space="preserve">  一、部门基本概况</w:t>
            </w:r>
          </w:p>
        </w:tc>
      </w:tr>
      <w:tr w14:paraId="2881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B424A3">
            <w:pPr>
              <w:spacing w:line="375" w:lineRule="exact"/>
              <w:ind w:left="20"/>
              <w:rPr>
                <w:rFonts w:hint="eastAsia" w:ascii="宋体" w:hAnsi="宋体"/>
                <w:sz w:val="32"/>
                <w:szCs w:val="24"/>
              </w:rPr>
            </w:pPr>
            <w:r>
              <w:rPr>
                <w:rFonts w:hint="eastAsia" w:ascii="宋体" w:hAnsi="宋体"/>
                <w:sz w:val="32"/>
                <w:szCs w:val="24"/>
              </w:rPr>
              <w:t xml:space="preserve">  （一）职能职责</w:t>
            </w:r>
          </w:p>
        </w:tc>
      </w:tr>
      <w:tr w14:paraId="7DC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F007571">
            <w:pPr>
              <w:spacing w:line="375" w:lineRule="exact"/>
              <w:ind w:left="20"/>
              <w:rPr>
                <w:rFonts w:hint="eastAsia" w:ascii="宋体" w:hAnsi="宋体"/>
                <w:sz w:val="32"/>
                <w:szCs w:val="24"/>
                <w:lang w:val="en-US" w:eastAsia="zh-CN"/>
              </w:rPr>
            </w:pPr>
            <w:r>
              <w:rPr>
                <w:rFonts w:hint="eastAsia" w:ascii="宋体" w:hAnsi="宋体"/>
                <w:sz w:val="32"/>
                <w:szCs w:val="24"/>
              </w:rPr>
              <w:t xml:space="preserve"> </w:t>
            </w:r>
            <w:r>
              <w:rPr>
                <w:rFonts w:hint="eastAsia" w:ascii="宋体" w:hAnsi="宋体"/>
                <w:sz w:val="32"/>
                <w:szCs w:val="24"/>
                <w:lang w:val="en-US" w:eastAsia="zh-CN"/>
              </w:rPr>
              <w:t xml:space="preserve">  1.团结、引领全市社科界以及各社科类社会组织同党中央在思想上、政治上、行动上保持高度一致，引领广大社科工作者听党话、跟党走。</w:t>
            </w:r>
          </w:p>
          <w:p w14:paraId="15D39826">
            <w:pPr>
              <w:spacing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2.贯彻落实党和政府关于社科工作方针政策、重要决策部署，组织制定和实施全市社会科学发展规划，组织召开全市社会科学界联合会代表大会、全体委员会议；组织召开全市社科界的工作和学术研讨会议。</w:t>
            </w:r>
          </w:p>
          <w:p w14:paraId="5C653267">
            <w:pPr>
              <w:spacing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3.领导和协调全市社科类社会组织的工作，负责全市社科类社会组织的组织管理和业务管理，负责全市社科类社会组织的党建工作和意识形态工作，指导全市各县市区社科联和高校、企业社科联的工作。</w:t>
            </w:r>
          </w:p>
          <w:p w14:paraId="30089AE3">
            <w:pPr>
              <w:spacing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4.组织和开展各类社会科学研究和学术活动，参与和组织中央、省、市级重大课题攻关，组织全市社科课题立项、评审工作，促进社会科学研究成果的转化，为党和政府提供决策参考咨询，为经济社会发展服务。</w:t>
            </w:r>
          </w:p>
          <w:p w14:paraId="21BE8D5A">
            <w:pPr>
              <w:spacing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5.组织和推动中央、省、市重要政策理论、社会科学知识的宣传、普及和咨询服务，推广建设、考核评估、管理国家、省、市级社科普及基地，提升全社会人文科学素质。</w:t>
            </w:r>
          </w:p>
          <w:p w14:paraId="31980527">
            <w:pPr>
              <w:spacing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6.组织和开展社会科学优秀成果评奖、社科应用研究成果转化评奖，优秀社会科学专家、优秀青年社会科学专家等优秀社会科学工作人才的评奖；负责岳阳智库建设、管理和服务工作，充分发挥智库专家思想库和智囊团的作用。</w:t>
            </w:r>
          </w:p>
          <w:p w14:paraId="4218D827">
            <w:pPr>
              <w:spacing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7.组织和推动社会科学界和自然科学界之间的联系和学术交流协作攻关。</w:t>
            </w:r>
          </w:p>
          <w:p w14:paraId="1B308992">
            <w:pPr>
              <w:spacing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8.协助有关部门加强社会科学队伍建设，关心和维护社会科学工作者的合法权益，及时反映他们的意见和要求。</w:t>
            </w:r>
          </w:p>
          <w:p w14:paraId="074A08AB">
            <w:pPr>
              <w:spacing w:line="375" w:lineRule="exact"/>
              <w:ind w:left="20" w:firstLine="640" w:firstLineChars="200"/>
              <w:rPr>
                <w:rFonts w:hint="eastAsia" w:ascii="宋体" w:hAnsi="宋体"/>
                <w:sz w:val="32"/>
                <w:szCs w:val="24"/>
              </w:rPr>
            </w:pPr>
            <w:r>
              <w:rPr>
                <w:rFonts w:hint="eastAsia" w:ascii="宋体" w:hAnsi="宋体"/>
                <w:sz w:val="32"/>
                <w:szCs w:val="24"/>
                <w:lang w:val="en-US" w:eastAsia="zh-CN"/>
              </w:rPr>
              <w:t>9.承办市委、市政府和上级部门交办的其他事项。</w:t>
            </w:r>
          </w:p>
        </w:tc>
      </w:tr>
      <w:tr w14:paraId="1C33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BF05EB">
            <w:pPr>
              <w:spacing w:line="375" w:lineRule="exact"/>
              <w:ind w:left="20"/>
              <w:rPr>
                <w:rFonts w:hint="eastAsia" w:ascii="宋体" w:hAnsi="宋体"/>
                <w:sz w:val="32"/>
                <w:szCs w:val="24"/>
              </w:rPr>
            </w:pPr>
            <w:r>
              <w:rPr>
                <w:rFonts w:hint="eastAsia" w:ascii="宋体" w:hAnsi="宋体"/>
                <w:sz w:val="32"/>
                <w:szCs w:val="24"/>
              </w:rPr>
              <w:t xml:space="preserve">  （二）机构设置</w:t>
            </w:r>
          </w:p>
        </w:tc>
      </w:tr>
      <w:tr w14:paraId="16A3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552657F">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内设科室2个：办公室（科研组织科）、学会科。</w:t>
            </w:r>
          </w:p>
        </w:tc>
      </w:tr>
      <w:tr w14:paraId="47B5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B7148A8">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二、部门预算构成</w:t>
            </w:r>
          </w:p>
        </w:tc>
      </w:tr>
      <w:tr w14:paraId="28F0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8DE10B7">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本部门预算为汇总预算，纳入编制范围的预算单位包括：</w:t>
            </w:r>
          </w:p>
        </w:tc>
      </w:tr>
      <w:tr w14:paraId="4CE9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1F74D22">
            <w:pPr>
              <w:spacing w:line="375" w:lineRule="exact"/>
              <w:ind w:left="20"/>
              <w:rPr>
                <w:rFonts w:hint="eastAsia" w:ascii="宋体" w:hAnsi="宋体"/>
                <w:sz w:val="32"/>
                <w:szCs w:val="24"/>
              </w:rPr>
            </w:pPr>
            <w:r>
              <w:rPr>
                <w:rFonts w:hint="eastAsia" w:ascii="宋体" w:hAnsi="宋体"/>
                <w:sz w:val="32"/>
                <w:szCs w:val="24"/>
              </w:rPr>
              <w:t xml:space="preserve">    1、</w:t>
            </w:r>
            <w:r>
              <w:rPr>
                <w:rFonts w:hint="eastAsia" w:ascii="宋体" w:hAnsi="宋体"/>
                <w:sz w:val="32"/>
                <w:szCs w:val="24"/>
                <w:lang w:val="en-US" w:eastAsia="zh-CN"/>
              </w:rPr>
              <w:t>岳阳市社会科学界联合会</w:t>
            </w:r>
            <w:r>
              <w:rPr>
                <w:rFonts w:hint="eastAsia" w:ascii="宋体" w:hAnsi="宋体"/>
                <w:sz w:val="32"/>
                <w:szCs w:val="24"/>
              </w:rPr>
              <w:t>本级</w:t>
            </w:r>
          </w:p>
        </w:tc>
      </w:tr>
      <w:tr w14:paraId="391E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7D4F872">
            <w:pPr>
              <w:spacing w:line="375" w:lineRule="exact"/>
              <w:ind w:left="20"/>
              <w:rPr>
                <w:rFonts w:hint="eastAsia" w:ascii="宋体" w:hAnsi="宋体"/>
                <w:sz w:val="32"/>
                <w:szCs w:val="24"/>
              </w:rPr>
            </w:pPr>
            <w:r>
              <w:rPr>
                <w:rFonts w:hint="eastAsia" w:ascii="宋体" w:hAnsi="宋体"/>
                <w:sz w:val="32"/>
                <w:szCs w:val="24"/>
              </w:rPr>
              <w:t xml:space="preserve">  </w:t>
            </w:r>
          </w:p>
          <w:p w14:paraId="48506B45">
            <w:pPr>
              <w:spacing w:line="375" w:lineRule="exact"/>
              <w:ind w:left="20" w:firstLine="640" w:firstLineChars="200"/>
              <w:rPr>
                <w:rFonts w:hint="eastAsia" w:ascii="宋体" w:hAnsi="宋体"/>
                <w:sz w:val="32"/>
                <w:szCs w:val="24"/>
              </w:rPr>
            </w:pPr>
            <w:r>
              <w:rPr>
                <w:rFonts w:hint="eastAsia" w:ascii="Dialog" w:hAnsi="Dialog"/>
                <w:sz w:val="32"/>
                <w:szCs w:val="24"/>
              </w:rPr>
              <w:t>三、部门收支总体情况</w:t>
            </w:r>
          </w:p>
          <w:p w14:paraId="062FCA1D">
            <w:pPr>
              <w:spacing w:line="375" w:lineRule="exact"/>
              <w:ind w:left="20" w:firstLine="640" w:firstLineChars="200"/>
              <w:rPr>
                <w:rFonts w:hint="eastAsia" w:ascii="宋体" w:hAnsi="宋体"/>
                <w:sz w:val="32"/>
                <w:szCs w:val="24"/>
              </w:rPr>
            </w:pPr>
            <w:r>
              <w:rPr>
                <w:rFonts w:hint="eastAsia" w:ascii="宋体" w:hAnsi="宋体"/>
                <w:sz w:val="32"/>
                <w:szCs w:val="24"/>
              </w:rPr>
              <w:t>本部门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3158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ABEE7DD">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（一）收入预算</w:t>
            </w:r>
          </w:p>
        </w:tc>
      </w:tr>
      <w:tr w14:paraId="6D68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9"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5C8E0FC">
            <w:pPr>
              <w:spacing w:line="375" w:lineRule="exact"/>
              <w:ind w:left="20"/>
              <w:rPr>
                <w:rFonts w:hint="eastAsia" w:ascii="宋体" w:hAnsi="宋体"/>
                <w:sz w:val="32"/>
                <w:szCs w:val="24"/>
                <w:lang w:val="en-US" w:eastAsia="zh-CN"/>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包括一般公共预算、政府性基金、国有资本经营预算等财政拨款收入，以及经营收入、事业收入等单位资金。2025年度本部门收入预算173.96万元，其中，一般公共预算拨款173.96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2025年收入较去年减少</w:t>
            </w:r>
            <w:r>
              <w:rPr>
                <w:rFonts w:hint="eastAsia" w:ascii="宋体" w:hAnsi="宋体"/>
                <w:sz w:val="32"/>
                <w:szCs w:val="24"/>
                <w:lang w:val="en-US" w:eastAsia="zh-CN"/>
              </w:rPr>
              <w:t>89.8</w:t>
            </w:r>
            <w:r>
              <w:rPr>
                <w:rFonts w:hint="eastAsia" w:ascii="宋体" w:hAnsi="宋体"/>
                <w:sz w:val="32"/>
                <w:szCs w:val="24"/>
              </w:rPr>
              <w:t>万元，下降</w:t>
            </w:r>
            <w:r>
              <w:rPr>
                <w:rFonts w:hint="eastAsia" w:ascii="宋体" w:hAnsi="宋体"/>
                <w:sz w:val="32"/>
                <w:szCs w:val="24"/>
                <w:lang w:val="en-US" w:eastAsia="zh-CN"/>
              </w:rPr>
              <w:t>34.05</w:t>
            </w:r>
            <w:r>
              <w:rPr>
                <w:rFonts w:hint="eastAsia" w:ascii="宋体" w:hAnsi="宋体"/>
                <w:sz w:val="32"/>
                <w:szCs w:val="24"/>
              </w:rPr>
              <w:t>%，主要是因为</w:t>
            </w:r>
            <w:r>
              <w:rPr>
                <w:rFonts w:hint="eastAsia" w:ascii="宋体" w:hAnsi="宋体"/>
                <w:sz w:val="32"/>
                <w:szCs w:val="24"/>
                <w:lang w:val="en-US" w:eastAsia="zh-CN"/>
              </w:rPr>
              <w:t>深化</w:t>
            </w:r>
            <w:r>
              <w:rPr>
                <w:rFonts w:hint="eastAsia" w:ascii="宋体" w:hAnsi="宋体"/>
                <w:sz w:val="32"/>
                <w:szCs w:val="24"/>
                <w:lang w:eastAsia="zh-CN"/>
              </w:rPr>
              <w:t>“</w:t>
            </w:r>
            <w:r>
              <w:rPr>
                <w:rFonts w:hint="eastAsia" w:ascii="宋体" w:hAnsi="宋体"/>
                <w:sz w:val="32"/>
                <w:szCs w:val="24"/>
                <w:lang w:val="en-US" w:eastAsia="zh-CN"/>
              </w:rPr>
              <w:t>零基</w:t>
            </w:r>
            <w:r>
              <w:rPr>
                <w:rFonts w:hint="eastAsia" w:ascii="宋体" w:hAnsi="宋体"/>
                <w:sz w:val="32"/>
                <w:szCs w:val="24"/>
                <w:lang w:eastAsia="zh-CN"/>
              </w:rPr>
              <w:t>”</w:t>
            </w:r>
            <w:r>
              <w:rPr>
                <w:rFonts w:hint="eastAsia" w:ascii="宋体" w:hAnsi="宋体"/>
                <w:sz w:val="32"/>
                <w:szCs w:val="24"/>
                <w:lang w:val="en-US" w:eastAsia="zh-CN"/>
              </w:rPr>
              <w:t>预算改革，</w:t>
            </w:r>
            <w:r>
              <w:rPr>
                <w:rFonts w:hint="eastAsia" w:ascii="宋体" w:hAnsi="宋体" w:cs="Times New Roman"/>
                <w:sz w:val="32"/>
                <w:szCs w:val="24"/>
                <w:lang w:val="en-US" w:eastAsia="zh-CN"/>
              </w:rPr>
              <w:t>落实“过紧日子”相关要求。</w:t>
            </w:r>
          </w:p>
        </w:tc>
      </w:tr>
      <w:tr w14:paraId="774D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AAC203D">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（二）支出预算</w:t>
            </w:r>
          </w:p>
        </w:tc>
      </w:tr>
      <w:tr w14:paraId="3F9B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3CC24F">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2025年本部门支出预算173.96万元，其中，201一般公共服务支出122.79万元，208社会保障和就业支出34.14万元，210卫生健康支出8.80万元，221住房保障支出8.22万元，支出较去年减少</w:t>
            </w:r>
            <w:r>
              <w:rPr>
                <w:rFonts w:hint="eastAsia" w:ascii="宋体" w:hAnsi="宋体"/>
                <w:sz w:val="32"/>
                <w:szCs w:val="24"/>
                <w:lang w:val="en-US" w:eastAsia="zh-CN"/>
              </w:rPr>
              <w:t>89.8</w:t>
            </w:r>
            <w:r>
              <w:rPr>
                <w:rFonts w:hint="eastAsia" w:ascii="宋体" w:hAnsi="宋体"/>
                <w:sz w:val="32"/>
                <w:szCs w:val="24"/>
              </w:rPr>
              <w:t>万元，下降</w:t>
            </w:r>
            <w:r>
              <w:rPr>
                <w:rFonts w:hint="eastAsia" w:ascii="宋体" w:hAnsi="宋体"/>
                <w:sz w:val="32"/>
                <w:szCs w:val="24"/>
                <w:lang w:val="en-US" w:eastAsia="zh-CN"/>
              </w:rPr>
              <w:t>34.05</w:t>
            </w:r>
            <w:r>
              <w:rPr>
                <w:rFonts w:hint="eastAsia" w:ascii="宋体" w:hAnsi="宋体"/>
                <w:sz w:val="32"/>
                <w:szCs w:val="24"/>
              </w:rPr>
              <w:t>%，主要是因为</w:t>
            </w:r>
            <w:r>
              <w:rPr>
                <w:rFonts w:hint="eastAsia" w:ascii="宋体" w:hAnsi="宋体"/>
                <w:sz w:val="32"/>
                <w:szCs w:val="24"/>
                <w:lang w:val="en-US" w:eastAsia="zh-CN"/>
              </w:rPr>
              <w:t>深化</w:t>
            </w:r>
            <w:r>
              <w:rPr>
                <w:rFonts w:hint="eastAsia" w:ascii="宋体" w:hAnsi="宋体"/>
                <w:sz w:val="32"/>
                <w:szCs w:val="24"/>
                <w:lang w:eastAsia="zh-CN"/>
              </w:rPr>
              <w:t>“</w:t>
            </w:r>
            <w:r>
              <w:rPr>
                <w:rFonts w:hint="eastAsia" w:ascii="宋体" w:hAnsi="宋体"/>
                <w:sz w:val="32"/>
                <w:szCs w:val="24"/>
                <w:lang w:val="en-US" w:eastAsia="zh-CN"/>
              </w:rPr>
              <w:t>零基</w:t>
            </w:r>
            <w:r>
              <w:rPr>
                <w:rFonts w:hint="eastAsia" w:ascii="宋体" w:hAnsi="宋体"/>
                <w:sz w:val="32"/>
                <w:szCs w:val="24"/>
                <w:lang w:eastAsia="zh-CN"/>
              </w:rPr>
              <w:t>”</w:t>
            </w:r>
            <w:r>
              <w:rPr>
                <w:rFonts w:hint="eastAsia" w:ascii="宋体" w:hAnsi="宋体"/>
                <w:sz w:val="32"/>
                <w:szCs w:val="24"/>
                <w:lang w:val="en-US" w:eastAsia="zh-CN"/>
              </w:rPr>
              <w:t>预算改革，</w:t>
            </w:r>
            <w:r>
              <w:rPr>
                <w:rFonts w:hint="eastAsia" w:ascii="宋体" w:hAnsi="宋体" w:cs="Times New Roman"/>
                <w:sz w:val="32"/>
                <w:szCs w:val="24"/>
                <w:lang w:val="en-US" w:eastAsia="zh-CN"/>
              </w:rPr>
              <w:t>落实“过紧日子”相关要求。</w:t>
            </w:r>
          </w:p>
        </w:tc>
      </w:tr>
      <w:tr w14:paraId="0F30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8D425DF">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四、一般公共预算拨款支出预算</w:t>
            </w:r>
          </w:p>
        </w:tc>
      </w:tr>
      <w:tr w14:paraId="46F0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3835781">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2025年一般公共预算拨款支出预算173.96万元，其中，201一般公共服务支出122.79万元，占70.59%；208社会保障和就业支出34.14万元，占19.63%；210卫生健康支出8.80万元，占5.06%；221住房保障支出8.22万元，占4.73%；具体安排情况如下：</w:t>
            </w:r>
          </w:p>
        </w:tc>
      </w:tr>
      <w:tr w14:paraId="276B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903AD9">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一）基本支出：2025年基本支出年初预算数为151.46万元（数据来源见表23），是指为保障单位机构正常运转、完成日常工作任务而发生的各项支出，包括用于基本工资、津贴补贴等人员经费以及办公费、印刷费、水电费、差旅费等日常公用经费。</w:t>
            </w:r>
          </w:p>
        </w:tc>
      </w:tr>
      <w:tr w14:paraId="66F0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10D1D3">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二）项目支出：2025年项目支出年初预算数为22.50万元（数据来源见表20），是指部门为完成特定行政工作任务或事业发展目标而发生的支出，包括有关业务工作经费、运行维护经费、其他事业发展资金等。其中：10人以下单位补助专项支出5.00万元，主要用于</w:t>
            </w:r>
            <w:r>
              <w:rPr>
                <w:rFonts w:hint="eastAsia" w:ascii="宋体" w:hAnsi="宋体"/>
                <w:sz w:val="32"/>
                <w:szCs w:val="24"/>
                <w:lang w:val="en-US" w:eastAsia="zh-CN"/>
              </w:rPr>
              <w:t>机关日常工作</w:t>
            </w:r>
            <w:r>
              <w:rPr>
                <w:rFonts w:hint="eastAsia" w:ascii="宋体" w:hAnsi="宋体"/>
                <w:sz w:val="32"/>
                <w:szCs w:val="24"/>
              </w:rPr>
              <w:t>方面,日常工作经费专项支出17.50万元，主要用于</w:t>
            </w:r>
            <w:r>
              <w:rPr>
                <w:rFonts w:hint="eastAsia" w:ascii="宋体" w:hAnsi="宋体"/>
                <w:sz w:val="32"/>
                <w:szCs w:val="24"/>
                <w:lang w:val="en-US" w:eastAsia="zh-CN"/>
              </w:rPr>
              <w:t>社科课题研究、社科普及等</w:t>
            </w:r>
            <w:r>
              <w:rPr>
                <w:rFonts w:hint="eastAsia" w:ascii="宋体" w:hAnsi="宋体"/>
                <w:sz w:val="32"/>
                <w:szCs w:val="24"/>
              </w:rPr>
              <w:t>方面。</w:t>
            </w:r>
          </w:p>
        </w:tc>
      </w:tr>
      <w:tr w14:paraId="3FFC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ABC5B7">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五、政府性基金预算支出</w:t>
            </w:r>
          </w:p>
        </w:tc>
      </w:tr>
      <w:tr w14:paraId="6520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00C5C7">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2025年度本部门无政府性基金安排的支出，所以公开的附件15-17（政府性基金预算）为空。</w:t>
            </w:r>
          </w:p>
        </w:tc>
      </w:tr>
      <w:tr w14:paraId="64E6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35E78F">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六、其他重要事项的情况说明</w:t>
            </w:r>
          </w:p>
        </w:tc>
      </w:tr>
      <w:tr w14:paraId="1472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6EA69DA">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（一）机关运行经费</w:t>
            </w:r>
          </w:p>
        </w:tc>
      </w:tr>
      <w:tr w14:paraId="44D9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6461E55">
            <w:pPr>
              <w:spacing w:line="375" w:lineRule="exact"/>
              <w:ind w:left="20"/>
              <w:rPr>
                <w:rFonts w:hint="eastAsia" w:ascii="宋体" w:hAnsi="宋体"/>
                <w:sz w:val="32"/>
                <w:szCs w:val="24"/>
                <w:lang w:val="en-US" w:eastAsia="zh-CN"/>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 xml:space="preserve"> 本部门2025年机关运行经费当年一般公共预算拨款25.36万元（数据来源见表12），比上一年减少</w:t>
            </w:r>
            <w:r>
              <w:rPr>
                <w:rFonts w:hint="eastAsia" w:ascii="宋体" w:hAnsi="宋体"/>
                <w:sz w:val="32"/>
                <w:szCs w:val="24"/>
                <w:lang w:val="en-US" w:eastAsia="zh-CN"/>
              </w:rPr>
              <w:t>1.45</w:t>
            </w:r>
            <w:r>
              <w:rPr>
                <w:rFonts w:hint="eastAsia" w:ascii="宋体" w:hAnsi="宋体"/>
                <w:sz w:val="32"/>
                <w:szCs w:val="24"/>
              </w:rPr>
              <w:t>万元，下降</w:t>
            </w:r>
            <w:r>
              <w:rPr>
                <w:rFonts w:hint="eastAsia" w:ascii="宋体" w:hAnsi="宋体"/>
                <w:sz w:val="32"/>
                <w:szCs w:val="24"/>
                <w:lang w:val="en-US" w:eastAsia="zh-CN"/>
              </w:rPr>
              <w:t>5.4</w:t>
            </w:r>
            <w:r>
              <w:rPr>
                <w:rFonts w:hint="eastAsia" w:ascii="宋体" w:hAnsi="宋体"/>
                <w:sz w:val="32"/>
                <w:szCs w:val="24"/>
              </w:rPr>
              <w:t>%，主要原因是</w:t>
            </w:r>
            <w:r>
              <w:rPr>
                <w:rFonts w:hint="eastAsia" w:ascii="宋体" w:hAnsi="宋体"/>
                <w:sz w:val="32"/>
                <w:szCs w:val="24"/>
                <w:lang w:val="en-US" w:eastAsia="zh-CN"/>
              </w:rPr>
              <w:t>人员减少。</w:t>
            </w:r>
          </w:p>
        </w:tc>
      </w:tr>
      <w:tr w14:paraId="5148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52CD19">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（二）“三公”经费预算</w:t>
            </w:r>
          </w:p>
        </w:tc>
      </w:tr>
      <w:tr w14:paraId="0841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F85FD9E">
            <w:pPr>
              <w:spacing w:line="375" w:lineRule="exact"/>
              <w:ind w:left="20"/>
              <w:rPr>
                <w:rFonts w:hint="eastAsia" w:ascii="宋体" w:hAnsi="宋体"/>
                <w:sz w:val="32"/>
                <w:szCs w:val="24"/>
                <w:lang w:val="en-US" w:eastAsia="zh-CN"/>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2025年“三公”经费预算数3.50万元（数据来源见表14），其中，公务接待费0.50万元，因公出国（境）费0.00万元，公务用车购置及运行费3.00万元（其中，公务用车购置费0.00万元，公务用车运行费3.00万元）。2025年三公经费预算较上年增加</w:t>
            </w:r>
            <w:r>
              <w:rPr>
                <w:rFonts w:hint="eastAsia" w:ascii="宋体" w:hAnsi="宋体"/>
                <w:sz w:val="32"/>
                <w:szCs w:val="24"/>
                <w:lang w:val="en-US" w:eastAsia="zh-CN"/>
              </w:rPr>
              <w:t>0.5</w:t>
            </w:r>
            <w:r>
              <w:rPr>
                <w:rFonts w:hint="eastAsia" w:ascii="宋体" w:hAnsi="宋体"/>
                <w:sz w:val="32"/>
                <w:szCs w:val="24"/>
              </w:rPr>
              <w:t>万元，上升</w:t>
            </w:r>
            <w:r>
              <w:rPr>
                <w:rFonts w:hint="eastAsia" w:ascii="宋体" w:hAnsi="宋体"/>
                <w:sz w:val="32"/>
                <w:szCs w:val="24"/>
                <w:lang w:val="en-US" w:eastAsia="zh-CN"/>
              </w:rPr>
              <w:t>16.67</w:t>
            </w:r>
            <w:r>
              <w:rPr>
                <w:rFonts w:hint="eastAsia" w:ascii="宋体" w:hAnsi="宋体"/>
                <w:sz w:val="32"/>
                <w:szCs w:val="24"/>
              </w:rPr>
              <w:t>%，主要原因</w:t>
            </w:r>
            <w:r>
              <w:rPr>
                <w:rFonts w:hint="eastAsia" w:ascii="宋体" w:hAnsi="宋体"/>
                <w:sz w:val="32"/>
                <w:szCs w:val="24"/>
                <w:lang w:eastAsia="zh-CN"/>
              </w:rPr>
              <w:t>是</w:t>
            </w:r>
            <w:r>
              <w:rPr>
                <w:rFonts w:hint="eastAsia" w:ascii="宋体" w:hAnsi="宋体"/>
                <w:sz w:val="32"/>
                <w:szCs w:val="24"/>
                <w:lang w:val="en-US" w:eastAsia="zh-CN"/>
              </w:rPr>
              <w:t>公务接待次数增加。</w:t>
            </w:r>
          </w:p>
        </w:tc>
      </w:tr>
      <w:tr w14:paraId="1267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C1BBC5">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（三）一般性支出情况</w:t>
            </w:r>
          </w:p>
        </w:tc>
      </w:tr>
      <w:tr w14:paraId="3479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7A81F11">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本部门2025年会议费预算0.00万元（数据来源见表13会议费、培训费），2025年度本部门未计划安排会议、培训，未计划举办节庆、晚会、论坛、赛事活动。</w:t>
            </w:r>
          </w:p>
        </w:tc>
      </w:tr>
      <w:tr w14:paraId="0241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CF8CE8">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（四）委托业务费情况</w:t>
            </w:r>
          </w:p>
        </w:tc>
      </w:tr>
      <w:tr w14:paraId="0BBF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64B9D84">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本部门2025年本级行政事业单位委托业务费</w:t>
            </w:r>
            <w:r>
              <w:rPr>
                <w:rFonts w:hint="eastAsia" w:ascii="宋体" w:hAnsi="宋体"/>
                <w:sz w:val="32"/>
                <w:szCs w:val="24"/>
                <w:lang w:val="en-US" w:eastAsia="zh-CN"/>
              </w:rPr>
              <w:t>0</w:t>
            </w:r>
            <w:r>
              <w:rPr>
                <w:rFonts w:hint="eastAsia" w:ascii="宋体" w:hAnsi="宋体"/>
                <w:sz w:val="32"/>
                <w:szCs w:val="24"/>
              </w:rPr>
              <w:t>万元，</w:t>
            </w:r>
            <w:r>
              <w:rPr>
                <w:rFonts w:hint="eastAsia" w:ascii="宋体" w:hAnsi="宋体"/>
                <w:sz w:val="32"/>
                <w:szCs w:val="24"/>
                <w:lang w:val="en-US" w:eastAsia="zh-CN"/>
              </w:rPr>
              <w:t>与</w:t>
            </w:r>
            <w:r>
              <w:rPr>
                <w:rFonts w:hint="eastAsia" w:ascii="宋体" w:hAnsi="宋体"/>
                <w:sz w:val="32"/>
                <w:szCs w:val="24"/>
              </w:rPr>
              <w:t>上年预算</w:t>
            </w:r>
            <w:r>
              <w:rPr>
                <w:rFonts w:hint="eastAsia" w:ascii="宋体" w:hAnsi="宋体"/>
                <w:sz w:val="32"/>
                <w:szCs w:val="24"/>
                <w:lang w:val="en-US" w:eastAsia="zh-CN"/>
              </w:rPr>
              <w:t>持平，</w:t>
            </w:r>
            <w:r>
              <w:rPr>
                <w:rFonts w:hint="eastAsia" w:ascii="宋体" w:hAnsi="宋体"/>
                <w:sz w:val="32"/>
                <w:szCs w:val="24"/>
              </w:rPr>
              <w:t>主要原因是</w:t>
            </w:r>
            <w:r>
              <w:rPr>
                <w:rFonts w:hint="eastAsia" w:ascii="宋体" w:hAnsi="宋体"/>
                <w:sz w:val="32"/>
                <w:szCs w:val="24"/>
                <w:lang w:eastAsia="zh-CN"/>
              </w:rPr>
              <w:t>预算支出项目无变化。</w:t>
            </w:r>
          </w:p>
        </w:tc>
      </w:tr>
      <w:tr w14:paraId="743D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59F5D5">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（五）政府采购情况</w:t>
            </w:r>
          </w:p>
        </w:tc>
      </w:tr>
      <w:tr w14:paraId="49F0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9CEB94">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本部门2025年政府采购预算总额</w:t>
            </w:r>
            <w:r>
              <w:rPr>
                <w:rFonts w:hint="eastAsia" w:ascii="宋体" w:hAnsi="宋体"/>
                <w:sz w:val="32"/>
                <w:szCs w:val="24"/>
                <w:lang w:val="en-US" w:eastAsia="zh-CN"/>
              </w:rPr>
              <w:t>0</w:t>
            </w:r>
            <w:r>
              <w:rPr>
                <w:rFonts w:hint="eastAsia" w:ascii="宋体" w:hAnsi="宋体"/>
                <w:sz w:val="32"/>
                <w:szCs w:val="24"/>
              </w:rPr>
              <w:t>万元，其中工程类</w:t>
            </w:r>
            <w:r>
              <w:rPr>
                <w:rFonts w:hint="eastAsia" w:ascii="宋体" w:hAnsi="宋体"/>
                <w:sz w:val="32"/>
                <w:szCs w:val="24"/>
                <w:lang w:val="en-US" w:eastAsia="zh-CN"/>
              </w:rPr>
              <w:t>0</w:t>
            </w:r>
            <w:r>
              <w:rPr>
                <w:rFonts w:hint="eastAsia" w:ascii="宋体" w:hAnsi="宋体"/>
                <w:sz w:val="32"/>
                <w:szCs w:val="24"/>
              </w:rPr>
              <w:t>万元，货物类</w:t>
            </w:r>
            <w:r>
              <w:rPr>
                <w:rFonts w:hint="eastAsia" w:ascii="宋体" w:hAnsi="宋体"/>
                <w:sz w:val="32"/>
                <w:szCs w:val="24"/>
                <w:lang w:val="en-US" w:eastAsia="zh-CN"/>
              </w:rPr>
              <w:t>0</w:t>
            </w:r>
            <w:r>
              <w:rPr>
                <w:rFonts w:hint="eastAsia" w:ascii="宋体" w:hAnsi="宋体"/>
                <w:sz w:val="32"/>
                <w:szCs w:val="24"/>
              </w:rPr>
              <w:t>万元，服务类</w:t>
            </w:r>
            <w:r>
              <w:rPr>
                <w:rFonts w:hint="eastAsia" w:ascii="宋体" w:hAnsi="宋体"/>
                <w:sz w:val="32"/>
                <w:szCs w:val="24"/>
                <w:lang w:val="en-US" w:eastAsia="zh-CN"/>
              </w:rPr>
              <w:t>0</w:t>
            </w:r>
            <w:r>
              <w:rPr>
                <w:rFonts w:hint="eastAsia" w:ascii="宋体" w:hAnsi="宋体"/>
                <w:sz w:val="32"/>
                <w:szCs w:val="24"/>
              </w:rPr>
              <w:t>万元。</w:t>
            </w:r>
          </w:p>
        </w:tc>
      </w:tr>
      <w:tr w14:paraId="3A23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8A84B80">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（六）国有资产占有使用及新增资产配置情况</w:t>
            </w:r>
          </w:p>
        </w:tc>
      </w:tr>
      <w:tr w14:paraId="1E0F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487DF45">
            <w:pPr>
              <w:spacing w:line="375" w:lineRule="exact"/>
              <w:ind w:firstLine="640" w:firstLineChars="200"/>
              <w:rPr>
                <w:rFonts w:hint="eastAsia" w:ascii="宋体" w:hAnsi="宋体"/>
                <w:sz w:val="32"/>
                <w:szCs w:val="24"/>
              </w:rPr>
            </w:pPr>
            <w:r>
              <w:rPr>
                <w:rFonts w:hint="eastAsia" w:ascii="宋体" w:hAnsi="宋体"/>
                <w:sz w:val="32"/>
                <w:szCs w:val="24"/>
              </w:rPr>
              <w:t>截至上年底，本部门共有车辆</w:t>
            </w:r>
            <w:r>
              <w:rPr>
                <w:rFonts w:hint="eastAsia" w:ascii="宋体" w:hAnsi="宋体"/>
                <w:sz w:val="32"/>
                <w:szCs w:val="24"/>
                <w:lang w:val="en-US" w:eastAsia="zh-CN"/>
              </w:rPr>
              <w:t>1</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1</w:t>
            </w:r>
            <w:r>
              <w:rPr>
                <w:rFonts w:hint="eastAsia" w:ascii="宋体" w:hAnsi="宋体"/>
                <w:sz w:val="32"/>
                <w:szCs w:val="24"/>
              </w:rPr>
              <w:t>辆，其他用车</w:t>
            </w:r>
            <w:r>
              <w:rPr>
                <w:rFonts w:hint="eastAsia" w:ascii="宋体" w:hAnsi="宋体"/>
                <w:sz w:val="32"/>
                <w:szCs w:val="24"/>
                <w:lang w:val="en-US" w:eastAsia="zh-CN"/>
              </w:rPr>
              <w:t>0</w:t>
            </w:r>
            <w:r>
              <w:rPr>
                <w:rFonts w:hint="eastAsia" w:ascii="宋体" w:hAnsi="宋体"/>
                <w:sz w:val="32"/>
                <w:szCs w:val="24"/>
              </w:rPr>
              <w:t>辆。单位价值50万元以上通用设备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 xml:space="preserve">台。 </w:t>
            </w:r>
          </w:p>
          <w:p w14:paraId="60CFB65B">
            <w:pPr>
              <w:spacing w:line="375" w:lineRule="exact"/>
              <w:ind w:left="20"/>
              <w:rPr>
                <w:rFonts w:hint="eastAsia" w:ascii="Dialog" w:hAnsi="Dialog"/>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2025年度本部门未计划处置或新增车辆、设备等。</w:t>
            </w:r>
          </w:p>
          <w:p w14:paraId="7A9FCB2C">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（七）预算绩效目标说明</w:t>
            </w:r>
          </w:p>
        </w:tc>
      </w:tr>
      <w:tr w14:paraId="7FCB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0351395">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本部门所有支出实行绩效目标管理。纳入2025年部门整体支出绩效目标的金额为173.96万元，其中，基本支出151.46万元，项目支出22.50万元，详见文尾附表中部门预算公开表格的表21-22。</w:t>
            </w:r>
          </w:p>
        </w:tc>
      </w:tr>
      <w:tr w14:paraId="4831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680F1B">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七、名词解释</w:t>
            </w:r>
          </w:p>
        </w:tc>
      </w:tr>
      <w:tr w14:paraId="35BA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2522F73">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r>
      <w:tr w14:paraId="7802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8F57509">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r>
      <w:tr w14:paraId="5AFC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84061CB">
            <w:pPr>
              <w:rPr>
                <w:rFonts w:hint="default"/>
                <w:sz w:val="24"/>
                <w:szCs w:val="24"/>
              </w:rPr>
            </w:pPr>
          </w:p>
        </w:tc>
      </w:tr>
      <w:tr w14:paraId="56D0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B1D5B1D">
            <w:pPr>
              <w:rPr>
                <w:rFonts w:hint="default"/>
                <w:sz w:val="24"/>
                <w:szCs w:val="24"/>
              </w:rPr>
            </w:pPr>
          </w:p>
        </w:tc>
      </w:tr>
      <w:tr w14:paraId="4347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EF5F688">
            <w:pPr>
              <w:rPr>
                <w:rFonts w:hint="default"/>
                <w:sz w:val="24"/>
                <w:szCs w:val="24"/>
              </w:rPr>
            </w:pPr>
          </w:p>
        </w:tc>
      </w:tr>
      <w:tr w14:paraId="06C7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D14567B">
            <w:pPr>
              <w:spacing w:line="375" w:lineRule="exact"/>
              <w:ind w:left="20"/>
              <w:jc w:val="center"/>
              <w:rPr>
                <w:rFonts w:hint="eastAsia" w:ascii="Dialog" w:hAnsi="Dialog"/>
                <w:sz w:val="32"/>
                <w:szCs w:val="24"/>
              </w:rPr>
            </w:pPr>
            <w:r>
              <w:rPr>
                <w:rFonts w:hint="eastAsia" w:ascii="Dialog" w:hAnsi="Dialog"/>
                <w:sz w:val="32"/>
                <w:szCs w:val="24"/>
              </w:rPr>
              <w:t>第二部分  2025年部门预算公开表格</w:t>
            </w:r>
          </w:p>
        </w:tc>
      </w:tr>
      <w:tr w14:paraId="3F79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BA4A355">
            <w:pPr>
              <w:spacing w:line="375" w:lineRule="exact"/>
              <w:ind w:left="20"/>
              <w:rPr>
                <w:rFonts w:hint="eastAsia" w:ascii="宋体" w:hAnsi="宋体"/>
                <w:sz w:val="32"/>
                <w:szCs w:val="24"/>
              </w:rPr>
            </w:pPr>
            <w:r>
              <w:rPr>
                <w:rFonts w:hint="eastAsia" w:ascii="宋体" w:hAnsi="宋体"/>
                <w:sz w:val="32"/>
                <w:szCs w:val="24"/>
              </w:rPr>
              <w:t>1、收支总表</w:t>
            </w:r>
          </w:p>
        </w:tc>
      </w:tr>
      <w:tr w14:paraId="2964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7464C4">
            <w:pPr>
              <w:spacing w:line="375" w:lineRule="exact"/>
              <w:ind w:left="20"/>
              <w:rPr>
                <w:rFonts w:hint="eastAsia" w:ascii="宋体" w:hAnsi="宋体"/>
                <w:sz w:val="32"/>
                <w:szCs w:val="24"/>
              </w:rPr>
            </w:pPr>
            <w:r>
              <w:rPr>
                <w:rFonts w:hint="eastAsia" w:ascii="宋体" w:hAnsi="宋体"/>
                <w:sz w:val="32"/>
                <w:szCs w:val="24"/>
              </w:rPr>
              <w:t>2、收入总表</w:t>
            </w:r>
          </w:p>
        </w:tc>
      </w:tr>
      <w:tr w14:paraId="38BD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37E845">
            <w:pPr>
              <w:spacing w:line="375" w:lineRule="exact"/>
              <w:ind w:left="20"/>
              <w:rPr>
                <w:rFonts w:hint="eastAsia" w:ascii="宋体" w:hAnsi="宋体"/>
                <w:sz w:val="32"/>
                <w:szCs w:val="24"/>
              </w:rPr>
            </w:pPr>
            <w:r>
              <w:rPr>
                <w:rFonts w:hint="eastAsia" w:ascii="宋体" w:hAnsi="宋体"/>
                <w:sz w:val="32"/>
                <w:szCs w:val="24"/>
              </w:rPr>
              <w:t>3、支出总表</w:t>
            </w:r>
          </w:p>
        </w:tc>
      </w:tr>
      <w:tr w14:paraId="580E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7BE6752">
            <w:pPr>
              <w:spacing w:line="375" w:lineRule="exact"/>
              <w:ind w:left="20"/>
              <w:rPr>
                <w:rFonts w:hint="eastAsia" w:ascii="宋体" w:hAnsi="宋体"/>
                <w:sz w:val="32"/>
                <w:szCs w:val="24"/>
              </w:rPr>
            </w:pPr>
            <w:r>
              <w:rPr>
                <w:rFonts w:hint="eastAsia" w:ascii="宋体" w:hAnsi="宋体"/>
                <w:sz w:val="32"/>
                <w:szCs w:val="24"/>
              </w:rPr>
              <w:t>4、支出预算分类汇总表（按政府预算经济分类）</w:t>
            </w:r>
          </w:p>
        </w:tc>
      </w:tr>
      <w:tr w14:paraId="036F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1D7E1A3">
            <w:pPr>
              <w:spacing w:line="375" w:lineRule="exact"/>
              <w:ind w:left="20"/>
              <w:rPr>
                <w:rFonts w:hint="eastAsia" w:ascii="宋体" w:hAnsi="宋体"/>
                <w:sz w:val="32"/>
                <w:szCs w:val="24"/>
              </w:rPr>
            </w:pPr>
            <w:r>
              <w:rPr>
                <w:rFonts w:hint="eastAsia" w:ascii="宋体" w:hAnsi="宋体"/>
                <w:sz w:val="32"/>
                <w:szCs w:val="24"/>
              </w:rPr>
              <w:t>5、支出预算分类汇总表（按部门预算经济分类）</w:t>
            </w:r>
          </w:p>
        </w:tc>
      </w:tr>
      <w:tr w14:paraId="15D3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EB22A34">
            <w:pPr>
              <w:spacing w:line="375" w:lineRule="exact"/>
              <w:ind w:left="20"/>
              <w:rPr>
                <w:rFonts w:hint="eastAsia" w:ascii="宋体" w:hAnsi="宋体"/>
                <w:sz w:val="32"/>
                <w:szCs w:val="24"/>
              </w:rPr>
            </w:pPr>
            <w:r>
              <w:rPr>
                <w:rFonts w:hint="eastAsia" w:ascii="宋体" w:hAnsi="宋体"/>
                <w:sz w:val="32"/>
                <w:szCs w:val="24"/>
              </w:rPr>
              <w:t>6、财政拨款收支总表</w:t>
            </w:r>
          </w:p>
        </w:tc>
      </w:tr>
      <w:tr w14:paraId="5E5A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637D4AB">
            <w:pPr>
              <w:spacing w:line="375" w:lineRule="exact"/>
              <w:ind w:left="20"/>
              <w:rPr>
                <w:rFonts w:hint="eastAsia" w:ascii="宋体" w:hAnsi="宋体"/>
                <w:sz w:val="32"/>
                <w:szCs w:val="24"/>
              </w:rPr>
            </w:pPr>
            <w:r>
              <w:rPr>
                <w:rFonts w:hint="eastAsia" w:ascii="宋体" w:hAnsi="宋体"/>
                <w:sz w:val="32"/>
                <w:szCs w:val="24"/>
              </w:rPr>
              <w:t>7、一般公共预算支出表</w:t>
            </w:r>
          </w:p>
        </w:tc>
      </w:tr>
      <w:tr w14:paraId="4F89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FA4349D">
            <w:pPr>
              <w:spacing w:line="375" w:lineRule="exact"/>
              <w:ind w:left="20"/>
              <w:rPr>
                <w:rFonts w:hint="eastAsia" w:ascii="宋体" w:hAnsi="宋体"/>
                <w:sz w:val="32"/>
                <w:szCs w:val="24"/>
              </w:rPr>
            </w:pPr>
            <w:r>
              <w:rPr>
                <w:rFonts w:hint="eastAsia" w:ascii="宋体" w:hAnsi="宋体"/>
                <w:sz w:val="32"/>
                <w:szCs w:val="24"/>
              </w:rPr>
              <w:t>8、一般公共预算基本支出表-人员经费（工资福利支出）（按政府预算经济分类）</w:t>
            </w:r>
          </w:p>
        </w:tc>
      </w:tr>
      <w:tr w14:paraId="2E03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B3B0AE2">
            <w:pPr>
              <w:spacing w:line="375" w:lineRule="exact"/>
              <w:ind w:left="20"/>
              <w:rPr>
                <w:rFonts w:hint="eastAsia" w:ascii="宋体" w:hAnsi="宋体"/>
                <w:sz w:val="32"/>
                <w:szCs w:val="24"/>
              </w:rPr>
            </w:pPr>
            <w:r>
              <w:rPr>
                <w:rFonts w:hint="eastAsia" w:ascii="宋体" w:hAnsi="宋体"/>
                <w:sz w:val="32"/>
                <w:szCs w:val="24"/>
              </w:rPr>
              <w:t>9、一般公共预算基本支出表-人员经费（工资福利支出）（按部门预算经济分类）</w:t>
            </w:r>
          </w:p>
        </w:tc>
      </w:tr>
      <w:tr w14:paraId="0558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BFB224">
            <w:pPr>
              <w:spacing w:line="375" w:lineRule="exact"/>
              <w:ind w:left="20"/>
              <w:rPr>
                <w:rFonts w:hint="eastAsia" w:ascii="宋体" w:hAnsi="宋体"/>
                <w:sz w:val="32"/>
                <w:szCs w:val="24"/>
              </w:rPr>
            </w:pPr>
            <w:r>
              <w:rPr>
                <w:rFonts w:hint="eastAsia" w:ascii="宋体" w:hAnsi="宋体"/>
                <w:sz w:val="32"/>
                <w:szCs w:val="24"/>
              </w:rPr>
              <w:t>10、一般公共预算基本支出表-人员经费（对个人和家庭的补助）（按政府预算经济分类）</w:t>
            </w:r>
          </w:p>
        </w:tc>
      </w:tr>
      <w:tr w14:paraId="5DA6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8833588">
            <w:pPr>
              <w:spacing w:line="375" w:lineRule="exact"/>
              <w:ind w:left="20"/>
              <w:rPr>
                <w:rFonts w:hint="eastAsia" w:ascii="宋体" w:hAnsi="宋体"/>
                <w:sz w:val="32"/>
                <w:szCs w:val="24"/>
              </w:rPr>
            </w:pPr>
            <w:r>
              <w:rPr>
                <w:rFonts w:hint="eastAsia" w:ascii="宋体" w:hAnsi="宋体"/>
                <w:sz w:val="32"/>
                <w:szCs w:val="24"/>
              </w:rPr>
              <w:t>11、一般公共预算基本支出表-人员经费（对个人和家庭的补助）（按部门预算经济分类）</w:t>
            </w:r>
          </w:p>
        </w:tc>
      </w:tr>
      <w:tr w14:paraId="4061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074608C">
            <w:pPr>
              <w:spacing w:line="375" w:lineRule="exact"/>
              <w:ind w:left="20"/>
              <w:rPr>
                <w:rFonts w:hint="eastAsia" w:ascii="宋体" w:hAnsi="宋体"/>
                <w:sz w:val="32"/>
                <w:szCs w:val="24"/>
              </w:rPr>
            </w:pPr>
            <w:r>
              <w:rPr>
                <w:rFonts w:hint="eastAsia" w:ascii="宋体" w:hAnsi="宋体"/>
                <w:sz w:val="32"/>
                <w:szCs w:val="24"/>
              </w:rPr>
              <w:t>12、一般公共预算基本支出表-公用经费（商品和服务支出）（按政府预算经济分类）</w:t>
            </w:r>
          </w:p>
        </w:tc>
      </w:tr>
      <w:tr w14:paraId="746F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DF300CD">
            <w:pPr>
              <w:spacing w:line="375" w:lineRule="exact"/>
              <w:ind w:left="20"/>
              <w:rPr>
                <w:rFonts w:hint="eastAsia" w:ascii="宋体" w:hAnsi="宋体"/>
                <w:sz w:val="32"/>
                <w:szCs w:val="24"/>
              </w:rPr>
            </w:pPr>
            <w:r>
              <w:rPr>
                <w:rFonts w:hint="eastAsia" w:ascii="宋体" w:hAnsi="宋体"/>
                <w:sz w:val="32"/>
                <w:szCs w:val="24"/>
              </w:rPr>
              <w:t>13、一般公共预算基本支出表-公用经费（商品和服务支出）（按部门预算经济分类）</w:t>
            </w:r>
          </w:p>
        </w:tc>
      </w:tr>
      <w:tr w14:paraId="1E5B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1BEC23">
            <w:pPr>
              <w:spacing w:line="375" w:lineRule="exact"/>
              <w:ind w:left="20"/>
              <w:rPr>
                <w:rFonts w:hint="eastAsia" w:ascii="宋体" w:hAnsi="宋体"/>
                <w:sz w:val="32"/>
                <w:szCs w:val="24"/>
              </w:rPr>
            </w:pPr>
            <w:r>
              <w:rPr>
                <w:rFonts w:hint="eastAsia" w:ascii="宋体" w:hAnsi="宋体"/>
                <w:sz w:val="32"/>
                <w:szCs w:val="24"/>
              </w:rPr>
              <w:t>14、一般公共预算“三公”经费支出表</w:t>
            </w:r>
          </w:p>
        </w:tc>
      </w:tr>
      <w:tr w14:paraId="49DF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F02DFA2">
            <w:pPr>
              <w:spacing w:line="375" w:lineRule="exact"/>
              <w:ind w:left="20"/>
              <w:rPr>
                <w:rFonts w:hint="eastAsia" w:ascii="宋体" w:hAnsi="宋体"/>
                <w:sz w:val="32"/>
                <w:szCs w:val="24"/>
              </w:rPr>
            </w:pPr>
            <w:r>
              <w:rPr>
                <w:rFonts w:hint="eastAsia" w:ascii="宋体" w:hAnsi="宋体"/>
                <w:sz w:val="32"/>
                <w:szCs w:val="24"/>
              </w:rPr>
              <w:t>15、政府性基金预算支出表</w:t>
            </w:r>
          </w:p>
        </w:tc>
      </w:tr>
      <w:tr w14:paraId="0E38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78105E">
            <w:pPr>
              <w:spacing w:line="375" w:lineRule="exact"/>
              <w:ind w:left="20"/>
              <w:rPr>
                <w:rFonts w:hint="eastAsia" w:ascii="宋体" w:hAnsi="宋体"/>
                <w:sz w:val="32"/>
                <w:szCs w:val="24"/>
              </w:rPr>
            </w:pPr>
            <w:r>
              <w:rPr>
                <w:rFonts w:hint="eastAsia" w:ascii="宋体" w:hAnsi="宋体"/>
                <w:sz w:val="32"/>
                <w:szCs w:val="24"/>
              </w:rPr>
              <w:t>16、政府性基金预算支出分类汇总表（按政府预算经济分类）</w:t>
            </w:r>
          </w:p>
        </w:tc>
      </w:tr>
      <w:tr w14:paraId="3175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CA03D4">
            <w:pPr>
              <w:spacing w:line="375" w:lineRule="exact"/>
              <w:ind w:left="20"/>
              <w:rPr>
                <w:rFonts w:hint="eastAsia" w:ascii="宋体" w:hAnsi="宋体"/>
                <w:sz w:val="32"/>
                <w:szCs w:val="24"/>
              </w:rPr>
            </w:pPr>
            <w:r>
              <w:rPr>
                <w:rFonts w:hint="eastAsia" w:ascii="宋体" w:hAnsi="宋体"/>
                <w:sz w:val="32"/>
                <w:szCs w:val="24"/>
              </w:rPr>
              <w:t>17、政府性基金预算支出分类汇总表（按部门预算经济分类）</w:t>
            </w:r>
          </w:p>
        </w:tc>
      </w:tr>
      <w:tr w14:paraId="742F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57E1CAC">
            <w:pPr>
              <w:spacing w:line="375" w:lineRule="exact"/>
              <w:ind w:left="20"/>
              <w:rPr>
                <w:rFonts w:hint="eastAsia" w:ascii="宋体" w:hAnsi="宋体"/>
                <w:sz w:val="32"/>
                <w:szCs w:val="24"/>
              </w:rPr>
            </w:pPr>
            <w:r>
              <w:rPr>
                <w:rFonts w:hint="eastAsia" w:ascii="宋体" w:hAnsi="宋体"/>
                <w:sz w:val="32"/>
                <w:szCs w:val="24"/>
              </w:rPr>
              <w:t>18、国有资本经营预算支出表</w:t>
            </w:r>
          </w:p>
        </w:tc>
      </w:tr>
      <w:tr w14:paraId="3722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81AC480">
            <w:pPr>
              <w:spacing w:line="375" w:lineRule="exact"/>
              <w:ind w:left="20"/>
              <w:rPr>
                <w:rFonts w:hint="eastAsia" w:ascii="宋体" w:hAnsi="宋体"/>
                <w:sz w:val="32"/>
                <w:szCs w:val="24"/>
              </w:rPr>
            </w:pPr>
            <w:r>
              <w:rPr>
                <w:rFonts w:hint="eastAsia" w:ascii="宋体" w:hAnsi="宋体"/>
                <w:sz w:val="32"/>
                <w:szCs w:val="24"/>
              </w:rPr>
              <w:t>19、财政专户管理资金预算支出表</w:t>
            </w:r>
          </w:p>
        </w:tc>
      </w:tr>
      <w:tr w14:paraId="1DA2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E51BE3">
            <w:pPr>
              <w:spacing w:line="375" w:lineRule="exact"/>
              <w:ind w:left="20"/>
              <w:rPr>
                <w:rFonts w:hint="eastAsia" w:ascii="宋体" w:hAnsi="宋体"/>
                <w:sz w:val="32"/>
                <w:szCs w:val="24"/>
              </w:rPr>
            </w:pPr>
            <w:r>
              <w:rPr>
                <w:rFonts w:hint="eastAsia" w:ascii="宋体" w:hAnsi="宋体"/>
                <w:sz w:val="32"/>
                <w:szCs w:val="24"/>
              </w:rPr>
              <w:t>20、专项资金预算汇总表</w:t>
            </w:r>
          </w:p>
        </w:tc>
      </w:tr>
      <w:tr w14:paraId="6253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3F9E88C">
            <w:pPr>
              <w:spacing w:line="375" w:lineRule="exact"/>
              <w:ind w:left="20"/>
              <w:rPr>
                <w:rFonts w:hint="eastAsia" w:ascii="宋体" w:hAnsi="宋体"/>
                <w:sz w:val="32"/>
                <w:szCs w:val="24"/>
              </w:rPr>
            </w:pPr>
            <w:r>
              <w:rPr>
                <w:rFonts w:hint="eastAsia" w:ascii="宋体" w:hAnsi="宋体"/>
                <w:sz w:val="32"/>
                <w:szCs w:val="24"/>
              </w:rPr>
              <w:t>21、项目支出绩效目标表</w:t>
            </w:r>
          </w:p>
        </w:tc>
      </w:tr>
      <w:tr w14:paraId="24E0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0B1715B">
            <w:pPr>
              <w:spacing w:line="375" w:lineRule="exact"/>
              <w:ind w:left="20"/>
              <w:rPr>
                <w:rFonts w:hint="eastAsia" w:ascii="宋体" w:hAnsi="宋体"/>
                <w:sz w:val="32"/>
                <w:szCs w:val="24"/>
              </w:rPr>
            </w:pPr>
            <w:r>
              <w:rPr>
                <w:rFonts w:hint="eastAsia" w:ascii="宋体" w:hAnsi="宋体"/>
                <w:sz w:val="32"/>
                <w:szCs w:val="24"/>
              </w:rPr>
              <w:t>22、部门整体支出绩效目标表</w:t>
            </w:r>
          </w:p>
        </w:tc>
      </w:tr>
      <w:tr w14:paraId="3F9E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9634897">
            <w:pPr>
              <w:spacing w:line="375" w:lineRule="exact"/>
              <w:ind w:left="20"/>
              <w:rPr>
                <w:rFonts w:hint="eastAsia" w:ascii="宋体" w:hAnsi="宋体"/>
                <w:sz w:val="32"/>
                <w:szCs w:val="24"/>
              </w:rPr>
            </w:pPr>
            <w:r>
              <w:rPr>
                <w:rFonts w:hint="eastAsia" w:ascii="宋体" w:hAnsi="宋体"/>
                <w:sz w:val="32"/>
                <w:szCs w:val="24"/>
              </w:rPr>
              <w:t>23、一般公共预算基本支出表</w:t>
            </w:r>
          </w:p>
        </w:tc>
      </w:tr>
      <w:tr w14:paraId="2348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2C4563">
            <w:pPr>
              <w:spacing w:line="375" w:lineRule="exact"/>
              <w:ind w:left="20"/>
              <w:rPr>
                <w:rFonts w:hint="eastAsia" w:ascii="宋体" w:hAnsi="宋体"/>
                <w:color w:val="FF0000"/>
                <w:sz w:val="32"/>
                <w:szCs w:val="24"/>
              </w:rPr>
            </w:pPr>
            <w:r>
              <w:rPr>
                <w:rFonts w:hint="eastAsia" w:ascii="宋体" w:hAnsi="宋体"/>
                <w:b/>
                <w:color w:val="FF0000"/>
                <w:sz w:val="32"/>
                <w:szCs w:val="24"/>
              </w:rPr>
              <w:t>注：以上部门预算公开报表中，空表表示本部门无相关收支情况。</w:t>
            </w:r>
          </w:p>
        </w:tc>
      </w:tr>
    </w:tbl>
    <w:p w14:paraId="7E8F560B">
      <w:bookmarkStart w:id="0" w:name="_GoBack"/>
      <w:bookmarkEnd w:id="0"/>
    </w:p>
    <w:sectPr>
      <w:pgSz w:w="16838" w:h="11906" w:orient="landscape"/>
      <w:pgMar w:top="1800" w:right="1440"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83749"/>
    <w:rsid w:val="4D783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Arial" w:hAnsi="Arial" w:eastAsia="宋体" w:cs="Times New Roman"/>
      <w:color w:val="000000"/>
      <w:sz w:val="24"/>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200" w:line="276" w:lineRule="auto"/>
    </w:pPr>
    <w:rPr>
      <w:rFonts w:hint="default"/>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2026-04-21T07:13:00Z</dcterms:created>
  <dc:creator>曹璇</dc:creator>
  <cp:lastModifiedBy>曹璇</cp:lastModifiedBy>
  <dcterms:modified xsi:type="dcterms:W3CDTF">2026-04-21T07:14:44Z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463C7EA60FD941B0A4FE242F103966EE_11</vt:lpwstr>
  </property>
  <property fmtid="{D5CDD505-2E9C-101B-9397-08002B2CF9AE}" pid="4" name="KSOTemplateDocerSaveRecord">
    <vt:lpwstr>eyJoZGlkIjoiNDMyMjZkMzk4NzQ4ODNmNDQzMzQwYjQ3OGJjYTcwYTUiLCJ1c2VySWQiOiIxNDgxMDAwODQwIn0=</vt:lpwstr>
  </property>
</Properties>
</file>