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DCFF1">
      <w:pPr>
        <w:pStyle w:val="14"/>
        <w:jc w:val="center"/>
        <w:rPr>
          <w:sz w:val="56"/>
          <w:szCs w:val="56"/>
        </w:rPr>
      </w:pPr>
    </w:p>
    <w:p w14:paraId="3BDF5AB8">
      <w:pPr>
        <w:pStyle w:val="14"/>
        <w:jc w:val="center"/>
        <w:rPr>
          <w:sz w:val="56"/>
          <w:szCs w:val="56"/>
        </w:rPr>
      </w:pPr>
    </w:p>
    <w:p w14:paraId="60CA4575">
      <w:pPr>
        <w:pStyle w:val="14"/>
        <w:jc w:val="center"/>
        <w:rPr>
          <w:sz w:val="84"/>
          <w:szCs w:val="84"/>
        </w:rPr>
      </w:pPr>
    </w:p>
    <w:p w14:paraId="215EB31D">
      <w:pPr>
        <w:pStyle w:val="14"/>
        <w:jc w:val="center"/>
        <w:rPr>
          <w:sz w:val="84"/>
          <w:szCs w:val="84"/>
        </w:rPr>
      </w:pPr>
    </w:p>
    <w:p w14:paraId="376C8602">
      <w:pPr>
        <w:pStyle w:val="14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202</w:t>
      </w: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年度</w:t>
      </w:r>
    </w:p>
    <w:p w14:paraId="420EDE7E">
      <w:pPr>
        <w:pStyle w:val="14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岳阳职业技术学院</w:t>
      </w:r>
    </w:p>
    <w:p w14:paraId="6934EBE9">
      <w:pPr>
        <w:pStyle w:val="14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</w:t>
      </w:r>
    </w:p>
    <w:p w14:paraId="3A699C16">
      <w:pPr>
        <w:pStyle w:val="14"/>
        <w:jc w:val="center"/>
        <w:rPr>
          <w:rFonts w:hint="eastAsia" w:ascii="方正小标宋_GBK" w:hAnsi="方正小标宋_GBK" w:eastAsia="方正小标宋_GBK" w:cs="方正小标宋_GBK"/>
          <w:sz w:val="56"/>
          <w:szCs w:val="56"/>
        </w:rPr>
      </w:pPr>
    </w:p>
    <w:p w14:paraId="72C8FB58">
      <w:pPr>
        <w:pStyle w:val="14"/>
        <w:jc w:val="center"/>
        <w:rPr>
          <w:sz w:val="56"/>
          <w:szCs w:val="56"/>
        </w:rPr>
      </w:pPr>
    </w:p>
    <w:p w14:paraId="25018D25">
      <w:pPr>
        <w:pStyle w:val="14"/>
        <w:jc w:val="center"/>
        <w:rPr>
          <w:sz w:val="56"/>
          <w:szCs w:val="56"/>
        </w:rPr>
      </w:pPr>
    </w:p>
    <w:p w14:paraId="5EE73A38">
      <w:pPr>
        <w:pStyle w:val="14"/>
        <w:jc w:val="center"/>
        <w:rPr>
          <w:sz w:val="56"/>
          <w:szCs w:val="56"/>
        </w:rPr>
      </w:pPr>
    </w:p>
    <w:p w14:paraId="297571C5">
      <w:pPr>
        <w:pStyle w:val="14"/>
        <w:jc w:val="center"/>
        <w:rPr>
          <w:sz w:val="32"/>
          <w:szCs w:val="32"/>
        </w:rPr>
      </w:pPr>
    </w:p>
    <w:p w14:paraId="08493D1E">
      <w:pPr>
        <w:pStyle w:val="14"/>
        <w:jc w:val="center"/>
        <w:rPr>
          <w:sz w:val="32"/>
          <w:szCs w:val="32"/>
        </w:rPr>
      </w:pPr>
    </w:p>
    <w:p w14:paraId="5BD6E8BD">
      <w:pPr>
        <w:pStyle w:val="14"/>
        <w:jc w:val="center"/>
        <w:rPr>
          <w:sz w:val="32"/>
          <w:szCs w:val="32"/>
        </w:rPr>
      </w:pPr>
    </w:p>
    <w:p w14:paraId="1062A3B4">
      <w:pPr>
        <w:pStyle w:val="14"/>
        <w:jc w:val="center"/>
        <w:rPr>
          <w:sz w:val="32"/>
          <w:szCs w:val="32"/>
        </w:rPr>
      </w:pPr>
    </w:p>
    <w:p w14:paraId="6311DFC7">
      <w:pPr>
        <w:pStyle w:val="14"/>
        <w:jc w:val="center"/>
        <w:rPr>
          <w:sz w:val="32"/>
          <w:szCs w:val="32"/>
        </w:rPr>
      </w:pPr>
    </w:p>
    <w:p w14:paraId="50228290">
      <w:pPr>
        <w:pStyle w:val="14"/>
        <w:spacing w:line="540" w:lineRule="exact"/>
        <w:jc w:val="center"/>
        <w:rPr>
          <w:sz w:val="56"/>
          <w:szCs w:val="56"/>
        </w:rPr>
      </w:pPr>
    </w:p>
    <w:p w14:paraId="459C483D">
      <w:pPr>
        <w:pStyle w:val="14"/>
        <w:spacing w:line="500" w:lineRule="exact"/>
        <w:jc w:val="both"/>
        <w:rPr>
          <w:b/>
          <w:sz w:val="36"/>
          <w:szCs w:val="28"/>
        </w:rPr>
      </w:pPr>
    </w:p>
    <w:p w14:paraId="24F3309B">
      <w:pPr>
        <w:pStyle w:val="14"/>
        <w:spacing w:line="50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目录</w:t>
      </w:r>
    </w:p>
    <w:p w14:paraId="6CBD0C22">
      <w:pPr>
        <w:pStyle w:val="14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第一部分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岳阳职业技术学院概况</w:t>
      </w:r>
    </w:p>
    <w:p w14:paraId="060CB1DC"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一、部门职责</w:t>
      </w:r>
    </w:p>
    <w:p w14:paraId="315E49DA"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二、机构设置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及决算单位构成</w:t>
      </w:r>
    </w:p>
    <w:p w14:paraId="3CE431DD">
      <w:pPr>
        <w:pStyle w:val="14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第二部分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部门决算表</w:t>
      </w:r>
    </w:p>
    <w:p w14:paraId="4B1DE222"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一、收入支出决算总表</w:t>
      </w:r>
    </w:p>
    <w:p w14:paraId="28DAEA9B"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二、收入决算表</w:t>
      </w:r>
    </w:p>
    <w:p w14:paraId="4189E141"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三、支出决算表</w:t>
      </w:r>
    </w:p>
    <w:p w14:paraId="0621647E"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四、财政拨款收入支出决算总表</w:t>
      </w:r>
    </w:p>
    <w:p w14:paraId="28E0B171"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五、一般公共预算财政拨款支出决算表</w:t>
      </w:r>
    </w:p>
    <w:p w14:paraId="0A1DA969"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六、一般公共预算财政拨款基本支出决算明细表</w:t>
      </w:r>
    </w:p>
    <w:p w14:paraId="62E9A333"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七、政府性基金预算财政拨款收入支出决算表</w:t>
      </w:r>
    </w:p>
    <w:p w14:paraId="316661B6"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八、国有资本经营预算财政拨款支出决算表</w:t>
      </w:r>
    </w:p>
    <w:p w14:paraId="23827588"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九、财政拨款“三公”经费支出决算表</w:t>
      </w:r>
    </w:p>
    <w:p w14:paraId="69B4707F">
      <w:pPr>
        <w:pStyle w:val="14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第三部分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部门决算情况说明</w:t>
      </w:r>
    </w:p>
    <w:p w14:paraId="30D2819C"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一、收入支出决算总体情况说明</w:t>
      </w:r>
    </w:p>
    <w:p w14:paraId="2F99AFEC">
      <w:pPr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二、收入决算情况说明</w:t>
      </w:r>
    </w:p>
    <w:p w14:paraId="69796A82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三、支出决算情况说明</w:t>
      </w:r>
    </w:p>
    <w:p w14:paraId="42F5763D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 w14:paraId="4551B6B2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 w14:paraId="0BC2CE30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 w14:paraId="11D85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七、政府性基金预算收入支出决算情况</w:t>
      </w:r>
    </w:p>
    <w:p w14:paraId="5F6B5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八、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国有资本经营预算财政拨款支出决算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情况</w:t>
      </w:r>
    </w:p>
    <w:p w14:paraId="71D91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九、财政拨款三公经费支出决算情况说明</w:t>
      </w:r>
    </w:p>
    <w:p w14:paraId="371B6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十、关于机关运行经费支出说明</w:t>
      </w:r>
    </w:p>
    <w:p w14:paraId="1624E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十一、一般性支出情况说明</w:t>
      </w:r>
    </w:p>
    <w:p w14:paraId="6C86A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关于政府采购支出说明</w:t>
      </w:r>
    </w:p>
    <w:p w14:paraId="5E15A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十三、关于国有资产占用情况说明</w:t>
      </w:r>
    </w:p>
    <w:p w14:paraId="5BD7D26C"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-SA"/>
        </w:rPr>
        <w:t>十四、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关于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绩效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情况的说明</w:t>
      </w:r>
    </w:p>
    <w:p w14:paraId="51852483">
      <w:pPr>
        <w:pStyle w:val="14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第四部分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名词解释</w:t>
      </w:r>
    </w:p>
    <w:p w14:paraId="7D866A9C">
      <w:pPr>
        <w:pStyle w:val="14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附件</w:t>
      </w:r>
    </w:p>
    <w:p w14:paraId="2E7F14A9">
      <w:pPr>
        <w:pStyle w:val="14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1095DEAB">
      <w:pPr>
        <w:pStyle w:val="14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0DEEC249">
      <w:pPr>
        <w:pStyle w:val="14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 xml:space="preserve">第一部分 </w:t>
      </w:r>
    </w:p>
    <w:p w14:paraId="5C6A94F8">
      <w:pPr>
        <w:pStyle w:val="14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5EF69A9D">
      <w:pPr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  <w:t>岳阳职业技术学院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概况</w:t>
      </w:r>
    </w:p>
    <w:p w14:paraId="77A0C778">
      <w:pPr>
        <w:pStyle w:val="8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397AC3FB">
      <w:pPr>
        <w:pStyle w:val="2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1469560B">
      <w:pPr>
        <w:pStyle w:val="2"/>
        <w:ind w:left="0" w:leftChars="0" w:firstLine="0" w:firstLineChars="0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56F556D2">
      <w:pPr>
        <w:rPr>
          <w:rFonts w:hint="eastAsia"/>
        </w:rPr>
      </w:pPr>
    </w:p>
    <w:p w14:paraId="1293599C">
      <w:pPr>
        <w:pStyle w:val="2"/>
        <w:rPr>
          <w:rFonts w:hint="eastAsia"/>
        </w:rPr>
      </w:pPr>
    </w:p>
    <w:p w14:paraId="2ED57BA3">
      <w:pPr>
        <w:rPr>
          <w:rFonts w:hint="eastAsia"/>
        </w:rPr>
      </w:pPr>
    </w:p>
    <w:p w14:paraId="55E857AF">
      <w:pPr>
        <w:pStyle w:val="15"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部门职责</w:t>
      </w:r>
    </w:p>
    <w:p w14:paraId="5A806560">
      <w:pPr>
        <w:ind w:firstLine="800" w:firstLineChars="250"/>
        <w:jc w:val="left"/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负责培养高素质应用型技术人才；</w:t>
      </w:r>
    </w:p>
    <w:p w14:paraId="4EA22A57">
      <w:pPr>
        <w:ind w:firstLine="800" w:firstLineChars="250"/>
        <w:jc w:val="left"/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（二）负责毕业生就业指导工作；</w:t>
      </w:r>
    </w:p>
    <w:p w14:paraId="6AFEFCDE">
      <w:pPr>
        <w:ind w:firstLine="800" w:firstLineChars="250"/>
        <w:jc w:val="left"/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）负责教师队伍建设，积极开展科学研究；</w:t>
      </w:r>
    </w:p>
    <w:p w14:paraId="63A2B1EC">
      <w:pPr>
        <w:ind w:firstLine="800" w:firstLineChars="250"/>
        <w:jc w:val="left"/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）负责师生的在校安全保卫及后勤服务；</w:t>
      </w:r>
    </w:p>
    <w:p w14:paraId="7254606D">
      <w:pPr>
        <w:ind w:firstLine="800" w:firstLineChars="25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）完成市委、市政府交办的其他工作。</w:t>
      </w:r>
    </w:p>
    <w:p w14:paraId="2DC82B10">
      <w:pPr>
        <w:widowControl/>
        <w:spacing w:line="60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二、机构设置及决算单位构成</w:t>
      </w:r>
    </w:p>
    <w:p w14:paraId="5B2EEC5A">
      <w:pPr>
        <w:widowControl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（一）内设机构设置。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岳阳职业技术学院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内设机构包括：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17个职能处室、9个教学机构、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个教辅机构。</w:t>
      </w:r>
    </w:p>
    <w:p w14:paraId="26803099">
      <w:pPr>
        <w:ind w:firstLine="800" w:firstLineChars="25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1、职能处室</w:t>
      </w:r>
    </w:p>
    <w:p w14:paraId="699EDB17">
      <w:pPr>
        <w:ind w:firstLine="800" w:firstLineChars="25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党政办公室、组织人事处、宣传统战部、教务处、学生工作部、计划财务处、纪检监察审计处、后勤基建处、招生就业处、保卫处（人武部）、科研处、工会妇联老龄办、团委、规划与发展评建处、教育督导与质量评价处、校企合作处、资产管理处。</w:t>
      </w:r>
    </w:p>
    <w:p w14:paraId="3D68F4B5">
      <w:pPr>
        <w:ind w:firstLine="800" w:firstLineChars="25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2、教学机构</w:t>
      </w:r>
    </w:p>
    <w:p w14:paraId="70281E7A">
      <w:pPr>
        <w:ind w:firstLine="800" w:firstLineChars="25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环境生物工程学院、机电工程学院、信息工程学院、护理学院、商贸物流学院、医学院、基础医学部、公共基础课部、国际教育学院。</w:t>
      </w:r>
    </w:p>
    <w:p w14:paraId="08D1BEB1">
      <w:pPr>
        <w:ind w:firstLine="800" w:firstLineChars="25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3、教辅机构</w:t>
      </w:r>
    </w:p>
    <w:p w14:paraId="01C3C24C">
      <w:pPr>
        <w:widowControl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社会培训学院、网络信息中心、图书馆、后勤服务公司。</w:t>
      </w:r>
    </w:p>
    <w:p w14:paraId="3D9EF3E2">
      <w:pPr>
        <w:widowControl/>
        <w:spacing w:line="600" w:lineRule="exact"/>
        <w:rPr>
          <w:rFonts w:hint="default" w:ascii="Times New Roman" w:hAnsi="Times New Roman" w:eastAsia="仿宋_GB2312" w:cs="仿宋_GB2312"/>
          <w:bCs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（二）决算单位构成。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eastAsia="zh-CN"/>
        </w:rPr>
        <w:t>本单位无独立核算的下属单位，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2024年度部门决算汇总公开单位仅包括岳阳职业技术学院本级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38152785"/>
    <w:p w14:paraId="3CE56614">
      <w:pPr>
        <w:pStyle w:val="8"/>
      </w:pPr>
    </w:p>
    <w:p w14:paraId="70B4D569">
      <w:pPr>
        <w:pStyle w:val="2"/>
      </w:pPr>
    </w:p>
    <w:p w14:paraId="5B1D6CBC"/>
    <w:p w14:paraId="7D6C31E4">
      <w:pPr>
        <w:pStyle w:val="8"/>
      </w:pPr>
    </w:p>
    <w:p w14:paraId="056E4ECA">
      <w:pPr>
        <w:pStyle w:val="2"/>
      </w:pPr>
    </w:p>
    <w:p w14:paraId="3288C9C5"/>
    <w:p w14:paraId="14507043">
      <w:pPr>
        <w:pStyle w:val="8"/>
      </w:pPr>
    </w:p>
    <w:p w14:paraId="465EA8BD">
      <w:pPr>
        <w:pStyle w:val="2"/>
      </w:pPr>
    </w:p>
    <w:p w14:paraId="49E51758"/>
    <w:p w14:paraId="3DC8C6CD">
      <w:pPr>
        <w:pStyle w:val="8"/>
      </w:pPr>
    </w:p>
    <w:p w14:paraId="36E702E5">
      <w:pPr>
        <w:pStyle w:val="2"/>
      </w:pPr>
    </w:p>
    <w:p w14:paraId="0416550A"/>
    <w:p w14:paraId="28B49BCE">
      <w:pPr>
        <w:pStyle w:val="8"/>
      </w:pPr>
    </w:p>
    <w:p w14:paraId="7CE398FB">
      <w:pPr>
        <w:pStyle w:val="14"/>
        <w:jc w:val="both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3D5A3F93">
      <w:pPr>
        <w:pStyle w:val="14"/>
        <w:jc w:val="both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661BBFC8">
      <w:pPr>
        <w:pStyle w:val="14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第二部分</w:t>
      </w:r>
    </w:p>
    <w:p w14:paraId="5FB02ED5">
      <w:pPr>
        <w:pStyle w:val="14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3860F185">
      <w:pPr>
        <w:pStyle w:val="14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部门决算表</w:t>
      </w:r>
    </w:p>
    <w:p w14:paraId="50A5962C">
      <w:pPr>
        <w:pStyle w:val="14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  <w:t>（见附件）</w:t>
      </w:r>
    </w:p>
    <w:p w14:paraId="325AF5B5">
      <w:pPr>
        <w:pStyle w:val="14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0568D1B8">
      <w:pPr>
        <w:pStyle w:val="14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5C65B646">
      <w:pPr>
        <w:pStyle w:val="14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62EA5E89">
      <w:pPr>
        <w:pStyle w:val="14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63BFFD84">
      <w:pPr>
        <w:pStyle w:val="14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4565BABE">
      <w:pPr>
        <w:pStyle w:val="14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6EEAB3EF">
      <w:pPr>
        <w:pStyle w:val="14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603C04A7">
      <w:pPr>
        <w:pStyle w:val="14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7A44A82E">
      <w:pPr>
        <w:pStyle w:val="14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06211665">
      <w:pPr>
        <w:pStyle w:val="14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7804FBAA">
      <w:pPr>
        <w:pStyle w:val="14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第三部分</w:t>
      </w:r>
    </w:p>
    <w:p w14:paraId="7D53C949">
      <w:pPr>
        <w:pStyle w:val="14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4F77A5A6">
      <w:pPr>
        <w:pStyle w:val="14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202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年度部门决算情况说明</w:t>
      </w:r>
    </w:p>
    <w:p w14:paraId="17862F93">
      <w:pPr>
        <w:pStyle w:val="14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6EEC30AB">
      <w:pPr>
        <w:pStyle w:val="14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417367C1">
      <w:pPr>
        <w:pStyle w:val="14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0AB54216">
      <w:pPr>
        <w:pStyle w:val="14"/>
        <w:jc w:val="both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111D7AB8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决算编制时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明细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至“金额单位：元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本套部门决算文字说明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和公开表格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取数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转换为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金额单位：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万元”，可能导致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以下文字说明中的各项数据取数以及公开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表格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中的各项数据取数之间存在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0.01的尾数差异。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2、以下文字说明中，部分科目由于预算数为0，无法计算完成年初预算的百分比，故未描述“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完成年初预算的XX%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2411C08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一、收入支出决算总体情况说明</w:t>
      </w:r>
    </w:p>
    <w:p w14:paraId="0E0052D8">
      <w:pPr>
        <w:widowControl w:val="0"/>
        <w:autoSpaceDE w:val="0"/>
        <w:autoSpaceDN w:val="0"/>
        <w:adjustRightInd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年度收、支总计29508.33万元。与上年相比，减少6497.73万元，减少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18.05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%，主要是因为一般公共预算财政拨款收入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较上年减少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181.79万元，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事业收入较上年减少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802.6万元，其他收入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较上年减少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72.97万元，年初结转和结余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较上年减少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5440.39万元。收支总计平衡，因此收入总计减少，支出总计也相应减少。</w:t>
      </w:r>
    </w:p>
    <w:p w14:paraId="07DA9E3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二、收入决算情况说明</w:t>
      </w:r>
    </w:p>
    <w:p w14:paraId="3128467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26728.04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万元，其中：财政拨款收入15810.36万元，占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59.15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%；上级补助收入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</w:rPr>
        <w:t>%；事业收入10855.68万元，占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40.62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</w:rPr>
        <w:t>%；附属单位上缴收入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%；其他收入62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0.23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2D1A2B4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三、支出决算情况说明</w:t>
      </w:r>
    </w:p>
    <w:p w14:paraId="2822293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年度支出合计28569.2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万元，其中：基本支出19569.75万元，占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68.50</w:t>
      </w:r>
      <w:r>
        <w:rPr>
          <w:rFonts w:hint="eastAsia" w:ascii="仿宋_GB2312" w:hAnsi="仿宋_GB2312" w:eastAsia="仿宋_GB2312" w:cs="仿宋_GB2312"/>
          <w:sz w:val="32"/>
          <w:szCs w:val="32"/>
        </w:rPr>
        <w:t>%；项目支出8999.47万元，占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31.50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%；上缴上级支出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%；对附属单位补助支出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6985752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四、财政拨款收入支出决算总体情况说明</w:t>
      </w:r>
    </w:p>
    <w:p w14:paraId="4ED35F49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年度财政拨款收、支总计18590.65万元，与上年相比，减少5622.17万元,减少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23.22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%，主要是因为一般公共预算财政拨款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较上年</w:t>
      </w:r>
      <w:r>
        <w:rPr>
          <w:rFonts w:hint="eastAsia" w:ascii="仿宋_GB2312" w:hAnsi="仿宋_GB2312" w:eastAsia="仿宋_GB2312" w:cs="仿宋_GB2312"/>
          <w:sz w:val="32"/>
          <w:szCs w:val="32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181.79万元；年初财政拨款结转和结余较去年</w:t>
      </w:r>
      <w:r>
        <w:rPr>
          <w:rFonts w:hint="eastAsia" w:ascii="仿宋_GB2312" w:hAnsi="仿宋_GB2312" w:eastAsia="仿宋_GB2312" w:cs="仿宋_GB2312"/>
          <w:sz w:val="32"/>
          <w:szCs w:val="32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了5440.38万元。</w:t>
      </w:r>
    </w:p>
    <w:p w14:paraId="4BB30A6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五、一般公共预算财政拨款支出决算情况说明</w:t>
      </w:r>
    </w:p>
    <w:p w14:paraId="6023283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（一）一般公共预算财政拨款支出决算总体情况</w:t>
      </w:r>
    </w:p>
    <w:p w14:paraId="76CAEDE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年度财政拨款支出15810.36万元，占本年支出合计的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55.34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%，与上年相比，财政拨款支出减少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181.79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万元，减少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%，主要是因为乡村本土化人才培养专项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、双一流建设专项、生均经费等专项资金减少与国家奖助学金等专项资金增加导致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一般公共预算财政拨款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收入总体较去年减少，相应的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财政拨款支出减少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66C54C8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（二）一般公共预算财政拨款支出决算结构情况</w:t>
      </w:r>
    </w:p>
    <w:p w14:paraId="100B560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年度财政拨款支出15810.36万元，主要用于以下方面：一般公共服务（类）支出0.2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0.001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%；国</w:t>
      </w:r>
      <w:r>
        <w:rPr>
          <w:rFonts w:hint="eastAsia" w:ascii="仿宋_GB2312" w:hAnsi="仿宋_GB2312" w:eastAsia="仿宋_GB2312" w:cs="仿宋_GB2312"/>
          <w:sz w:val="32"/>
          <w:szCs w:val="32"/>
        </w:rPr>
        <w:t>防（类）支出47.36万元，占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0.299</w:t>
      </w:r>
      <w:r>
        <w:rPr>
          <w:rFonts w:hint="eastAsia" w:ascii="仿宋_GB2312" w:hAnsi="仿宋_GB2312" w:eastAsia="仿宋_GB2312" w:cs="仿宋_GB2312"/>
          <w:sz w:val="32"/>
          <w:szCs w:val="32"/>
        </w:rPr>
        <w:t>%;教育（类）支出15661.62万元，占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99.06</w:t>
      </w:r>
      <w:r>
        <w:rPr>
          <w:rFonts w:hint="eastAsia" w:ascii="仿宋_GB2312" w:hAnsi="仿宋_GB2312" w:eastAsia="仿宋_GB2312" w:cs="仿宋_GB2312"/>
          <w:sz w:val="32"/>
          <w:szCs w:val="32"/>
        </w:rPr>
        <w:t>%;科学技术（类）支出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13.53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0.08</w:t>
      </w:r>
      <w:r>
        <w:rPr>
          <w:rFonts w:hint="eastAsia" w:ascii="仿宋_GB2312" w:hAnsi="仿宋_GB2312" w:eastAsia="仿宋_GB2312" w:cs="仿宋_GB2312"/>
          <w:sz w:val="32"/>
          <w:szCs w:val="32"/>
        </w:rPr>
        <w:t>%;社会保障和就业（类）支出4.36万元，占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0.03</w:t>
      </w:r>
      <w:r>
        <w:rPr>
          <w:rFonts w:hint="eastAsia" w:ascii="仿宋_GB2312" w:hAnsi="仿宋_GB2312" w:eastAsia="仿宋_GB2312" w:cs="仿宋_GB2312"/>
          <w:sz w:val="32"/>
          <w:szCs w:val="32"/>
        </w:rPr>
        <w:t>%;农林水（类）支出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18.95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0.12</w:t>
      </w:r>
      <w:r>
        <w:rPr>
          <w:rFonts w:hint="eastAsia" w:ascii="仿宋_GB2312" w:hAnsi="仿宋_GB2312" w:eastAsia="仿宋_GB2312" w:cs="仿宋_GB2312"/>
          <w:sz w:val="32"/>
          <w:szCs w:val="32"/>
        </w:rPr>
        <w:t>%;商业服务业等（类）支出39.34万元，占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0.25</w:t>
      </w:r>
      <w:r>
        <w:rPr>
          <w:rFonts w:hint="eastAsia" w:ascii="仿宋_GB2312" w:hAnsi="仿宋_GB2312" w:eastAsia="仿宋_GB2312" w:cs="仿宋_GB2312"/>
          <w:sz w:val="32"/>
          <w:szCs w:val="32"/>
        </w:rPr>
        <w:t>%;灾害防治及应急管理（类）支出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0.16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</w:p>
    <w:p w14:paraId="5CDBADF9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（三）一般公共预算财政拨款支出决算具体情况</w:t>
      </w:r>
    </w:p>
    <w:p w14:paraId="5B07DAE0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年初预算数为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7255.83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万元，支出决算数为15810.36万元，完成年初预算的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217.90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%，其中：</w:t>
      </w:r>
    </w:p>
    <w:p w14:paraId="237A4D60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1、一般公共服务支出（类）群众团体事务（款）一般行政管理事务（项）。</w:t>
      </w:r>
    </w:p>
    <w:p w14:paraId="6478A0B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万元，决算数大于年初预算数的主要原因是：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级财政专项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有一部分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未纳入年初预算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 w14:paraId="3443D2A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2、国防支出（类）国防动员（款）兵役征集（项）。</w:t>
      </w:r>
    </w:p>
    <w:p w14:paraId="107304A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万元，支出决算为47.36万元，决算数大于年初预算数的主要原因是：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级财政专项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有一部分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未纳入年初预算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 w14:paraId="2F7D33A8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、教育支出（类）教育管理事务（款）一般行政管理事务（项）。</w:t>
      </w:r>
    </w:p>
    <w:p w14:paraId="692E3F6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万元，支出决算为80.2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万元，决算数大于年初预算数的主要原因是：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级财政专项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有一部分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未纳入年初预算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 w14:paraId="133D5B1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、教育支出（类）普通教育（款）其他普通教育支出（项）。</w:t>
      </w:r>
    </w:p>
    <w:p w14:paraId="7B1BD10C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万元，决算数大于年初预算数的主要原因是：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级财政专项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有一部分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未纳入年初预算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 w14:paraId="3ACE3320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、教育支出（类）职业教育（款）高等职业教育（项）。</w:t>
      </w:r>
    </w:p>
    <w:p w14:paraId="6399D48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2025.83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7412.51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365.90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%，决算数大于年初预算数的主要原因是：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中央直达资金，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级财政专项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有一部分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未纳入年初预算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 w14:paraId="01F06309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、教育支出（类）职业教育（款）其他职业教育支出（项）。</w:t>
      </w:r>
    </w:p>
    <w:p w14:paraId="10232BF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11.96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万元，决算数大于年初预算数的主要原因是：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级财政专项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有一部分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未纳入年初预算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 w14:paraId="17E1AD1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、教育支出（类）教育费附加安排的支出（款）其他教育费附加安排的支出（项）。</w:t>
      </w:r>
    </w:p>
    <w:p w14:paraId="11B54B3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5000.00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8156.69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163.13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%，决算数大于年初预算数的主要原因是：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级财政专项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有一部分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未纳入年初预算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 w14:paraId="17F7DAE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、科学技术支出（类）基础研究（款）自然科学基金（项）。</w:t>
      </w:r>
    </w:p>
    <w:p w14:paraId="0B5D826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3.85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万元，决算数大于年初预算数的主要原因是：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级财政专项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有一部分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未纳入年初预算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 w14:paraId="37927E18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、科学技术支出（类）基础研究（款）其他基础研究支出（项）。</w:t>
      </w:r>
    </w:p>
    <w:p w14:paraId="2B7C482C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万元，决算数大于年初预算数的主要原因是：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级财政专项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有一部分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未纳入年初预算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 w14:paraId="073CBB0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、科学技术支出（类）社会科学（款）其他社会科学支出（项）。</w:t>
      </w:r>
    </w:p>
    <w:p w14:paraId="47E6EDE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1.17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万元，决算数大于年初预算数的主要原因是：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级财政专项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有一部分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未纳入年初预算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 w14:paraId="39C85020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、科学技术支出（类）科学技术普及（款）其他科学技术普及支出（项）。</w:t>
      </w:r>
    </w:p>
    <w:p w14:paraId="777826C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2.51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万元，决算数大于年初预算数的主要原因是：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级财政专项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有一部分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未纳入年初预算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 w14:paraId="2CF3546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、社会保障和就业支出（类）抚恤（款）其他优抚支出（项）。</w:t>
      </w:r>
    </w:p>
    <w:p w14:paraId="4774EEC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万元，决算数大于年初预算数的主要原因是：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级财政专项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有一部分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未纳入年初预算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 w14:paraId="165BCB6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、社会保障和就业支出（类）其他社会保障和就业支出（款）其他社会保障和就业支出（项）。</w:t>
      </w:r>
    </w:p>
    <w:p w14:paraId="2362AF9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决算数大于年初预算数的主要原因是：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级财政专项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有一部分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未纳入年初预算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 w14:paraId="10F3CBF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、农林水支出（类）巩固脱贫攻坚成果衔接乡村振兴（款）其他巩固脱贫攻坚成果衔接乡村振兴支出（项）。</w:t>
      </w:r>
    </w:p>
    <w:p w14:paraId="213C7ED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18.95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决算数大于年初预算数的主要原因是：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级财政专项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有一部分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未纳入年初预算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 w14:paraId="611AF650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、商业服务业等支出（类）其他商业服务业等支出（款）其他商业服务业等支出（项）。</w:t>
      </w:r>
    </w:p>
    <w:p w14:paraId="7024B68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39.34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决算数大于年初预算数的主要原因是：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级财政专项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有一部分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未纳入年初预算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 w14:paraId="1E9CA6E9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、灾害防治及应急管理支出（类）自然灾害救灾及恢复重建支出（款）自然灾害救灾补助（项）。</w:t>
      </w:r>
    </w:p>
    <w:p w14:paraId="5EECB64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25.00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决算数大于年初预算数的主要原因是：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级财政专项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有一部分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未纳入年初预算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 w14:paraId="1437BA5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卫生健康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支出（类）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公立医院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（款）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综合医院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（项）。</w:t>
      </w:r>
    </w:p>
    <w:p w14:paraId="79D96AD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230.00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万元，决算数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小于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该专项未下达。</w:t>
      </w:r>
    </w:p>
    <w:p w14:paraId="373E8BA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六、一般公共预算财政拨款基本支出决算情况说明</w:t>
      </w:r>
    </w:p>
    <w:p w14:paraId="293AEB6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11155.59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</w:t>
      </w:r>
    </w:p>
    <w:p w14:paraId="492F364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人员经费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8654.19万元，占基本支出的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77.58</w:t>
      </w:r>
      <w:r>
        <w:rPr>
          <w:rFonts w:hint="eastAsia" w:ascii="仿宋_GB2312" w:hAnsi="仿宋_GB2312" w:eastAsia="仿宋_GB2312" w:cs="仿宋_GB2312"/>
          <w:sz w:val="32"/>
          <w:szCs w:val="32"/>
        </w:rPr>
        <w:t>%,主要包括基本工资、津贴补贴、奖金、伙食补助费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绩效工资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、机关事业单位基本养老保险缴费、职业年金缴费、职工基本医疗保险缴费、其他社会保障缴费、住房公积金、医疗费、其他工资福利支出、退休费、抚恤金、医疗费补助、奖励金、其他对个人和家庭的补助。</w:t>
      </w:r>
    </w:p>
    <w:p w14:paraId="29EFE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公用经费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2501.4万元，占基本支出的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22.42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%，主要包括办公费、印刷费、咨询费、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费、电费、邮电费、物业管理费、差旅费、维修（护）费、租赁费、培训费、专用材料费、劳务费、委托业务费、工会经费、其他交通费用、税金及附加费用、其他商品和服务支出、专用设备购置、其他资本性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38B276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七、政府性基金预算收入支出决算情况</w:t>
      </w:r>
    </w:p>
    <w:p w14:paraId="12592558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i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年度政府性基金预算财政拨款收入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万元；年初结转和结余2780.29万元；支出1841.17万元，其中基本支出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万元，项目支出1841.17万元；年末结转和结余939.13万元。具体情况如下：</w:t>
      </w:r>
    </w:p>
    <w:p w14:paraId="5325FC7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1、其他支出（类）其他政府性基金及对应专项债务收入安排的支出（款）其他地方自行试点项目收益专项债券收入安排的支出（项）。</w:t>
      </w:r>
    </w:p>
    <w:p w14:paraId="5F3611C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万元，支出决算为1841.17万元，决算数大于年初预算数的主要原因是：政府性基金预算财政拨款年初结转和结余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纳入年初预算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8BDC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八、国有资本经营预算财政拨款支出决算情况</w:t>
      </w:r>
    </w:p>
    <w:p w14:paraId="64D194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2024年度国有资本经营预算财政拨款收入0.00万元；年初结转和结余0.00万；支出0.00万元，其中：基本支出0.00万元，项目支出0.00万元；年末结转和结余0.00万元。</w:t>
      </w:r>
    </w:p>
    <w:p w14:paraId="66E46F3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hAnsi="黑体" w:cs="黑体"/>
          <w:b w:val="0"/>
          <w:bCs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财政拨款三公经费支出决算情况说明</w:t>
      </w:r>
    </w:p>
    <w:p w14:paraId="6298EF1D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（一）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eastAsia="zh-CN"/>
        </w:rPr>
        <w:t>“三公”</w:t>
      </w:r>
      <w:r>
        <w:rPr>
          <w:rFonts w:ascii="Times New Roman" w:hAnsi="Times New Roman" w:eastAsia="楷体_GB2312" w:cs="Times New Roman"/>
          <w:b/>
          <w:sz w:val="32"/>
          <w:szCs w:val="32"/>
        </w:rPr>
        <w:t>经费财政拨款支出决算总体情况说明</w:t>
      </w:r>
    </w:p>
    <w:p w14:paraId="730E9443">
      <w:pPr>
        <w:numPr>
          <w:ilvl w:val="0"/>
          <w:numId w:val="0"/>
        </w:numPr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2024年度“三公”经费财政拨款支出预算为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56.00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0.00</w:t>
      </w:r>
      <w:r>
        <w:rPr>
          <w:rFonts w:ascii="Times New Roman" w:hAnsi="Times New Roman" w:eastAsia="仿宋_GB2312" w:cs="Times New Roman"/>
          <w:sz w:val="32"/>
          <w:szCs w:val="32"/>
        </w:rPr>
        <w:t>万元；与上年相比减少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4.15</w:t>
      </w:r>
      <w:r>
        <w:rPr>
          <w:rFonts w:ascii="Times New Roman" w:hAnsi="Times New Roman" w:eastAsia="仿宋_GB2312" w:cs="Times New Roman"/>
          <w:sz w:val="32"/>
          <w:szCs w:val="32"/>
        </w:rPr>
        <w:t>万元，降低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100.00</w:t>
      </w:r>
      <w:r>
        <w:rPr>
          <w:rFonts w:ascii="Times New Roman" w:hAnsi="Times New Roman" w:eastAsia="仿宋_GB2312" w:cs="Times New Roman"/>
          <w:sz w:val="32"/>
          <w:szCs w:val="32"/>
        </w:rPr>
        <w:t>%。决算数小于预算数的主要原因是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我校公务接待费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8.15万元及公务用车运行维护费1.64万元均为非财政拨款支出，因此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财政拨款口径的</w:t>
      </w:r>
      <w:r>
        <w:rPr>
          <w:rFonts w:ascii="Times New Roman" w:hAnsi="Times New Roman" w:eastAsia="仿宋_GB2312" w:cs="Times New Roman"/>
          <w:sz w:val="32"/>
          <w:szCs w:val="32"/>
        </w:rPr>
        <w:t>“三公”经费支出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决算数为0</w:t>
      </w:r>
      <w:r>
        <w:rPr>
          <w:rFonts w:ascii="Times New Roman" w:hAnsi="Times New Roman" w:eastAsia="仿宋_GB2312" w:cs="Times New Roman"/>
          <w:sz w:val="32"/>
          <w:szCs w:val="32"/>
        </w:rPr>
        <w:t>。决算数小于上年数的主要原因是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本年</w:t>
      </w:r>
      <w:r>
        <w:rPr>
          <w:rFonts w:ascii="Times New Roman" w:hAnsi="Times New Roman" w:eastAsia="仿宋_GB2312" w:cs="Times New Roman"/>
          <w:sz w:val="32"/>
          <w:szCs w:val="32"/>
        </w:rPr>
        <w:t>“三公”经费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支出均为非财政拨款支出，财政拨款口径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决算数为0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458DD48C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（二）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eastAsia="zh-CN"/>
        </w:rPr>
        <w:t>“三公”</w:t>
      </w:r>
      <w:r>
        <w:rPr>
          <w:rFonts w:ascii="Times New Roman" w:hAnsi="Times New Roman" w:eastAsia="楷体_GB2312" w:cs="Times New Roman"/>
          <w:b/>
          <w:sz w:val="32"/>
          <w:szCs w:val="32"/>
        </w:rPr>
        <w:t>经费财政拨款支出决算具体情况说明</w:t>
      </w:r>
    </w:p>
    <w:p w14:paraId="3174481D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1.因公出国（境）费支出预算为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20.00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0.00</w:t>
      </w:r>
      <w:r>
        <w:rPr>
          <w:rFonts w:ascii="Times New Roman" w:hAnsi="Times New Roman" w:eastAsia="仿宋_GB2312" w:cs="Times New Roman"/>
          <w:sz w:val="32"/>
          <w:szCs w:val="32"/>
        </w:rPr>
        <w:t>万元；与上年相比减少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1.08</w:t>
      </w:r>
      <w:r>
        <w:rPr>
          <w:rFonts w:ascii="Times New Roman" w:hAnsi="Times New Roman" w:eastAsia="仿宋_GB2312" w:cs="Times New Roman"/>
          <w:sz w:val="32"/>
          <w:szCs w:val="32"/>
        </w:rPr>
        <w:t>万元，降低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100.00</w:t>
      </w:r>
      <w:r>
        <w:rPr>
          <w:rFonts w:ascii="Times New Roman" w:hAnsi="Times New Roman" w:eastAsia="仿宋_GB2312" w:cs="Times New Roman"/>
          <w:sz w:val="32"/>
          <w:szCs w:val="32"/>
        </w:rPr>
        <w:t>%。决算数小于预算数的主要原因是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本年度未发生因公出国（</w:t>
      </w:r>
      <w:r>
        <w:rPr>
          <w:rFonts w:ascii="Times New Roman" w:hAnsi="Times New Roman" w:eastAsia="仿宋_GB2312" w:cs="Times New Roman"/>
          <w:sz w:val="32"/>
          <w:szCs w:val="32"/>
        </w:rPr>
        <w:t>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）活动，决算数未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。决算数小于上年数的主要原因是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上年度发生因公出国（</w:t>
      </w:r>
      <w:r>
        <w:rPr>
          <w:rFonts w:ascii="Times New Roman" w:hAnsi="Times New Roman" w:eastAsia="仿宋_GB2312" w:cs="Times New Roman"/>
          <w:sz w:val="32"/>
          <w:szCs w:val="32"/>
        </w:rPr>
        <w:t>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）活动，而今年未发生</w:t>
      </w:r>
      <w:r>
        <w:rPr>
          <w:rFonts w:ascii="Times New Roman" w:hAnsi="Times New Roman" w:eastAsia="仿宋_GB2312" w:cs="Times New Roman"/>
          <w:sz w:val="32"/>
          <w:szCs w:val="32"/>
        </w:rPr>
        <w:t>。2024年度安排因公出国（境）团组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个，累计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人次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5978CAB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2.公务用车购置费及运行维护费支出预算为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6.00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0.00</w:t>
      </w:r>
      <w:r>
        <w:rPr>
          <w:rFonts w:ascii="Times New Roman" w:hAnsi="Times New Roman" w:eastAsia="仿宋_GB2312" w:cs="Times New Roman"/>
          <w:sz w:val="32"/>
          <w:szCs w:val="32"/>
        </w:rPr>
        <w:t>万元；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与上年一致，无增减变动</w:t>
      </w:r>
      <w:r>
        <w:rPr>
          <w:rFonts w:ascii="Times New Roman" w:hAnsi="Times New Roman" w:eastAsia="仿宋_GB2312" w:cs="Times New Roman"/>
          <w:sz w:val="32"/>
          <w:szCs w:val="32"/>
        </w:rPr>
        <w:t>。其中：</w:t>
      </w:r>
    </w:p>
    <w:p w14:paraId="7206207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公务用车购置费支出预算为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0.00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0.00</w:t>
      </w:r>
      <w:r>
        <w:rPr>
          <w:rFonts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于预算数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未安排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公务用车购置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费预算</w:t>
      </w:r>
      <w:r>
        <w:rPr>
          <w:rFonts w:ascii="Times New Roman" w:hAnsi="Times New Roman" w:eastAsia="仿宋_GB2312" w:cs="Times New Roman"/>
          <w:sz w:val="32"/>
          <w:szCs w:val="32"/>
        </w:rPr>
        <w:t>，决算数</w:t>
      </w:r>
      <w:r>
        <w:rPr>
          <w:rFonts w:hint="eastAsia" w:ascii="仿宋_GB2312" w:hAnsi="仿宋_GB2312" w:eastAsia="仿宋_GB2312" w:cs="仿宋_GB2312"/>
          <w:sz w:val="32"/>
          <w:szCs w:val="32"/>
        </w:rPr>
        <w:t>与上年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无增减变动</w:t>
      </w:r>
      <w:r>
        <w:rPr>
          <w:rFonts w:hint="eastAsia" w:ascii="仿宋_GB2312" w:hAnsi="仿宋_GB2312" w:eastAsia="仿宋_GB2312" w:cs="仿宋_GB2312"/>
          <w:sz w:val="32"/>
          <w:szCs w:val="32"/>
        </w:rPr>
        <w:t>，主要原因是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两年均未购置公务用车。本单位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更新公务用车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64A21AD2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公务用车运行维护费支出预算为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6.00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0.00</w:t>
      </w:r>
      <w:r>
        <w:rPr>
          <w:rFonts w:ascii="Times New Roman" w:hAnsi="Times New Roman" w:eastAsia="仿宋_GB2312" w:cs="Times New Roman"/>
          <w:sz w:val="32"/>
          <w:szCs w:val="32"/>
        </w:rPr>
        <w:t>万元，与上年相比减少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1.98</w:t>
      </w:r>
      <w:r>
        <w:rPr>
          <w:rFonts w:ascii="Times New Roman" w:hAnsi="Times New Roman" w:eastAsia="仿宋_GB2312" w:cs="Times New Roman"/>
          <w:sz w:val="32"/>
          <w:szCs w:val="32"/>
        </w:rPr>
        <w:t>万元。决算数小于预算数的主要原因是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本年度</w:t>
      </w:r>
      <w:r>
        <w:rPr>
          <w:rFonts w:ascii="Times New Roman" w:hAnsi="Times New Roman" w:eastAsia="仿宋_GB2312" w:cs="Times New Roman"/>
          <w:sz w:val="32"/>
          <w:szCs w:val="32"/>
        </w:rPr>
        <w:t>公务用车运行维护费支出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均为非财政拨款支出</w:t>
      </w:r>
      <w:r>
        <w:rPr>
          <w:rFonts w:ascii="Times New Roman" w:hAnsi="Times New Roman" w:eastAsia="仿宋_GB2312" w:cs="Times New Roman"/>
          <w:sz w:val="32"/>
          <w:szCs w:val="32"/>
        </w:rPr>
        <w:t>。决算数小于上年数的主要原因是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本年度</w:t>
      </w:r>
      <w:r>
        <w:rPr>
          <w:rFonts w:ascii="Times New Roman" w:hAnsi="Times New Roman" w:eastAsia="仿宋_GB2312" w:cs="Times New Roman"/>
          <w:sz w:val="32"/>
          <w:szCs w:val="32"/>
        </w:rPr>
        <w:t>公务用车运行维护费支出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均为非财政拨款支出，决算数为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0，而上年度决算数为1.98</w:t>
      </w:r>
      <w:r>
        <w:rPr>
          <w:rFonts w:ascii="Times New Roman" w:hAnsi="Times New Roman" w:eastAsia="仿宋_GB2312" w:cs="Times New Roman"/>
          <w:sz w:val="32"/>
          <w:szCs w:val="32"/>
        </w:rPr>
        <w:t>万元。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截止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到</w:t>
      </w:r>
      <w:r>
        <w:rPr>
          <w:rFonts w:ascii="Times New Roman" w:hAnsi="Times New Roman" w:eastAsia="仿宋_GB2312" w:cs="Times New Roman"/>
          <w:sz w:val="32"/>
          <w:szCs w:val="32"/>
        </w:rPr>
        <w:t>2024年12月31日，我单位开支财政拨款的公务用车保有量为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辆。</w:t>
      </w:r>
    </w:p>
    <w:p w14:paraId="039328FA">
      <w:pPr>
        <w:numPr>
          <w:ilvl w:val="0"/>
          <w:numId w:val="2"/>
        </w:numPr>
        <w:ind w:firstLine="640" w:firstLineChars="200"/>
        <w:rPr>
          <w:rFonts w:hint="eastAsia" w:ascii="Times New Roman" w:hAnsi="Times New Roman" w:eastAsia="仿宋_GB2312"/>
          <w:b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公务接待费支出预算为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30.00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0.00</w:t>
      </w:r>
      <w:r>
        <w:rPr>
          <w:rFonts w:ascii="Times New Roman" w:hAnsi="Times New Roman" w:eastAsia="仿宋_GB2312" w:cs="Times New Roman"/>
          <w:sz w:val="32"/>
          <w:szCs w:val="32"/>
        </w:rPr>
        <w:t>万元；与上年相比减少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1.08</w:t>
      </w:r>
      <w:r>
        <w:rPr>
          <w:rFonts w:ascii="Times New Roman" w:hAnsi="Times New Roman" w:eastAsia="仿宋_GB2312" w:cs="Times New Roman"/>
          <w:sz w:val="32"/>
          <w:szCs w:val="32"/>
        </w:rPr>
        <w:t>万元，降低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100.00</w:t>
      </w:r>
      <w:r>
        <w:rPr>
          <w:rFonts w:ascii="Times New Roman" w:hAnsi="Times New Roman" w:eastAsia="仿宋_GB2312" w:cs="Times New Roman"/>
          <w:sz w:val="32"/>
          <w:szCs w:val="32"/>
        </w:rPr>
        <w:t>%。决算数小于预算数的主要原因是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本年度</w:t>
      </w:r>
      <w:r>
        <w:rPr>
          <w:rFonts w:ascii="Times New Roman" w:hAnsi="Times New Roman" w:eastAsia="仿宋_GB2312" w:cs="Times New Roman"/>
          <w:sz w:val="32"/>
          <w:szCs w:val="32"/>
        </w:rPr>
        <w:t>公务接待费支出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均为非财政拨款支出</w:t>
      </w:r>
      <w:r>
        <w:rPr>
          <w:rFonts w:ascii="Times New Roman" w:hAnsi="Times New Roman" w:eastAsia="仿宋_GB2312" w:cs="Times New Roman"/>
          <w:sz w:val="32"/>
          <w:szCs w:val="32"/>
        </w:rPr>
        <w:t>。决算数小于上年数的主要原因是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本年度</w:t>
      </w:r>
      <w:r>
        <w:rPr>
          <w:rFonts w:ascii="Times New Roman" w:hAnsi="Times New Roman" w:eastAsia="仿宋_GB2312" w:cs="Times New Roman"/>
          <w:sz w:val="32"/>
          <w:szCs w:val="32"/>
        </w:rPr>
        <w:t>公务接待费支出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均为非财政拨款支出，决算数为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0，而上年度决算数为1.08</w:t>
      </w:r>
      <w:r>
        <w:rPr>
          <w:rFonts w:ascii="Times New Roman" w:hAnsi="Times New Roman" w:eastAsia="仿宋_GB2312" w:cs="Times New Roman"/>
          <w:sz w:val="32"/>
          <w:szCs w:val="32"/>
        </w:rPr>
        <w:t>万元。2024年度共接待来访团组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个、来宾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人次。</w:t>
      </w:r>
    </w:p>
    <w:p w14:paraId="3D06ACE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、关于机关运行经费支出说明</w:t>
      </w:r>
    </w:p>
    <w:p w14:paraId="63B8ED90">
      <w:pPr>
        <w:pStyle w:val="14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本级和所属单位均为事业单位，按照机关运行经费的口径，本年度机关运行经费为0。</w:t>
      </w:r>
    </w:p>
    <w:p w14:paraId="39684EF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、一般性支出情况说明</w:t>
      </w:r>
    </w:p>
    <w:p w14:paraId="265F9AC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年度，会议费年初预算0.00万元，支出决算为11.40万元，决算数大于年初预算数的主要原因是本部门未安排会议费年初预算。用于召开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fldChar w:fldCharType="begin"/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instrText xml:space="preserve"> HYPERLINK "https://www.yvtc.edu.cn/video/show-1283.html" \t "https://www.yvtc.edu.cn/_blank" </w:instrTex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1次赛事活动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187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人，内容为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护理国赛。</w:t>
      </w:r>
    </w:p>
    <w:p w14:paraId="6BF19328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培训费年初预算0.00万元，支出决算为154.77万元，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决算数大于年初预算数的主要原因是本部门未安排培训费年初预算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。用于开展促进教师的专业发展，进一步提升教师专业素质和教学技能，积极探索行之有效的教学方法，全面提高教师的教学研究能力的培训，人数2500人，内容为教师春、秋季校本培训、职教集团新入职教师培训班、职教集团中职培训班、岳阳市基层非农在编农技人员培训、护士执照培训、职业规划大赛学生精英训练营培训、平江县高素质农民培训、护理技能赛项培训、护理学院国培课赛融合培训、思政国培、基层农技推广培训班、师资培训等。</w:t>
      </w:r>
    </w:p>
    <w:p w14:paraId="39C2EAB5">
      <w:pPr>
        <w:widowControl w:val="0"/>
        <w:autoSpaceDE w:val="0"/>
        <w:autoSpaceDN w:val="0"/>
        <w:adjustRightInd w:val="0"/>
        <w:ind w:firstLine="640" w:firstLineChars="200"/>
        <w:rPr>
          <w:rFonts w:hint="eastAsia" w:ascii="仿宋_GB2312" w:hAnsi="仿宋_GB2312" w:eastAsia="仿宋_GB2312" w:cs="仿宋_GB2312"/>
          <w:b/>
          <w:bCs/>
          <w:i/>
          <w:color w:val="FF0000"/>
          <w:kern w:val="0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举办节庆、晚会、论坛、赛事活动年初预算0.00万元，支出决算为62.70万元，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决算数大于年初预算数的主要原因是本部门未安排相关年初预算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，主要是十七届校园文化艺术节暨五四表彰晚会、20周年校庆晚会、十八届校园技能节、留学生民俗节日活动、社团文化艺术节、校园体育节、职业教育发展论坛、CAD机械设计大赛、就业创业大学生职业生涯规划大赛、教职工跳绳比赛、教职工羽毛球赛等。</w:t>
      </w:r>
    </w:p>
    <w:p w14:paraId="252D0BE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、关于政府采购支出说明</w:t>
      </w:r>
    </w:p>
    <w:p w14:paraId="4120C9C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年度政府采购支出总额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10920.26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万元，其中：政府采购货物支出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3502.41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万元、政府采购工程支出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2790.43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万元、政府采购服务支出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4627.42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万元。授予中小企业合同金额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10920.26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万元，占政府采购支出总额的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100.00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%，其中：授予小微企业合同金额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9986.56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授予中小企业合同金额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91.45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%。货物采购授予中小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企业合同金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额占货物支出金额的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100.00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%，工程采购授予中小企业合同金额占工程支出金额的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100.00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%，服务采购授予中小企业合同金额占服务支出金额的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100.00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 w14:paraId="246A0DF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、关于国有资产占用情况说明</w:t>
      </w:r>
    </w:p>
    <w:p w14:paraId="37C9D95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截至202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年12月31日，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部门（单位）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共有车辆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，副部（省）级及以上领导用车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机要通信用车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辆、应急保障用车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辆、执法执勤用车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辆、特种专业技术用车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离退休干部服务用车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辆、其他用车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辆，其他用车主要是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处理学院日常事务的公务用车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；单位价值100万元以上设备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（不含车辆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台（套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）。</w:t>
      </w:r>
    </w:p>
    <w:p w14:paraId="0A8224AC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、关于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年度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预算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绩效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管理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情况的说明</w:t>
      </w:r>
    </w:p>
    <w:p w14:paraId="0EB60D67">
      <w:pPr>
        <w:overflowPunct w:val="0"/>
        <w:spacing w:line="600" w:lineRule="exact"/>
        <w:ind w:firstLine="640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（一）绩效评价工作开展情况</w:t>
      </w:r>
    </w:p>
    <w:p w14:paraId="2559DDC6"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绩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效自评开展情况。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组织对2024年度本部门整体支出开展绩效自评，涉及项目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个，共涉及资金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28569.21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万元。其中，一般公共预算项目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4654.77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万元，占一般公共预算支出总额的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29.44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%；政府性基金预算项目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1841.17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万元，占政府性基金预算支出总额的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100.00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%；国有资本经营预算项目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0.00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无法计算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占国有资本经营预算支出总额的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比重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社会保险基金预算项目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0.00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无法计算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占社会保险基金预算支出总额的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比重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。</w:t>
      </w:r>
    </w:p>
    <w:p w14:paraId="66C0EC49">
      <w:pPr>
        <w:numPr>
          <w:ilvl w:val="0"/>
          <w:numId w:val="3"/>
        </w:num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部门评价开展情况</w:t>
      </w:r>
    </w:p>
    <w:p w14:paraId="7C65853C">
      <w:pPr>
        <w:numPr>
          <w:numId w:val="0"/>
        </w:num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FF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本部门仅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组织对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学院本级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2024年度“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产教融合大楼建设项目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国家奖助学金及高校学生服兵役资助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国内债务付息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国内债务还本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科研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升本专项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双高校建设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物流研究院专项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岳阳市农村党员基层干部实用技术培训基地改造维修及设备采购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岳阳职教集团专项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个项目开展了部门评价，涉及一般公共预算支出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4654.77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万元，政府性基金预算支出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1841.17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万元，国有资本经营预算支出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0.00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万元，社会保险基金预算支出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0.00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万元。</w:t>
      </w:r>
    </w:p>
    <w:p w14:paraId="7EB34CBE">
      <w:pPr>
        <w:numPr>
          <w:ilvl w:val="0"/>
          <w:numId w:val="3"/>
        </w:numPr>
        <w:overflowPunct w:val="0"/>
        <w:spacing w:line="600" w:lineRule="exact"/>
        <w:ind w:left="0" w:leftChars="0" w:firstLine="640" w:firstLineChars="200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事前绩效评估开展情况</w:t>
      </w:r>
    </w:p>
    <w:p w14:paraId="0DD47BA3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本单位及所属单位本年度未新增重大政策和重大项目，所以无事前绩效评估开展情况。</w:t>
      </w:r>
    </w:p>
    <w:p w14:paraId="6FC8205B">
      <w:pPr>
        <w:overflowPunct w:val="0"/>
        <w:spacing w:line="600" w:lineRule="exact"/>
        <w:ind w:firstLine="640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（二）绩效评价结果</w:t>
      </w:r>
    </w:p>
    <w:p w14:paraId="0FAFD6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绩效自评结果。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2024年度本部门整体支出</w:t>
      </w:r>
      <w:r>
        <w:rPr>
          <w:rFonts w:ascii="Times New Roman" w:hAnsi="Times New Roman" w:eastAsia="仿宋_GB2312" w:cs="Times New Roman"/>
          <w:sz w:val="32"/>
          <w:szCs w:val="32"/>
        </w:rPr>
        <w:t>全年预算数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29508.33</w:t>
      </w:r>
      <w:r>
        <w:rPr>
          <w:rFonts w:ascii="Times New Roman" w:hAnsi="Times New Roman" w:eastAsia="仿宋_GB2312" w:cs="Times New Roman"/>
          <w:sz w:val="32"/>
          <w:szCs w:val="32"/>
        </w:rPr>
        <w:t>万元，执行数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28569.21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96.82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，绩效自评得分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96.7</w:t>
      </w:r>
      <w:r>
        <w:rPr>
          <w:rFonts w:ascii="Times New Roman" w:hAnsi="Times New Roman" w:eastAsia="仿宋_GB2312" w:cs="Times New Roman"/>
          <w:sz w:val="32"/>
          <w:szCs w:val="32"/>
        </w:rPr>
        <w:t>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，评价等级为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优秀</w:t>
      </w:r>
      <w:r>
        <w:rPr>
          <w:rFonts w:ascii="Times New Roman" w:hAnsi="Times New Roman" w:eastAsia="仿宋_GB2312" w:cs="Times New Roman"/>
          <w:sz w:val="32"/>
          <w:szCs w:val="32"/>
        </w:rPr>
        <w:t>”。绩效目标完成情况：</w:t>
      </w:r>
    </w:p>
    <w:p w14:paraId="68849E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立了教育、宣传、考核、激励、监督、惩处六级联动师德教育工作机制，将师德考核作为入职、绩效、职称评聘、各类人才推荐的首要标准，建立师德违规查处通报和报告制度，对师德失范行为“零容忍”，评选师德标兵、“最美教师”等35名。实施“人才强校”战略，抓好引才、育才、用才、留才等环节，两年来，引培硕士研究生90名、博士研究生26名，45岁以下专任教师硕博比达89.16%。</w:t>
      </w:r>
    </w:p>
    <w:p w14:paraId="69CA63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坚持和完善教师“六步成长法”，实施高层次人才引进、拔尖人才培养、“企业导师”引领、“双师双能”提升“四大”工程，建立大师名师工作室20个，推动学校教师进企业、企业教师进课堂、大国工匠进校园。学校被省教育厅纳入全省首批13个“双师型”教师认定试点学校。 拥有国家职业教育教师（教学）创新团队2个、“全国高校黄大年式教师团队”1个、省级教师教学创新团队3个，国家级专业教学资源库1个，“十四五”国家规划教材7本。1人荣获首届“全国教材建设先进个人”称号。</w:t>
      </w:r>
    </w:p>
    <w:p w14:paraId="2169D0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构建了教师教学成长发展培训服务体系，承办“十四五”职业院校教师素质提高计划培训项目17个，实施“职教国培”示范项目1个，助力教师教育教学、科学研究等方面能力提升。立项“全国高校黄大年式教师团队”1个，国家级教师教学创新团队2个，国家级教学名师1人，湖南省“楚怡”教师创新团队2个，“楚怡”工坊和大师工作室各2个，省级教学名师3人，省级青年骨干教师7人。</w:t>
      </w:r>
    </w:p>
    <w:p w14:paraId="5F105D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产教融合，开发模块化课程群60个。建成国家专业教学资源库1个，省级专业教学资源库3个，国家精品在线开放课程2门，省级精品在线开放课程32门，获评省级优秀人才培养方案和技能考核标准6个。立项职业教育现场工程师专项培养项目1个，立项国家级规划教材5本、省级优秀教材4本。打造互动立体智能的智慧课堂教学平台，推动课堂革命。</w:t>
      </w:r>
    </w:p>
    <w:p w14:paraId="287C3B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有国家级专业教学资源库1个、省级2个，精品课程260门。另有校级线上资源课程资源665门、微课视频近30000个、培训资源23066个，VR资源20个。建成普通型智慧教室210间、智慧实训室77间，常态化录播教室10间，直播教室1间，虚拟仿真实训室1个，3D数字人体生命科技馆1个。建成教学服务云平台，服务社区及农科技人员46035人。智慧课堂实现了全部课程线上线下教学，使用率达100%。</w:t>
      </w:r>
    </w:p>
    <w:p w14:paraId="565272EF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z w:val="32"/>
          <w:szCs w:val="32"/>
        </w:rPr>
        <w:t>发现的主要问题及原因：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预算项目安排计划性有待加强。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有的预算项目前期可行性论证不充分，建设条件还不完全成熟，加上年度预算安排的项目偏多，造成学校整体预算执行没有达到预期目标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；二是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财务工作信息化水平有待提高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由于财务工作日益复杂，从深度、宽度以及难度都明显提高，财务工作对信息化程度的要求与日俱增；三是财务管理制度需进一步补充完善。先后出台岳阳职院《预算管理办法》《经费开支审批管理办法》《采购管理内控制度》等，为项目建设健康有序推进提供制度保障，但是仍然存在财务制度修订有待完善，项目库建设有待加强，影响了学校建设任务稳步推进。</w:t>
      </w:r>
    </w:p>
    <w:p w14:paraId="3F323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下一步改进措施：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一是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进一步规范项目预算管理。按照注重绩效、提高效率的原则，加快“项目库”的建设，资金重点安排论证充分、形成实际支出快、效益产出相对高的项目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；二是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进一步加强信息化建设。以信息化手段提升管理效能，加强对财务人员的信息技术及专业基础知识培训，加强“业财融合”推进；三是进一步健全财务管理制度。围绕教育教学工作中心，结合在财务管理方面的问题，尤其是对预算编制与执行方面存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在的问题，建立科学合理、层次清晰、责任明确、内容详实、流程规范、报账便捷的财务管理制度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11CFA110"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部门评价结果</w:t>
      </w:r>
    </w:p>
    <w:p w14:paraId="6993CCFC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对本部门所属单位本年度未开展部门评价，仅对部门本级进行绩效自评，部门评价结果可详见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绩效自评结果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。</w:t>
      </w:r>
    </w:p>
    <w:p w14:paraId="45968187"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事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前绩效评估结果</w:t>
      </w:r>
    </w:p>
    <w:p w14:paraId="594CEC69"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本单位及所属单位本年度未开展事前绩效评估，所以无事前绩效评估结果。</w:t>
      </w:r>
    </w:p>
    <w:p w14:paraId="5DC4775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left"/>
        <w:textAlignment w:val="auto"/>
        <w:rPr>
          <w:rFonts w:hint="eastAsia" w:ascii="Times New Roman" w:hAnsi="Times New Roman" w:eastAsia="仿宋_GB2312"/>
          <w:color w:val="FF0000"/>
          <w:sz w:val="32"/>
          <w:szCs w:val="32"/>
        </w:rPr>
      </w:pPr>
    </w:p>
    <w:p w14:paraId="2C89E516">
      <w:pPr>
        <w:numPr>
          <w:ilvl w:val="0"/>
          <w:numId w:val="4"/>
        </w:num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评价结果应用情况</w:t>
      </w:r>
    </w:p>
    <w:p w14:paraId="29A885FD">
      <w:pPr>
        <w:autoSpaceDE w:val="0"/>
        <w:autoSpaceDN w:val="0"/>
        <w:adjustRightInd w:val="0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将绩效评价结果作为完善政策、改进管理的重要依据，修订内部财务与预算管理办法，强化绩效导向，建立评价结果与预算安排、政策调整的实质性挂钩机制，提升整体预算绩效管理水平。</w:t>
      </w:r>
    </w:p>
    <w:p w14:paraId="5E8AD5A5"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预算绩效管理开展情况、绩效目标和绩效评价报告等，已在市政府部门财政预决算公开平台上向社会公开，详见附件。</w:t>
      </w:r>
    </w:p>
    <w:p w14:paraId="62BEA247">
      <w:pPr>
        <w:pStyle w:val="8"/>
        <w:rPr>
          <w:rFonts w:hint="eastAsia"/>
          <w:lang w:val="en-US" w:eastAsia="zh-CN"/>
        </w:rPr>
      </w:pPr>
    </w:p>
    <w:p w14:paraId="47586AB8"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 w:ascii="楷体" w:hAnsi="楷体" w:eastAsia="楷体" w:cs="楷体"/>
          <w:b/>
          <w:bCs/>
          <w:i w:val="0"/>
          <w:iCs w:val="0"/>
          <w:color w:val="FF0000"/>
          <w:kern w:val="0"/>
          <w:sz w:val="36"/>
          <w:szCs w:val="36"/>
          <w:lang w:val="en-US" w:eastAsia="zh-CN"/>
        </w:rPr>
      </w:pPr>
    </w:p>
    <w:p w14:paraId="147E06D0">
      <w:pPr>
        <w:pStyle w:val="14"/>
        <w:jc w:val="both"/>
        <w:rPr>
          <w:rFonts w:hint="eastAsia" w:ascii="方正小标宋_GBK" w:hAnsi="方正小标宋_GBK" w:eastAsia="方正小标宋_GBK" w:cs="方正小标宋_GBK"/>
          <w:sz w:val="24"/>
          <w:szCs w:val="24"/>
        </w:rPr>
      </w:pPr>
    </w:p>
    <w:p w14:paraId="3D83FDA1">
      <w:pPr>
        <w:pStyle w:val="14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6FB6F211">
      <w:pPr>
        <w:pStyle w:val="14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3A01B6B0">
      <w:pPr>
        <w:pStyle w:val="14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475C1000">
      <w:pPr>
        <w:pStyle w:val="14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6A5A782C">
      <w:pPr>
        <w:pStyle w:val="14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第四部分</w:t>
      </w:r>
    </w:p>
    <w:p w14:paraId="2DDD6447"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</w:pPr>
    </w:p>
    <w:p w14:paraId="41992F86">
      <w:pPr>
        <w:pStyle w:val="14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  <w:t>名词解释</w:t>
      </w:r>
    </w:p>
    <w:p w14:paraId="571298D0">
      <w:pPr>
        <w:pStyle w:val="8"/>
      </w:pPr>
    </w:p>
    <w:p w14:paraId="5331F884">
      <w:pPr>
        <w:pStyle w:val="2"/>
      </w:pPr>
    </w:p>
    <w:p w14:paraId="2CCAD852"/>
    <w:p w14:paraId="440E89DF">
      <w:pPr>
        <w:pStyle w:val="8"/>
      </w:pPr>
    </w:p>
    <w:p w14:paraId="645B9B76">
      <w:pPr>
        <w:pStyle w:val="2"/>
      </w:pPr>
    </w:p>
    <w:p w14:paraId="539F25AC"/>
    <w:p w14:paraId="47AFAB8F">
      <w:pPr>
        <w:pStyle w:val="8"/>
      </w:pPr>
    </w:p>
    <w:p w14:paraId="479D6353">
      <w:pPr>
        <w:pStyle w:val="2"/>
      </w:pPr>
    </w:p>
    <w:p w14:paraId="648103ED"/>
    <w:p w14:paraId="08A5EA8F">
      <w:pPr>
        <w:pStyle w:val="8"/>
      </w:pPr>
    </w:p>
    <w:p w14:paraId="3FD0BAB6">
      <w:pPr>
        <w:pStyle w:val="2"/>
      </w:pPr>
    </w:p>
    <w:p w14:paraId="1CAE18D7"/>
    <w:p w14:paraId="5994BDDC">
      <w:pPr>
        <w:pStyle w:val="8"/>
      </w:pPr>
    </w:p>
    <w:p w14:paraId="51F60F8D">
      <w:pPr>
        <w:pStyle w:val="2"/>
      </w:pPr>
    </w:p>
    <w:p w14:paraId="715B8195"/>
    <w:p w14:paraId="3F608935">
      <w:pPr>
        <w:pStyle w:val="8"/>
      </w:pPr>
    </w:p>
    <w:p w14:paraId="274FE3C9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1741E604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02E59030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61CE71B9">
      <w:pPr>
        <w:pStyle w:val="8"/>
        <w:rPr>
          <w:rFonts w:hint="eastAsia"/>
        </w:rPr>
      </w:pPr>
    </w:p>
    <w:p w14:paraId="793F6BC2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754BC716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14:paraId="575346AC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二、机关运行经费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，指为保障行政单位（包括参照公务员法管理的事业单位）运行用于购买货物和服务的各项资金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，包括办公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费、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印刷费、邮电费、差旅费、会议费、日常维修费、专用材料及一般设备购置费、办公用房水电费、办公用房取暖费、办公用房物业管理费、公务用车运行维护费以及其他费用。</w:t>
      </w:r>
    </w:p>
    <w:p w14:paraId="2AE81CE8">
      <w:pPr>
        <w:pStyle w:val="14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47518A">
      <w:pPr>
        <w:pStyle w:val="2"/>
      </w:pPr>
    </w:p>
    <w:p w14:paraId="580CF8E4"/>
    <w:p w14:paraId="0C17744C">
      <w:pPr>
        <w:pStyle w:val="8"/>
      </w:pPr>
    </w:p>
    <w:p w14:paraId="7B8BABF4">
      <w:pPr>
        <w:pStyle w:val="2"/>
      </w:pPr>
    </w:p>
    <w:p w14:paraId="1942C0DC"/>
    <w:p w14:paraId="6E2D1EEF">
      <w:pPr>
        <w:pStyle w:val="8"/>
      </w:pPr>
    </w:p>
    <w:p w14:paraId="5F6ABC3B">
      <w:pPr>
        <w:pStyle w:val="2"/>
      </w:pPr>
    </w:p>
    <w:p w14:paraId="51BE6437"/>
    <w:p w14:paraId="05344CBA">
      <w:pPr>
        <w:pStyle w:val="8"/>
      </w:pPr>
    </w:p>
    <w:p w14:paraId="5C9170AD">
      <w:pPr>
        <w:pStyle w:val="2"/>
      </w:pPr>
    </w:p>
    <w:p w14:paraId="29D3A91E"/>
    <w:p w14:paraId="0D2A994E">
      <w:pPr>
        <w:pStyle w:val="8"/>
      </w:pPr>
    </w:p>
    <w:p w14:paraId="59CBCCA7">
      <w:pPr>
        <w:pStyle w:val="2"/>
      </w:pPr>
    </w:p>
    <w:p w14:paraId="67806EBD"/>
    <w:p w14:paraId="7C18BB03">
      <w:pPr>
        <w:pStyle w:val="8"/>
      </w:pPr>
    </w:p>
    <w:p w14:paraId="29230CAD">
      <w:pPr>
        <w:pStyle w:val="2"/>
      </w:pPr>
    </w:p>
    <w:p w14:paraId="724E0A54"/>
    <w:p w14:paraId="496F732E">
      <w:pPr>
        <w:pStyle w:val="8"/>
      </w:pPr>
    </w:p>
    <w:p w14:paraId="354ECFD8">
      <w:pPr>
        <w:pStyle w:val="2"/>
      </w:pPr>
    </w:p>
    <w:p w14:paraId="4D131F3E">
      <w:pPr>
        <w:rPr>
          <w:rFonts w:hint="eastAsia" w:eastAsiaTheme="minorEastAsia"/>
          <w:lang w:eastAsia="zh-CN"/>
        </w:rPr>
      </w:pPr>
    </w:p>
    <w:p w14:paraId="7937B5DB">
      <w:pPr>
        <w:pStyle w:val="2"/>
        <w:rPr>
          <w:rFonts w:hint="eastAsia" w:eastAsiaTheme="minorEastAsia"/>
          <w:lang w:eastAsia="zh-CN"/>
        </w:rPr>
      </w:pPr>
    </w:p>
    <w:p w14:paraId="1FB38FF1">
      <w:pPr>
        <w:rPr>
          <w:rFonts w:hint="eastAsia" w:eastAsiaTheme="minorEastAsia"/>
          <w:lang w:eastAsia="zh-CN"/>
        </w:rPr>
      </w:pPr>
    </w:p>
    <w:p w14:paraId="3D07BC24">
      <w:pPr>
        <w:pStyle w:val="2"/>
        <w:rPr>
          <w:rFonts w:hint="eastAsia" w:eastAsiaTheme="minorEastAsia"/>
          <w:lang w:eastAsia="zh-CN"/>
        </w:rPr>
      </w:pPr>
    </w:p>
    <w:p w14:paraId="50183C71">
      <w:pPr>
        <w:rPr>
          <w:rFonts w:hint="eastAsia" w:eastAsiaTheme="minorEastAsia"/>
          <w:lang w:eastAsia="zh-CN"/>
        </w:rPr>
      </w:pPr>
    </w:p>
    <w:p w14:paraId="434E98D3">
      <w:pPr>
        <w:pStyle w:val="2"/>
        <w:rPr>
          <w:rFonts w:hint="eastAsia"/>
          <w:lang w:eastAsia="zh-CN"/>
        </w:rPr>
      </w:pPr>
      <w:bookmarkStart w:id="0" w:name="_GoBack"/>
      <w:bookmarkEnd w:id="0"/>
    </w:p>
    <w:p w14:paraId="7CFBCE3C">
      <w:pPr>
        <w:pStyle w:val="8"/>
      </w:pPr>
    </w:p>
    <w:p w14:paraId="5C3DE094">
      <w:pPr>
        <w:pStyle w:val="14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0C1858E3">
      <w:pPr>
        <w:pStyle w:val="14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</w:t>
      </w:r>
      <w:r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部分</w:t>
      </w:r>
    </w:p>
    <w:p w14:paraId="592BF6CA">
      <w:pPr>
        <w:pStyle w:val="14"/>
        <w:jc w:val="both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</w:p>
    <w:p w14:paraId="490142D3">
      <w:pPr>
        <w:pStyle w:val="14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附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件</w:t>
      </w:r>
    </w:p>
    <w:p w14:paraId="3243C04E"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</w:p>
    <w:p w14:paraId="4EAC9354"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年部门决算公开表格</w:t>
      </w:r>
    </w:p>
    <w:p w14:paraId="27E2EE8B">
      <w:pPr>
        <w:ind w:firstLine="640" w:firstLineChars="200"/>
        <w:jc w:val="left"/>
        <w:rPr>
          <w:rFonts w:ascii="宋体" w:hAnsi="宋体" w:eastAsia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</w:rPr>
        <w:t>年度部门整体支出绩效评价报告</w:t>
      </w:r>
    </w:p>
    <w:p w14:paraId="045AD96C"/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ECFD4"/>
    <w:multiLevelType w:val="singleLevel"/>
    <w:tmpl w:val="8EDECFD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3CBC331"/>
    <w:multiLevelType w:val="singleLevel"/>
    <w:tmpl w:val="E3CBC33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73518C1"/>
    <w:multiLevelType w:val="multilevel"/>
    <w:tmpl w:val="373518C1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FFAC86"/>
    <w:multiLevelType w:val="singleLevel"/>
    <w:tmpl w:val="41FFAC8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B4D8E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4241F14"/>
    <w:rsid w:val="059958AD"/>
    <w:rsid w:val="05EE749B"/>
    <w:rsid w:val="06C857E7"/>
    <w:rsid w:val="08C24A73"/>
    <w:rsid w:val="11944E2C"/>
    <w:rsid w:val="12583BA5"/>
    <w:rsid w:val="13BA5B9C"/>
    <w:rsid w:val="15931486"/>
    <w:rsid w:val="19AB6BFD"/>
    <w:rsid w:val="1D282499"/>
    <w:rsid w:val="1D97DEFF"/>
    <w:rsid w:val="1DDC0E05"/>
    <w:rsid w:val="1DFF72E5"/>
    <w:rsid w:val="1E544C56"/>
    <w:rsid w:val="1EFC6F07"/>
    <w:rsid w:val="1F0527A6"/>
    <w:rsid w:val="22AC03C2"/>
    <w:rsid w:val="22C30D9A"/>
    <w:rsid w:val="283B15FE"/>
    <w:rsid w:val="2D4A096F"/>
    <w:rsid w:val="2FDF85B8"/>
    <w:rsid w:val="2FFFEE04"/>
    <w:rsid w:val="31C95635"/>
    <w:rsid w:val="320E0740"/>
    <w:rsid w:val="34DF85B0"/>
    <w:rsid w:val="35A06293"/>
    <w:rsid w:val="3A643A3F"/>
    <w:rsid w:val="3B59775A"/>
    <w:rsid w:val="3B8F36BC"/>
    <w:rsid w:val="3EAD617A"/>
    <w:rsid w:val="43EB5BA5"/>
    <w:rsid w:val="491FF225"/>
    <w:rsid w:val="4EC310A1"/>
    <w:rsid w:val="4FFD214C"/>
    <w:rsid w:val="5352765A"/>
    <w:rsid w:val="5777D4F5"/>
    <w:rsid w:val="57F22B6F"/>
    <w:rsid w:val="59BD3354"/>
    <w:rsid w:val="59DD8326"/>
    <w:rsid w:val="5C904C3B"/>
    <w:rsid w:val="5DEF592A"/>
    <w:rsid w:val="5FC6BB1E"/>
    <w:rsid w:val="5FF720F1"/>
    <w:rsid w:val="622964C1"/>
    <w:rsid w:val="67220C03"/>
    <w:rsid w:val="67FF5C0B"/>
    <w:rsid w:val="6B215101"/>
    <w:rsid w:val="6BAA4A2F"/>
    <w:rsid w:val="6DDEC5C0"/>
    <w:rsid w:val="6EFC0924"/>
    <w:rsid w:val="6FB74722"/>
    <w:rsid w:val="6FEF8B7E"/>
    <w:rsid w:val="717FE77F"/>
    <w:rsid w:val="71A6591B"/>
    <w:rsid w:val="737D59BA"/>
    <w:rsid w:val="737F32B1"/>
    <w:rsid w:val="73BD3FCA"/>
    <w:rsid w:val="75346BAC"/>
    <w:rsid w:val="754730F9"/>
    <w:rsid w:val="776BDA01"/>
    <w:rsid w:val="77C37683"/>
    <w:rsid w:val="79FF515B"/>
    <w:rsid w:val="7AE079BA"/>
    <w:rsid w:val="7DFBFF20"/>
    <w:rsid w:val="7E9E1962"/>
    <w:rsid w:val="7E9F11B4"/>
    <w:rsid w:val="7F37EC1E"/>
    <w:rsid w:val="7F7C0DDA"/>
    <w:rsid w:val="7F7DCD9D"/>
    <w:rsid w:val="7F970A6F"/>
    <w:rsid w:val="7FC1FFF3"/>
    <w:rsid w:val="7FC69637"/>
    <w:rsid w:val="7FDF8620"/>
    <w:rsid w:val="7FFB242F"/>
    <w:rsid w:val="7FFDB408"/>
    <w:rsid w:val="7FFE4EEB"/>
    <w:rsid w:val="95FB2B98"/>
    <w:rsid w:val="9A639BC2"/>
    <w:rsid w:val="9FF7D786"/>
    <w:rsid w:val="ABBFB23D"/>
    <w:rsid w:val="B6BE5A03"/>
    <w:rsid w:val="B8C93228"/>
    <w:rsid w:val="C3B4DA5A"/>
    <w:rsid w:val="C4FF458C"/>
    <w:rsid w:val="C7BBD038"/>
    <w:rsid w:val="CBFF70E0"/>
    <w:rsid w:val="CFF50B82"/>
    <w:rsid w:val="CFFFAD89"/>
    <w:rsid w:val="DFFE359E"/>
    <w:rsid w:val="DFFE4FFD"/>
    <w:rsid w:val="DFFF5403"/>
    <w:rsid w:val="EBC3E00A"/>
    <w:rsid w:val="EDFBE100"/>
    <w:rsid w:val="EEABED75"/>
    <w:rsid w:val="EF7E8003"/>
    <w:rsid w:val="F56FDF51"/>
    <w:rsid w:val="F5F3EE78"/>
    <w:rsid w:val="F6B69F17"/>
    <w:rsid w:val="F6E5BB3A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CF21CB"/>
    <w:rsid w:val="FFF94102"/>
    <w:rsid w:val="FFFF1C8B"/>
    <w:rsid w:val="FF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2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next w:val="2"/>
    <w:semiHidden/>
    <w:qFormat/>
    <w:uiPriority w:val="0"/>
    <w:pPr>
      <w:snapToGrid w:val="0"/>
      <w:jc w:val="left"/>
    </w:pPr>
    <w:rPr>
      <w:sz w:val="18"/>
      <w:szCs w:val="18"/>
    </w:rPr>
  </w:style>
  <w:style w:type="character" w:styleId="11">
    <w:name w:val="Hyperlink"/>
    <w:basedOn w:val="10"/>
    <w:semiHidden/>
    <w:unhideWhenUsed/>
    <w:uiPriority w:val="99"/>
    <w:rPr>
      <w:color w:val="0000FF"/>
      <w:u w:val="single"/>
    </w:rPr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7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8927</Words>
  <Characters>9825</Characters>
  <Lines>63</Lines>
  <Paragraphs>18</Paragraphs>
  <TotalTime>22</TotalTime>
  <ScaleCrop>false</ScaleCrop>
  <LinksUpToDate>false</LinksUpToDate>
  <CharactersWithSpaces>9857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2020-07-10T18:32:00Z</dcterms:created>
  <dc:creator>李航 null</dc:creator>
  <cp:lastModifiedBy>粟超艺</cp:lastModifiedBy>
  <cp:lastPrinted>2024-08-11T02:20:00Z</cp:lastPrinted>
  <dcterms:modified xsi:type="dcterms:W3CDTF">2025-10-20T08:11:17Z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98623D6660B449428EB8E073C6C952EA</vt:lpwstr>
  </property>
  <property fmtid="{D5CDD505-2E9C-101B-9397-08002B2CF9AE}" pid="4" name="KSOTemplateDocerSaveRecord">
    <vt:lpwstr>eyJoZGlkIjoiNGVkYjg1MTc1MDJlNGI0MmRjZjZlYWQ5OGFiZjk4MDMiLCJ1c2VySWQiOiIxNDc2NDcyMjM2In0=</vt:lpwstr>
  </property>
</Properties>
</file>