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D145DE">
      <w:pPr>
        <w:pStyle w:val="13"/>
        <w:jc w:val="center"/>
        <w:rPr>
          <w:sz w:val="56"/>
          <w:szCs w:val="56"/>
        </w:rPr>
      </w:pPr>
    </w:p>
    <w:p w14:paraId="11AB71FC">
      <w:pPr>
        <w:pStyle w:val="13"/>
        <w:jc w:val="center"/>
        <w:rPr>
          <w:sz w:val="56"/>
          <w:szCs w:val="56"/>
        </w:rPr>
      </w:pPr>
    </w:p>
    <w:p w14:paraId="7D91CC97">
      <w:pPr>
        <w:pStyle w:val="13"/>
        <w:jc w:val="center"/>
        <w:rPr>
          <w:sz w:val="84"/>
          <w:szCs w:val="84"/>
        </w:rPr>
      </w:pPr>
    </w:p>
    <w:p w14:paraId="6097A984">
      <w:pPr>
        <w:pStyle w:val="13"/>
        <w:jc w:val="center"/>
        <w:rPr>
          <w:sz w:val="84"/>
          <w:szCs w:val="84"/>
        </w:rPr>
      </w:pPr>
    </w:p>
    <w:p w14:paraId="4A1F859A">
      <w:pPr>
        <w:pStyle w:val="13"/>
        <w:jc w:val="center"/>
        <w:rPr>
          <w:rFonts w:ascii="方正小标宋_GBK" w:hAnsi="方正小标宋_GBK" w:eastAsia="方正小标宋_GBK" w:cs="方正小标宋_GBK"/>
          <w:sz w:val="84"/>
          <w:szCs w:val="84"/>
        </w:rPr>
      </w:pPr>
      <w:r>
        <w:rPr>
          <w:rFonts w:hint="eastAsia" w:ascii="方正小标宋_GBK" w:hAnsi="方正小标宋_GBK" w:eastAsia="方正小标宋_GBK" w:cs="方正小标宋_GBK"/>
          <w:sz w:val="84"/>
          <w:szCs w:val="84"/>
        </w:rPr>
        <w:t>202</w:t>
      </w:r>
      <w:r>
        <w:rPr>
          <w:rFonts w:hint="eastAsia" w:ascii="方正小标宋_GBK" w:hAnsi="方正小标宋_GBK" w:eastAsia="方正小标宋_GBK" w:cs="方正小标宋_GBK"/>
          <w:sz w:val="84"/>
          <w:szCs w:val="84"/>
          <w:lang w:val="en-US" w:eastAsia="zh-CN"/>
        </w:rPr>
        <w:t>4</w:t>
      </w:r>
      <w:r>
        <w:rPr>
          <w:rFonts w:hint="eastAsia" w:ascii="方正小标宋_GBK" w:hAnsi="方正小标宋_GBK" w:eastAsia="方正小标宋_GBK" w:cs="方正小标宋_GBK"/>
          <w:sz w:val="84"/>
          <w:szCs w:val="84"/>
        </w:rPr>
        <w:t>年度</w:t>
      </w:r>
    </w:p>
    <w:p w14:paraId="25A9F3DD">
      <w:pPr>
        <w:pStyle w:val="13"/>
        <w:jc w:val="center"/>
        <w:rPr>
          <w:sz w:val="84"/>
          <w:szCs w:val="84"/>
        </w:rPr>
      </w:pPr>
      <w:r>
        <w:rPr>
          <w:rFonts w:hint="eastAsia"/>
          <w:sz w:val="84"/>
          <w:szCs w:val="84"/>
        </w:rPr>
        <w:t>中共岳阳市委组织部</w:t>
      </w:r>
    </w:p>
    <w:p w14:paraId="78BF8BCD">
      <w:pPr>
        <w:pStyle w:val="13"/>
        <w:jc w:val="center"/>
        <w:rPr>
          <w:sz w:val="84"/>
          <w:szCs w:val="84"/>
        </w:rPr>
      </w:pPr>
      <w:r>
        <w:rPr>
          <w:rFonts w:hint="eastAsia"/>
          <w:sz w:val="84"/>
          <w:szCs w:val="84"/>
        </w:rPr>
        <w:t>部门决算</w:t>
      </w:r>
    </w:p>
    <w:p w14:paraId="13C983A1">
      <w:pPr>
        <w:pStyle w:val="13"/>
        <w:jc w:val="center"/>
        <w:rPr>
          <w:rFonts w:ascii="方正小标宋_GBK" w:hAnsi="方正小标宋_GBK" w:eastAsia="方正小标宋_GBK" w:cs="方正小标宋_GBK"/>
          <w:sz w:val="56"/>
          <w:szCs w:val="56"/>
        </w:rPr>
      </w:pPr>
    </w:p>
    <w:p w14:paraId="4565140F">
      <w:pPr>
        <w:pStyle w:val="13"/>
        <w:jc w:val="center"/>
        <w:rPr>
          <w:sz w:val="56"/>
          <w:szCs w:val="56"/>
        </w:rPr>
      </w:pPr>
    </w:p>
    <w:p w14:paraId="2850F77E">
      <w:pPr>
        <w:pStyle w:val="13"/>
        <w:jc w:val="center"/>
        <w:rPr>
          <w:sz w:val="56"/>
          <w:szCs w:val="56"/>
        </w:rPr>
      </w:pPr>
    </w:p>
    <w:p w14:paraId="55D5FFA2">
      <w:pPr>
        <w:pStyle w:val="13"/>
        <w:jc w:val="center"/>
        <w:rPr>
          <w:sz w:val="56"/>
          <w:szCs w:val="56"/>
        </w:rPr>
      </w:pPr>
    </w:p>
    <w:p w14:paraId="1B4FF26C">
      <w:pPr>
        <w:pStyle w:val="13"/>
        <w:jc w:val="center"/>
        <w:rPr>
          <w:sz w:val="32"/>
          <w:szCs w:val="32"/>
        </w:rPr>
      </w:pPr>
    </w:p>
    <w:p w14:paraId="59A971B4">
      <w:pPr>
        <w:pStyle w:val="13"/>
        <w:jc w:val="center"/>
        <w:rPr>
          <w:sz w:val="32"/>
          <w:szCs w:val="32"/>
        </w:rPr>
      </w:pPr>
    </w:p>
    <w:p w14:paraId="198558C6">
      <w:pPr>
        <w:pStyle w:val="13"/>
        <w:jc w:val="center"/>
        <w:rPr>
          <w:sz w:val="32"/>
          <w:szCs w:val="32"/>
        </w:rPr>
      </w:pPr>
    </w:p>
    <w:p w14:paraId="60A1F70D">
      <w:pPr>
        <w:pStyle w:val="13"/>
        <w:spacing w:line="500" w:lineRule="exact"/>
        <w:jc w:val="both"/>
        <w:rPr>
          <w:b/>
          <w:sz w:val="36"/>
          <w:szCs w:val="28"/>
        </w:rPr>
      </w:pPr>
    </w:p>
    <w:p w14:paraId="6B17385F">
      <w:pPr>
        <w:spacing w:line="520" w:lineRule="exact"/>
        <w:jc w:val="center"/>
        <w:rPr>
          <w:rFonts w:ascii="黑体" w:hAnsi="黑体" w:eastAsia="黑体"/>
          <w:color w:val="000000"/>
          <w:kern w:val="0"/>
          <w:sz w:val="44"/>
          <w:szCs w:val="24"/>
          <w:highlight w:val="white"/>
        </w:rPr>
      </w:pPr>
      <w:r>
        <w:rPr>
          <w:rFonts w:hint="eastAsia" w:ascii="黑体" w:hAnsi="黑体" w:eastAsia="黑体"/>
          <w:color w:val="000000"/>
          <w:kern w:val="0"/>
          <w:sz w:val="44"/>
          <w:szCs w:val="24"/>
          <w:highlight w:val="white"/>
        </w:rPr>
        <w:t>目  录</w:t>
      </w:r>
    </w:p>
    <w:p w14:paraId="2ABBA3A4">
      <w:pPr>
        <w:pStyle w:val="13"/>
        <w:spacing w:line="500" w:lineRule="exact"/>
        <w:rPr>
          <w:sz w:val="32"/>
          <w:szCs w:val="32"/>
        </w:rPr>
      </w:pPr>
    </w:p>
    <w:p w14:paraId="3819C51F">
      <w:pPr>
        <w:pStyle w:val="13"/>
        <w:spacing w:line="500" w:lineRule="exact"/>
        <w:rPr>
          <w:sz w:val="32"/>
          <w:szCs w:val="32"/>
        </w:rPr>
      </w:pPr>
      <w:r>
        <w:rPr>
          <w:rFonts w:hint="eastAsia"/>
          <w:sz w:val="32"/>
          <w:szCs w:val="32"/>
        </w:rPr>
        <w:t>第一部分</w:t>
      </w:r>
      <w:r>
        <w:rPr>
          <w:rFonts w:hint="eastAsia"/>
          <w:sz w:val="32"/>
          <w:szCs w:val="32"/>
          <w:lang w:val="en-US" w:eastAsia="zh-CN"/>
        </w:rPr>
        <w:t xml:space="preserve"> </w:t>
      </w:r>
      <w:r>
        <w:rPr>
          <w:rFonts w:hint="eastAsia"/>
          <w:sz w:val="32"/>
          <w:szCs w:val="32"/>
        </w:rPr>
        <w:t>中共岳阳市委组织部概况</w:t>
      </w:r>
    </w:p>
    <w:p w14:paraId="1F17D902">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一、部门职责</w:t>
      </w:r>
    </w:p>
    <w:p w14:paraId="730C7767">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二、机构设置及决算单位构成</w:t>
      </w:r>
    </w:p>
    <w:p w14:paraId="640EE958">
      <w:pPr>
        <w:pStyle w:val="13"/>
        <w:spacing w:line="500" w:lineRule="exact"/>
        <w:rPr>
          <w:sz w:val="32"/>
          <w:szCs w:val="32"/>
        </w:rPr>
      </w:pPr>
      <w:r>
        <w:rPr>
          <w:rFonts w:hint="eastAsia"/>
          <w:sz w:val="32"/>
          <w:szCs w:val="32"/>
        </w:rPr>
        <w:t>第二部分 部门决算表</w:t>
      </w:r>
    </w:p>
    <w:p w14:paraId="6B5E5B19">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一、收入支出决算总表</w:t>
      </w:r>
    </w:p>
    <w:p w14:paraId="7F00F05D">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二、收入决算表</w:t>
      </w:r>
    </w:p>
    <w:p w14:paraId="3674D144">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三、支出决算表</w:t>
      </w:r>
    </w:p>
    <w:p w14:paraId="413CF904">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四、财政拨款收入支出决算总表</w:t>
      </w:r>
    </w:p>
    <w:p w14:paraId="0686620B">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五、一般公共预算财政拨款支出决算表</w:t>
      </w:r>
    </w:p>
    <w:p w14:paraId="42149051">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六、一般公共预算财政拨款基本支出决算明细表</w:t>
      </w:r>
    </w:p>
    <w:p w14:paraId="49A97430">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七、政府性基金预算财政拨款收入支出决算表</w:t>
      </w:r>
    </w:p>
    <w:p w14:paraId="5F6DAEA1">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八、国有资本经营预算财政拨款支出决算表</w:t>
      </w:r>
    </w:p>
    <w:p w14:paraId="7AD0464B">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九、财政拨款“三公”经费支出决算表</w:t>
      </w:r>
    </w:p>
    <w:p w14:paraId="16E59F78">
      <w:pPr>
        <w:pStyle w:val="13"/>
        <w:spacing w:line="500" w:lineRule="exact"/>
        <w:rPr>
          <w:sz w:val="32"/>
          <w:szCs w:val="32"/>
        </w:rPr>
      </w:pPr>
      <w:r>
        <w:rPr>
          <w:rFonts w:hint="eastAsia"/>
          <w:sz w:val="32"/>
          <w:szCs w:val="32"/>
        </w:rPr>
        <w:t>第三部分 部门决算情况说明</w:t>
      </w:r>
    </w:p>
    <w:p w14:paraId="1A4ACEF4">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一、收入支出决算总体情况说明</w:t>
      </w:r>
    </w:p>
    <w:p w14:paraId="6EA0538B">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二、收入决算情况说明</w:t>
      </w:r>
    </w:p>
    <w:p w14:paraId="295D1913">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三、支出决算情况说明</w:t>
      </w:r>
    </w:p>
    <w:p w14:paraId="4E57DE26">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四、财政拨款收入支出决算总体情况说明</w:t>
      </w:r>
    </w:p>
    <w:p w14:paraId="27CD2657">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五、一般公共预算财政拨款支出决算情况说明</w:t>
      </w:r>
    </w:p>
    <w:p w14:paraId="523ED34C">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六、一般公共预算财政拨款基本支出决算情况说明</w:t>
      </w:r>
    </w:p>
    <w:p w14:paraId="196D3163">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七、政府性基金预算收入支出决算情况</w:t>
      </w:r>
    </w:p>
    <w:p w14:paraId="7604A208">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八、国有资本经营预算财政拨款支出决算情况</w:t>
      </w:r>
    </w:p>
    <w:p w14:paraId="34527DE9">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九、财政拨款三公经费支出决算情况说明</w:t>
      </w:r>
    </w:p>
    <w:p w14:paraId="483BBE42">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十、关于机关运行经费支出说明</w:t>
      </w:r>
    </w:p>
    <w:p w14:paraId="0830D51F">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十一、一般性支出情况说明</w:t>
      </w:r>
    </w:p>
    <w:p w14:paraId="7197B3C8">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十二、关于政府采购支出说明</w:t>
      </w:r>
    </w:p>
    <w:p w14:paraId="6A34F89E">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十三、关于国有资产占用情况说明</w:t>
      </w:r>
    </w:p>
    <w:p w14:paraId="1C1716B0">
      <w:pPr>
        <w:spacing w:line="620" w:lineRule="exact"/>
        <w:ind w:firstLine="640" w:firstLineChars="200"/>
        <w:rPr>
          <w:rFonts w:eastAsia="仿宋_GB2312" w:cs="仿宋_GB2312"/>
          <w:kern w:val="0"/>
          <w:sz w:val="32"/>
          <w:szCs w:val="32"/>
        </w:rPr>
      </w:pPr>
      <w:r>
        <w:rPr>
          <w:rFonts w:hint="eastAsia" w:eastAsia="仿宋_GB2312" w:cs="仿宋_GB2312"/>
          <w:kern w:val="0"/>
          <w:sz w:val="32"/>
          <w:szCs w:val="32"/>
        </w:rPr>
        <w:t>十四、关于2024年度预算绩效管理情况的说明</w:t>
      </w:r>
    </w:p>
    <w:p w14:paraId="1E01742C">
      <w:pPr>
        <w:pStyle w:val="13"/>
        <w:spacing w:line="500" w:lineRule="exact"/>
        <w:rPr>
          <w:sz w:val="32"/>
          <w:szCs w:val="32"/>
        </w:rPr>
      </w:pPr>
      <w:r>
        <w:rPr>
          <w:rFonts w:hint="eastAsia"/>
          <w:sz w:val="32"/>
          <w:szCs w:val="32"/>
        </w:rPr>
        <w:t>第四部分 名词解释</w:t>
      </w:r>
    </w:p>
    <w:p w14:paraId="73802507">
      <w:pPr>
        <w:pStyle w:val="13"/>
        <w:spacing w:line="500" w:lineRule="exact"/>
        <w:rPr>
          <w:sz w:val="32"/>
          <w:szCs w:val="32"/>
        </w:rPr>
      </w:pPr>
      <w:r>
        <w:rPr>
          <w:rFonts w:hint="eastAsia"/>
          <w:sz w:val="32"/>
          <w:szCs w:val="32"/>
        </w:rPr>
        <w:t>第五部分 附件</w:t>
      </w:r>
    </w:p>
    <w:p w14:paraId="135ED7DB">
      <w:pPr>
        <w:jc w:val="center"/>
        <w:rPr>
          <w:sz w:val="72"/>
          <w:szCs w:val="72"/>
        </w:rPr>
      </w:pPr>
    </w:p>
    <w:p w14:paraId="17724F55">
      <w:pPr>
        <w:jc w:val="center"/>
        <w:rPr>
          <w:sz w:val="72"/>
          <w:szCs w:val="72"/>
        </w:rPr>
      </w:pPr>
    </w:p>
    <w:p w14:paraId="7E989851">
      <w:pPr>
        <w:jc w:val="center"/>
        <w:rPr>
          <w:sz w:val="72"/>
          <w:szCs w:val="72"/>
        </w:rPr>
      </w:pPr>
    </w:p>
    <w:p w14:paraId="1839530E">
      <w:pPr>
        <w:jc w:val="center"/>
        <w:rPr>
          <w:sz w:val="72"/>
          <w:szCs w:val="72"/>
        </w:rPr>
      </w:pPr>
    </w:p>
    <w:p w14:paraId="2A9E2790">
      <w:pPr>
        <w:jc w:val="center"/>
        <w:rPr>
          <w:sz w:val="72"/>
          <w:szCs w:val="72"/>
        </w:rPr>
      </w:pPr>
    </w:p>
    <w:p w14:paraId="4FA81452">
      <w:pPr>
        <w:jc w:val="center"/>
        <w:rPr>
          <w:sz w:val="72"/>
          <w:szCs w:val="72"/>
        </w:rPr>
      </w:pPr>
    </w:p>
    <w:p w14:paraId="58BB22BD">
      <w:pPr>
        <w:jc w:val="center"/>
        <w:rPr>
          <w:sz w:val="72"/>
          <w:szCs w:val="72"/>
        </w:rPr>
      </w:pPr>
    </w:p>
    <w:p w14:paraId="71651C0F">
      <w:pPr>
        <w:jc w:val="center"/>
        <w:rPr>
          <w:sz w:val="72"/>
          <w:szCs w:val="72"/>
        </w:rPr>
      </w:pPr>
    </w:p>
    <w:p w14:paraId="7723634D">
      <w:pPr>
        <w:jc w:val="center"/>
        <w:rPr>
          <w:sz w:val="72"/>
          <w:szCs w:val="72"/>
        </w:rPr>
      </w:pPr>
    </w:p>
    <w:p w14:paraId="161F72BE">
      <w:pPr>
        <w:jc w:val="center"/>
        <w:rPr>
          <w:sz w:val="72"/>
          <w:szCs w:val="72"/>
        </w:rPr>
      </w:pPr>
    </w:p>
    <w:p w14:paraId="08B6126A">
      <w:pPr>
        <w:jc w:val="center"/>
        <w:rPr>
          <w:sz w:val="72"/>
          <w:szCs w:val="72"/>
        </w:rPr>
      </w:pPr>
    </w:p>
    <w:p w14:paraId="4C728C1B">
      <w:pPr>
        <w:jc w:val="center"/>
        <w:rPr>
          <w:sz w:val="72"/>
          <w:szCs w:val="72"/>
        </w:rPr>
      </w:pPr>
    </w:p>
    <w:p w14:paraId="34995AD0">
      <w:pPr>
        <w:pStyle w:val="13"/>
        <w:jc w:val="center"/>
        <w:rPr>
          <w:sz w:val="84"/>
          <w:szCs w:val="84"/>
        </w:rPr>
      </w:pPr>
      <w:r>
        <w:rPr>
          <w:rFonts w:hint="eastAsia"/>
          <w:sz w:val="84"/>
          <w:szCs w:val="84"/>
        </w:rPr>
        <w:t>第一部分</w:t>
      </w:r>
    </w:p>
    <w:p w14:paraId="2A29E39E">
      <w:pPr>
        <w:pStyle w:val="13"/>
        <w:jc w:val="center"/>
        <w:rPr>
          <w:sz w:val="84"/>
          <w:szCs w:val="84"/>
        </w:rPr>
      </w:pPr>
      <w:r>
        <w:rPr>
          <w:rFonts w:hint="eastAsia"/>
          <w:sz w:val="84"/>
          <w:szCs w:val="84"/>
        </w:rPr>
        <w:t>中共岳阳市委组织部</w:t>
      </w:r>
    </w:p>
    <w:p w14:paraId="627A50E3">
      <w:pPr>
        <w:pStyle w:val="13"/>
        <w:jc w:val="center"/>
        <w:rPr>
          <w:sz w:val="84"/>
          <w:szCs w:val="84"/>
        </w:rPr>
      </w:pPr>
      <w:r>
        <w:rPr>
          <w:rFonts w:hint="eastAsia"/>
          <w:sz w:val="84"/>
          <w:szCs w:val="84"/>
        </w:rPr>
        <w:t>概  况</w:t>
      </w:r>
    </w:p>
    <w:p w14:paraId="450A905F">
      <w:pPr>
        <w:jc w:val="center"/>
        <w:rPr>
          <w:rFonts w:ascii="方正小标宋_GBK" w:hAnsi="方正小标宋_GBK" w:eastAsia="方正小标宋_GBK" w:cs="方正小标宋_GBK"/>
          <w:sz w:val="72"/>
          <w:szCs w:val="72"/>
        </w:rPr>
      </w:pPr>
    </w:p>
    <w:p w14:paraId="024F6964">
      <w:pPr>
        <w:jc w:val="center"/>
        <w:rPr>
          <w:sz w:val="72"/>
          <w:szCs w:val="72"/>
        </w:rPr>
      </w:pPr>
    </w:p>
    <w:p w14:paraId="72343AD4">
      <w:pPr>
        <w:jc w:val="center"/>
        <w:rPr>
          <w:sz w:val="72"/>
          <w:szCs w:val="72"/>
        </w:rPr>
      </w:pPr>
    </w:p>
    <w:p w14:paraId="7B34C226">
      <w:pPr>
        <w:jc w:val="center"/>
        <w:rPr>
          <w:sz w:val="72"/>
          <w:szCs w:val="72"/>
        </w:rPr>
      </w:pPr>
    </w:p>
    <w:p w14:paraId="5B6D3A32">
      <w:pPr>
        <w:jc w:val="center"/>
        <w:rPr>
          <w:sz w:val="72"/>
          <w:szCs w:val="72"/>
        </w:rPr>
      </w:pPr>
    </w:p>
    <w:p w14:paraId="56737104">
      <w:pPr>
        <w:jc w:val="center"/>
        <w:rPr>
          <w:sz w:val="72"/>
          <w:szCs w:val="72"/>
        </w:rPr>
      </w:pPr>
    </w:p>
    <w:p w14:paraId="55F0BB0F">
      <w:pPr>
        <w:jc w:val="center"/>
        <w:rPr>
          <w:sz w:val="36"/>
          <w:szCs w:val="72"/>
        </w:rPr>
      </w:pPr>
    </w:p>
    <w:p w14:paraId="2F1690C3">
      <w:pPr>
        <w:pStyle w:val="14"/>
        <w:numPr>
          <w:ilvl w:val="0"/>
          <w:numId w:val="1"/>
        </w:numPr>
        <w:ind w:firstLineChars="0"/>
        <w:jc w:val="left"/>
        <w:rPr>
          <w:rFonts w:ascii="黑体" w:hAnsi="黑体" w:eastAsia="黑体" w:cs="黑体"/>
          <w:sz w:val="32"/>
          <w:szCs w:val="32"/>
        </w:rPr>
      </w:pPr>
      <w:r>
        <w:rPr>
          <w:rFonts w:hint="eastAsia" w:ascii="黑体" w:hAnsi="黑体" w:eastAsia="黑体" w:cs="黑体"/>
          <w:sz w:val="32"/>
          <w:szCs w:val="32"/>
        </w:rPr>
        <w:t>部门职责</w:t>
      </w:r>
    </w:p>
    <w:p w14:paraId="7D8D4BFD">
      <w:pPr>
        <w:widowControl/>
        <w:numPr>
          <w:ilvl w:val="0"/>
          <w:numId w:val="2"/>
        </w:numPr>
        <w:spacing w:line="600" w:lineRule="exact"/>
        <w:ind w:left="720"/>
        <w:rPr>
          <w:rFonts w:hint="eastAsia" w:eastAsia="仿宋_GB2312" w:cs="仿宋_GB2312"/>
          <w:kern w:val="0"/>
          <w:sz w:val="32"/>
          <w:szCs w:val="32"/>
        </w:rPr>
      </w:pPr>
      <w:r>
        <w:rPr>
          <w:rFonts w:hint="eastAsia" w:eastAsia="仿宋_GB2312" w:cs="仿宋_GB2312"/>
          <w:kern w:val="0"/>
          <w:sz w:val="32"/>
          <w:szCs w:val="32"/>
        </w:rPr>
        <w:t>职能职责</w:t>
      </w:r>
    </w:p>
    <w:p w14:paraId="6F2B5EF4">
      <w:pPr>
        <w:spacing w:line="620" w:lineRule="exact"/>
        <w:ind w:firstLine="640" w:firstLineChars="200"/>
        <w:rPr>
          <w:rFonts w:hint="default"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因为岳办〔2024〕19号文件涉密，此部分内容不公开。</w:t>
      </w:r>
    </w:p>
    <w:p w14:paraId="2D0E3B99">
      <w:pPr>
        <w:widowControl/>
        <w:spacing w:line="600" w:lineRule="exact"/>
        <w:rPr>
          <w:rFonts w:ascii="黑体" w:hAnsi="黑体" w:eastAsia="黑体" w:cs="黑体"/>
          <w:bCs/>
          <w:kern w:val="0"/>
          <w:sz w:val="32"/>
          <w:szCs w:val="32"/>
        </w:rPr>
      </w:pPr>
      <w:r>
        <w:rPr>
          <w:rFonts w:hint="eastAsia" w:ascii="黑体" w:hAnsi="黑体" w:eastAsia="黑体" w:cs="黑体"/>
          <w:bCs/>
          <w:kern w:val="0"/>
          <w:sz w:val="32"/>
          <w:szCs w:val="32"/>
        </w:rPr>
        <w:t>二、机构设置及决算单位构成</w:t>
      </w:r>
    </w:p>
    <w:p w14:paraId="3E1A9008">
      <w:pPr>
        <w:spacing w:line="620" w:lineRule="exact"/>
        <w:ind w:firstLine="640" w:firstLineChars="200"/>
        <w:rPr>
          <w:rFonts w:ascii="仿宋_GB2312" w:hAnsi="仿宋_GB2312" w:eastAsia="仿宋_GB2312" w:cs="仿宋_GB2312"/>
          <w:kern w:val="0"/>
          <w:sz w:val="32"/>
          <w:szCs w:val="32"/>
        </w:rPr>
      </w:pPr>
      <w:r>
        <w:rPr>
          <w:rFonts w:hint="eastAsia" w:ascii="楷体_GB2312" w:hAnsi="楷体_GB2312" w:eastAsia="楷体_GB2312" w:cs="楷体_GB2312"/>
          <w:b/>
          <w:kern w:val="0"/>
          <w:sz w:val="32"/>
          <w:szCs w:val="32"/>
        </w:rPr>
        <w:t>（一）内设机构设置。</w:t>
      </w:r>
      <w:r>
        <w:rPr>
          <w:rFonts w:hint="eastAsia" w:ascii="仿宋_GB2312" w:hAnsi="仿宋_GB2312" w:eastAsia="仿宋_GB2312" w:cs="仿宋_GB2312"/>
          <w:kern w:val="0"/>
          <w:sz w:val="32"/>
          <w:szCs w:val="32"/>
        </w:rPr>
        <w:t>根据市委编办核定，我部内设机构分别是办公室、研究室（政策法规科）、</w:t>
      </w:r>
      <w:r>
        <w:rPr>
          <w:rFonts w:hint="eastAsia" w:ascii="仿宋_GB2312" w:hAnsi="仿宋_GB2312" w:eastAsia="仿宋_GB2312" w:cs="仿宋_GB2312"/>
          <w:kern w:val="0"/>
          <w:sz w:val="32"/>
          <w:szCs w:val="32"/>
          <w:lang w:eastAsia="zh-CN"/>
        </w:rPr>
        <w:t>政工科、督查与新闻宣传科、</w:t>
      </w:r>
      <w:r>
        <w:rPr>
          <w:rFonts w:hint="eastAsia" w:ascii="仿宋_GB2312" w:hAnsi="仿宋_GB2312" w:eastAsia="仿宋_GB2312" w:cs="仿宋_GB2312"/>
          <w:kern w:val="0"/>
          <w:sz w:val="32"/>
          <w:szCs w:val="32"/>
        </w:rPr>
        <w:t>干部一科、干部二科、干部三科、干部四科、干部队伍建设规划办公室、公务员一科、公务员二科、干部信息管理科、干部教育科、干部监督科</w:t>
      </w:r>
      <w:r>
        <w:rPr>
          <w:rFonts w:hint="eastAsia" w:ascii="仿宋_GB2312" w:hAnsi="仿宋_GB2312" w:eastAsia="仿宋_GB2312" w:cs="仿宋_GB2312"/>
          <w:kern w:val="0"/>
          <w:sz w:val="32"/>
          <w:szCs w:val="32"/>
          <w:lang w:eastAsia="zh-CN"/>
        </w:rPr>
        <w:t>、信访举报科</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党建办、组织一科、组织二科、人才工作办、</w:t>
      </w:r>
      <w:r>
        <w:rPr>
          <w:rFonts w:hint="eastAsia" w:ascii="仿宋_GB2312" w:hAnsi="仿宋_GB2312" w:eastAsia="仿宋_GB2312" w:cs="仿宋_GB2312"/>
          <w:kern w:val="0"/>
          <w:sz w:val="32"/>
          <w:szCs w:val="32"/>
        </w:rPr>
        <w:t>绩效考核一科、绩效考核二科、机关党委、机关纪委。</w:t>
      </w:r>
    </w:p>
    <w:p w14:paraId="21E8794D">
      <w:pPr>
        <w:spacing w:line="62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二级机构是党员教育中心和人才发展服务中心。</w:t>
      </w:r>
    </w:p>
    <w:p w14:paraId="7C9FE1D8">
      <w:pPr>
        <w:widowControl/>
        <w:spacing w:line="600" w:lineRule="exact"/>
        <w:rPr>
          <w:rFonts w:ascii="仿宋_GB2312" w:hAnsi="宋体" w:eastAsia="仿宋_GB2312"/>
          <w:sz w:val="28"/>
          <w:szCs w:val="32"/>
        </w:rPr>
      </w:pPr>
      <w:r>
        <w:rPr>
          <w:rFonts w:hint="eastAsia" w:ascii="楷体_GB2312" w:hAnsi="楷体_GB2312" w:eastAsia="楷体_GB2312" w:cs="楷体_GB2312"/>
          <w:b/>
          <w:kern w:val="0"/>
          <w:sz w:val="32"/>
          <w:szCs w:val="32"/>
        </w:rPr>
        <w:t xml:space="preserve">    决算单位构成。</w:t>
      </w:r>
      <w:r>
        <w:rPr>
          <w:rFonts w:hint="eastAsia" w:ascii="仿宋_GB2312" w:hAnsi="仿宋_GB2312" w:eastAsia="仿宋_GB2312" w:cs="仿宋_GB2312"/>
          <w:kern w:val="0"/>
          <w:sz w:val="32"/>
          <w:szCs w:val="32"/>
        </w:rPr>
        <w:t>本单位无独立核算的下属单位，20</w:t>
      </w:r>
      <w:r>
        <w:rPr>
          <w:rFonts w:hint="eastAsia" w:ascii="仿宋_GB2312" w:hAnsi="仿宋_GB2312" w:eastAsia="仿宋_GB2312" w:cs="仿宋_GB2312"/>
          <w:kern w:val="0"/>
          <w:sz w:val="32"/>
          <w:szCs w:val="32"/>
          <w:lang w:val="en-US" w:eastAsia="zh-CN"/>
        </w:rPr>
        <w:t>24</w:t>
      </w:r>
      <w:r>
        <w:rPr>
          <w:rFonts w:hint="eastAsia" w:ascii="仿宋_GB2312" w:hAnsi="仿宋_GB2312" w:eastAsia="仿宋_GB2312" w:cs="仿宋_GB2312"/>
          <w:kern w:val="0"/>
          <w:sz w:val="32"/>
          <w:szCs w:val="32"/>
        </w:rPr>
        <w:t>年度部门决算汇总公开单位仅包括中共岳阳市委组织部本级。</w:t>
      </w:r>
    </w:p>
    <w:p w14:paraId="306FE430">
      <w:pPr>
        <w:jc w:val="center"/>
        <w:rPr>
          <w:rFonts w:ascii="黑体" w:hAnsi="黑体" w:eastAsia="黑体"/>
          <w:sz w:val="28"/>
          <w:szCs w:val="28"/>
        </w:rPr>
      </w:pPr>
    </w:p>
    <w:p w14:paraId="5F057D7B">
      <w:pPr>
        <w:jc w:val="center"/>
        <w:rPr>
          <w:rFonts w:ascii="黑体" w:hAnsi="黑体" w:eastAsia="黑体"/>
          <w:sz w:val="28"/>
          <w:szCs w:val="28"/>
        </w:rPr>
      </w:pPr>
    </w:p>
    <w:p w14:paraId="3A2901D0">
      <w:pPr>
        <w:jc w:val="center"/>
        <w:rPr>
          <w:rFonts w:ascii="黑体" w:hAnsi="黑体" w:eastAsia="黑体"/>
          <w:sz w:val="28"/>
          <w:szCs w:val="28"/>
        </w:rPr>
      </w:pPr>
    </w:p>
    <w:p w14:paraId="5F1AC533">
      <w:pPr>
        <w:jc w:val="center"/>
        <w:rPr>
          <w:rFonts w:ascii="黑体" w:hAnsi="黑体" w:eastAsia="黑体"/>
          <w:sz w:val="28"/>
          <w:szCs w:val="28"/>
        </w:rPr>
      </w:pPr>
    </w:p>
    <w:p w14:paraId="3CF7A8E6">
      <w:pPr>
        <w:jc w:val="center"/>
        <w:rPr>
          <w:rFonts w:ascii="黑体" w:hAnsi="黑体" w:eastAsia="黑体"/>
          <w:sz w:val="28"/>
          <w:szCs w:val="28"/>
        </w:rPr>
      </w:pPr>
    </w:p>
    <w:p w14:paraId="7249625E">
      <w:pPr>
        <w:jc w:val="center"/>
        <w:rPr>
          <w:rFonts w:ascii="黑体" w:hAnsi="黑体" w:eastAsia="黑体"/>
          <w:sz w:val="28"/>
          <w:szCs w:val="28"/>
        </w:rPr>
      </w:pPr>
    </w:p>
    <w:p w14:paraId="1F4B1959">
      <w:pPr>
        <w:jc w:val="center"/>
        <w:rPr>
          <w:rFonts w:ascii="黑体" w:hAnsi="黑体" w:eastAsia="黑体"/>
          <w:sz w:val="28"/>
          <w:szCs w:val="28"/>
        </w:rPr>
      </w:pPr>
    </w:p>
    <w:p w14:paraId="44A4BB2F">
      <w:pPr>
        <w:jc w:val="center"/>
        <w:rPr>
          <w:rFonts w:ascii="黑体" w:hAnsi="黑体" w:eastAsia="黑体"/>
          <w:sz w:val="28"/>
          <w:szCs w:val="28"/>
        </w:rPr>
      </w:pPr>
    </w:p>
    <w:p w14:paraId="0E46C2C5">
      <w:pPr>
        <w:jc w:val="center"/>
        <w:rPr>
          <w:rFonts w:ascii="黑体" w:hAnsi="黑体" w:eastAsia="黑体"/>
          <w:sz w:val="28"/>
          <w:szCs w:val="28"/>
        </w:rPr>
      </w:pPr>
    </w:p>
    <w:p w14:paraId="1340D73E">
      <w:pPr>
        <w:jc w:val="center"/>
        <w:rPr>
          <w:rFonts w:ascii="黑体" w:hAnsi="黑体" w:eastAsia="黑体"/>
          <w:sz w:val="28"/>
          <w:szCs w:val="28"/>
        </w:rPr>
      </w:pPr>
    </w:p>
    <w:p w14:paraId="3ED9B0CF">
      <w:pPr>
        <w:jc w:val="center"/>
        <w:rPr>
          <w:rFonts w:ascii="黑体" w:hAnsi="黑体" w:eastAsia="黑体"/>
          <w:sz w:val="28"/>
          <w:szCs w:val="28"/>
        </w:rPr>
      </w:pPr>
    </w:p>
    <w:p w14:paraId="3364480A">
      <w:pPr>
        <w:pStyle w:val="13"/>
        <w:jc w:val="both"/>
        <w:rPr>
          <w:rFonts w:ascii="方正小标宋_GBK" w:hAnsi="方正小标宋_GBK" w:eastAsia="方正小标宋_GBK" w:cs="方正小标宋_GBK"/>
          <w:sz w:val="84"/>
          <w:szCs w:val="84"/>
        </w:rPr>
      </w:pPr>
    </w:p>
    <w:p w14:paraId="5B4C5261">
      <w:pPr>
        <w:pStyle w:val="13"/>
        <w:jc w:val="center"/>
        <w:rPr>
          <w:rFonts w:ascii="方正小标宋_GBK" w:hAnsi="方正小标宋_GBK" w:eastAsia="方正小标宋_GBK" w:cs="方正小标宋_GBK"/>
          <w:sz w:val="84"/>
          <w:szCs w:val="84"/>
        </w:rPr>
      </w:pPr>
      <w:r>
        <w:rPr>
          <w:rFonts w:hint="eastAsia" w:ascii="方正小标宋_GBK" w:hAnsi="方正小标宋_GBK" w:eastAsia="方正小标宋_GBK" w:cs="方正小标宋_GBK"/>
          <w:sz w:val="84"/>
          <w:szCs w:val="84"/>
        </w:rPr>
        <w:t>第二部分</w:t>
      </w:r>
    </w:p>
    <w:p w14:paraId="23574019">
      <w:pPr>
        <w:pStyle w:val="13"/>
        <w:jc w:val="center"/>
        <w:rPr>
          <w:rFonts w:ascii="方正小标宋_GBK" w:hAnsi="方正小标宋_GBK" w:eastAsia="方正小标宋_GBK" w:cs="方正小标宋_GBK"/>
          <w:sz w:val="84"/>
          <w:szCs w:val="84"/>
        </w:rPr>
      </w:pPr>
    </w:p>
    <w:p w14:paraId="6E66263A">
      <w:pPr>
        <w:pStyle w:val="13"/>
        <w:jc w:val="center"/>
        <w:rPr>
          <w:rFonts w:ascii="方正小标宋_GBK" w:hAnsi="方正小标宋_GBK" w:eastAsia="方正小标宋_GBK" w:cs="方正小标宋_GBK"/>
          <w:sz w:val="84"/>
          <w:szCs w:val="84"/>
        </w:rPr>
      </w:pPr>
      <w:r>
        <w:rPr>
          <w:rFonts w:hint="eastAsia" w:ascii="方正小标宋_GBK" w:hAnsi="方正小标宋_GBK" w:eastAsia="方正小标宋_GBK" w:cs="方正小标宋_GBK"/>
          <w:sz w:val="84"/>
          <w:szCs w:val="84"/>
        </w:rPr>
        <w:t>部门决算表</w:t>
      </w:r>
    </w:p>
    <w:p w14:paraId="05931D92">
      <w:pPr>
        <w:jc w:val="center"/>
        <w:rPr>
          <w:sz w:val="72"/>
          <w:szCs w:val="72"/>
        </w:rPr>
      </w:pPr>
      <w:r>
        <w:rPr>
          <w:rFonts w:hint="eastAsia"/>
          <w:sz w:val="72"/>
          <w:szCs w:val="72"/>
        </w:rPr>
        <w:t>（见附件）</w:t>
      </w:r>
    </w:p>
    <w:p w14:paraId="4E48BF77">
      <w:pPr>
        <w:jc w:val="center"/>
        <w:rPr>
          <w:sz w:val="72"/>
          <w:szCs w:val="72"/>
        </w:rPr>
      </w:pPr>
    </w:p>
    <w:p w14:paraId="72CEADF7">
      <w:pPr>
        <w:jc w:val="center"/>
        <w:rPr>
          <w:sz w:val="72"/>
          <w:szCs w:val="72"/>
        </w:rPr>
      </w:pPr>
    </w:p>
    <w:p w14:paraId="5C457A8F">
      <w:pPr>
        <w:jc w:val="center"/>
        <w:rPr>
          <w:sz w:val="72"/>
          <w:szCs w:val="72"/>
        </w:rPr>
      </w:pPr>
    </w:p>
    <w:p w14:paraId="1DFB4F24">
      <w:pPr>
        <w:pStyle w:val="13"/>
        <w:jc w:val="both"/>
        <w:rPr>
          <w:rFonts w:ascii="方正小标宋_GBK" w:hAnsi="方正小标宋_GBK" w:eastAsia="方正小标宋_GBK" w:cs="方正小标宋_GBK"/>
          <w:sz w:val="72"/>
          <w:szCs w:val="72"/>
        </w:rPr>
      </w:pPr>
    </w:p>
    <w:p w14:paraId="1B6319E5">
      <w:pPr>
        <w:pStyle w:val="13"/>
        <w:jc w:val="both"/>
        <w:rPr>
          <w:rFonts w:ascii="方正小标宋_GBK" w:hAnsi="方正小标宋_GBK" w:eastAsia="方正小标宋_GBK" w:cs="方正小标宋_GBK"/>
          <w:sz w:val="72"/>
          <w:szCs w:val="72"/>
        </w:rPr>
      </w:pPr>
    </w:p>
    <w:p w14:paraId="09A04718">
      <w:pPr>
        <w:pStyle w:val="13"/>
        <w:jc w:val="both"/>
        <w:rPr>
          <w:rFonts w:ascii="方正小标宋_GBK" w:hAnsi="方正小标宋_GBK" w:eastAsia="方正小标宋_GBK" w:cs="方正小标宋_GBK"/>
          <w:sz w:val="72"/>
          <w:szCs w:val="72"/>
        </w:rPr>
      </w:pPr>
    </w:p>
    <w:p w14:paraId="53362ABF">
      <w:pPr>
        <w:pStyle w:val="13"/>
        <w:jc w:val="center"/>
        <w:rPr>
          <w:rFonts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t>第三部分</w:t>
      </w:r>
    </w:p>
    <w:p w14:paraId="27F4DE36">
      <w:pPr>
        <w:pStyle w:val="13"/>
        <w:jc w:val="center"/>
        <w:rPr>
          <w:rFonts w:ascii="方正小标宋_GBK" w:hAnsi="方正小标宋_GBK" w:eastAsia="方正小标宋_GBK" w:cs="方正小标宋_GBK"/>
          <w:sz w:val="70"/>
          <w:szCs w:val="70"/>
        </w:rPr>
      </w:pPr>
    </w:p>
    <w:p w14:paraId="2332FB0D">
      <w:pPr>
        <w:pStyle w:val="13"/>
        <w:jc w:val="center"/>
        <w:rPr>
          <w:rFonts w:ascii="方正小标宋_GBK" w:hAnsi="方正小标宋_GBK" w:eastAsia="方正小标宋_GBK" w:cs="方正小标宋_GBK"/>
          <w:sz w:val="70"/>
          <w:szCs w:val="70"/>
        </w:rPr>
      </w:pPr>
      <w:r>
        <w:rPr>
          <w:rFonts w:hint="eastAsia" w:ascii="方正小标宋_GBK" w:hAnsi="方正小标宋_GBK" w:eastAsia="方正小标宋_GBK" w:cs="方正小标宋_GBK"/>
          <w:sz w:val="70"/>
          <w:szCs w:val="70"/>
        </w:rPr>
        <w:t>202</w:t>
      </w:r>
      <w:r>
        <w:rPr>
          <w:rFonts w:hint="eastAsia" w:ascii="方正小标宋_GBK" w:hAnsi="方正小标宋_GBK" w:eastAsia="方正小标宋_GBK" w:cs="方正小标宋_GBK"/>
          <w:sz w:val="70"/>
          <w:szCs w:val="70"/>
          <w:lang w:val="en-US" w:eastAsia="zh-CN"/>
        </w:rPr>
        <w:t>4</w:t>
      </w:r>
      <w:r>
        <w:rPr>
          <w:rFonts w:hint="eastAsia" w:ascii="方正小标宋_GBK" w:hAnsi="方正小标宋_GBK" w:eastAsia="方正小标宋_GBK" w:cs="方正小标宋_GBK"/>
          <w:sz w:val="70"/>
          <w:szCs w:val="70"/>
        </w:rPr>
        <w:t>年度部门决算</w:t>
      </w:r>
    </w:p>
    <w:p w14:paraId="2A35AB9A">
      <w:pPr>
        <w:pStyle w:val="13"/>
        <w:jc w:val="center"/>
        <w:rPr>
          <w:rFonts w:ascii="方正小标宋_GBK" w:hAnsi="方正小标宋_GBK" w:eastAsia="方正小标宋_GBK" w:cs="方正小标宋_GBK"/>
          <w:sz w:val="70"/>
          <w:szCs w:val="70"/>
        </w:rPr>
      </w:pPr>
      <w:r>
        <w:rPr>
          <w:rFonts w:hint="eastAsia" w:ascii="方正小标宋_GBK" w:hAnsi="方正小标宋_GBK" w:eastAsia="方正小标宋_GBK" w:cs="方正小标宋_GBK"/>
          <w:sz w:val="70"/>
          <w:szCs w:val="70"/>
        </w:rPr>
        <w:t>情况说明</w:t>
      </w:r>
    </w:p>
    <w:p w14:paraId="329D8950">
      <w:pPr>
        <w:widowControl/>
        <w:jc w:val="left"/>
        <w:rPr>
          <w:rFonts w:ascii="宋体" w:hAnsi="宋体"/>
          <w:sz w:val="32"/>
          <w:szCs w:val="32"/>
        </w:rPr>
      </w:pPr>
      <w:r>
        <w:rPr>
          <w:rFonts w:hint="eastAsia" w:ascii="方正小标宋_GBK" w:hAnsi="方正小标宋_GBK" w:eastAsia="方正小标宋_GBK" w:cs="方正小标宋_GBK"/>
          <w:sz w:val="70"/>
          <w:szCs w:val="70"/>
        </w:rPr>
        <w:br w:type="page"/>
      </w:r>
      <w:r>
        <w:rPr>
          <w:rFonts w:hint="eastAsia" w:ascii="方正小标宋_GBK" w:hAnsi="方正小标宋_GBK" w:eastAsia="方正小标宋_GBK" w:cs="方正小标宋_GBK"/>
          <w:sz w:val="70"/>
          <w:szCs w:val="70"/>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说明：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由于</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决算编制时</w:t>
      </w:r>
      <w:r>
        <w:rPr>
          <w:rFonts w:hint="eastAsia" w:ascii="仿宋_GB2312" w:hAnsi="仿宋_GB2312" w:eastAsia="仿宋_GB2312" w:cs="仿宋_GB2312"/>
          <w:sz w:val="32"/>
          <w:szCs w:val="32"/>
          <w:lang w:eastAsia="zh-CN"/>
        </w:rPr>
        <w:t>数据</w:t>
      </w:r>
      <w:r>
        <w:rPr>
          <w:rFonts w:hint="eastAsia" w:ascii="仿宋_GB2312" w:hAnsi="仿宋_GB2312" w:eastAsia="仿宋_GB2312" w:cs="仿宋_GB2312"/>
          <w:sz w:val="32"/>
          <w:szCs w:val="32"/>
        </w:rPr>
        <w:t>明细</w:t>
      </w:r>
      <w:r>
        <w:rPr>
          <w:rFonts w:hint="eastAsia" w:ascii="仿宋_GB2312" w:hAnsi="仿宋_GB2312" w:eastAsia="仿宋_GB2312" w:cs="仿宋_GB2312"/>
          <w:sz w:val="32"/>
          <w:szCs w:val="32"/>
          <w:lang w:eastAsia="zh-CN"/>
        </w:rPr>
        <w:t>至“金额单位：元</w:t>
      </w:r>
      <w:r>
        <w:rPr>
          <w:rFonts w:hint="eastAsia" w:ascii="仿宋_GB2312" w:hAnsi="仿宋_GB2312" w:eastAsia="仿宋_GB2312" w:cs="仿宋_GB2312"/>
          <w:sz w:val="32"/>
          <w:szCs w:val="32"/>
        </w:rPr>
        <w:t>”，而</w:t>
      </w:r>
      <w:r>
        <w:rPr>
          <w:rFonts w:hint="eastAsia" w:ascii="仿宋_GB2312" w:hAnsi="仿宋_GB2312" w:eastAsia="仿宋_GB2312" w:cs="仿宋_GB2312"/>
          <w:sz w:val="32"/>
          <w:szCs w:val="32"/>
          <w:lang w:eastAsia="zh-CN"/>
        </w:rPr>
        <w:t>本套部门决算文字说明</w:t>
      </w:r>
      <w:r>
        <w:rPr>
          <w:rFonts w:hint="eastAsia" w:ascii="仿宋_GB2312" w:hAnsi="仿宋_GB2312" w:eastAsia="仿宋_GB2312" w:cs="仿宋_GB2312"/>
          <w:sz w:val="32"/>
          <w:szCs w:val="32"/>
        </w:rPr>
        <w:t>和公开表格</w:t>
      </w:r>
      <w:r>
        <w:rPr>
          <w:rFonts w:hint="eastAsia" w:ascii="仿宋_GB2312" w:hAnsi="仿宋_GB2312" w:eastAsia="仿宋_GB2312" w:cs="仿宋_GB2312"/>
          <w:sz w:val="32"/>
          <w:szCs w:val="32"/>
          <w:lang w:eastAsia="zh-CN"/>
        </w:rPr>
        <w:t>数据</w:t>
      </w:r>
      <w:r>
        <w:rPr>
          <w:rFonts w:hint="eastAsia" w:ascii="仿宋_GB2312" w:hAnsi="仿宋_GB2312" w:eastAsia="仿宋_GB2312" w:cs="仿宋_GB2312"/>
          <w:sz w:val="32"/>
          <w:szCs w:val="32"/>
        </w:rPr>
        <w:t>取数</w:t>
      </w:r>
      <w:r>
        <w:rPr>
          <w:rFonts w:hint="eastAsia" w:ascii="仿宋_GB2312" w:hAnsi="仿宋_GB2312" w:eastAsia="仿宋_GB2312" w:cs="仿宋_GB2312"/>
          <w:sz w:val="32"/>
          <w:szCs w:val="32"/>
          <w:lang w:eastAsia="zh-CN"/>
        </w:rPr>
        <w:t>转换为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金额单位：</w:t>
      </w:r>
      <w:r>
        <w:rPr>
          <w:rFonts w:hint="eastAsia" w:ascii="仿宋_GB2312" w:hAnsi="仿宋_GB2312" w:eastAsia="仿宋_GB2312" w:cs="仿宋_GB2312"/>
          <w:sz w:val="32"/>
          <w:szCs w:val="32"/>
        </w:rPr>
        <w:t>万元”，可能导致</w:t>
      </w:r>
      <w:r>
        <w:rPr>
          <w:rFonts w:hint="eastAsia" w:ascii="仿宋_GB2312" w:hAnsi="仿宋_GB2312" w:eastAsia="仿宋_GB2312" w:cs="仿宋_GB2312"/>
          <w:sz w:val="32"/>
          <w:szCs w:val="32"/>
          <w:lang w:eastAsia="zh-CN"/>
        </w:rPr>
        <w:t>以下文字说明中的各项数据取数以及公开</w:t>
      </w:r>
      <w:r>
        <w:rPr>
          <w:rFonts w:hint="eastAsia" w:ascii="仿宋_GB2312" w:hAnsi="仿宋_GB2312" w:eastAsia="仿宋_GB2312" w:cs="仿宋_GB2312"/>
          <w:sz w:val="32"/>
          <w:szCs w:val="32"/>
        </w:rPr>
        <w:t>表格</w:t>
      </w:r>
      <w:r>
        <w:rPr>
          <w:rFonts w:hint="eastAsia" w:ascii="仿宋_GB2312" w:hAnsi="仿宋_GB2312" w:eastAsia="仿宋_GB2312" w:cs="仿宋_GB2312"/>
          <w:sz w:val="32"/>
          <w:szCs w:val="32"/>
          <w:lang w:eastAsia="zh-CN"/>
        </w:rPr>
        <w:t>中的各项数据取数之间存在</w:t>
      </w:r>
      <w:r>
        <w:rPr>
          <w:rFonts w:hint="eastAsia" w:ascii="仿宋_GB2312" w:hAnsi="仿宋_GB2312" w:eastAsia="仿宋_GB2312" w:cs="仿宋_GB2312"/>
          <w:sz w:val="32"/>
          <w:szCs w:val="32"/>
        </w:rPr>
        <w:t>0.01的尾数差异。</w:t>
      </w:r>
      <w:r>
        <w:rPr>
          <w:rFonts w:hint="eastAsia" w:ascii="仿宋_GB2312" w:hAnsi="仿宋_GB2312" w:eastAsia="仿宋_GB2312" w:cs="仿宋_GB2312"/>
          <w:sz w:val="32"/>
          <w:szCs w:val="32"/>
          <w:lang w:val="en-US" w:eastAsia="zh-CN"/>
        </w:rPr>
        <w:t>2、以下文字说明中，部分科目由于预算数为0，无法计算完成年初预算的百分比，故未描述“</w:t>
      </w:r>
      <w:r>
        <w:rPr>
          <w:rFonts w:hint="eastAsia" w:ascii="仿宋_GB2312" w:hAnsi="仿宋_GB2312" w:eastAsia="仿宋_GB2312" w:cs="仿宋_GB2312"/>
          <w:sz w:val="32"/>
          <w:szCs w:val="32"/>
        </w:rPr>
        <w:t>完成年初预算的XX%</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p>
    <w:p w14:paraId="3CFC1D99">
      <w:pPr>
        <w:pStyle w:val="13"/>
        <w:spacing w:line="600" w:lineRule="exact"/>
        <w:ind w:firstLine="640" w:firstLineChars="200"/>
        <w:rPr>
          <w:rFonts w:hAnsi="黑体"/>
          <w:bCs/>
          <w:sz w:val="32"/>
          <w:szCs w:val="32"/>
        </w:rPr>
      </w:pPr>
      <w:r>
        <w:rPr>
          <w:rFonts w:hint="eastAsia" w:hAnsi="黑体"/>
          <w:bCs/>
          <w:sz w:val="32"/>
          <w:szCs w:val="32"/>
        </w:rPr>
        <w:t>一、收入支出决算总体情况说明</w:t>
      </w:r>
    </w:p>
    <w:p w14:paraId="17F7CCEC">
      <w:pPr>
        <w:pStyle w:val="13"/>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年度收、支总计</w:t>
      </w:r>
      <w:r>
        <w:rPr>
          <w:rFonts w:hint="eastAsia" w:ascii="Times New Roman" w:hAnsi="Times New Roman" w:eastAsia="仿宋_GB2312"/>
          <w:sz w:val="32"/>
          <w:szCs w:val="32"/>
          <w:lang w:val="en-US" w:eastAsia="zh-CN"/>
        </w:rPr>
        <w:t>2344.29</w:t>
      </w:r>
      <w:r>
        <w:rPr>
          <w:rFonts w:hint="eastAsia" w:ascii="Times New Roman" w:hAnsi="Times New Roman" w:eastAsia="仿宋_GB2312"/>
          <w:sz w:val="32"/>
          <w:szCs w:val="32"/>
        </w:rPr>
        <w:t>万元。与上年2326.31相比，</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17.98</w:t>
      </w:r>
      <w:r>
        <w:rPr>
          <w:rFonts w:hint="eastAsia" w:ascii="Times New Roman" w:hAnsi="Times New Roman" w:eastAsia="仿宋_GB2312"/>
          <w:sz w:val="32"/>
          <w:szCs w:val="32"/>
        </w:rPr>
        <w:t>万元，</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0.77</w:t>
      </w:r>
      <w:r>
        <w:rPr>
          <w:rFonts w:hint="eastAsia" w:ascii="Times New Roman" w:hAnsi="Times New Roman" w:eastAsia="仿宋_GB2312"/>
          <w:sz w:val="32"/>
          <w:szCs w:val="32"/>
        </w:rPr>
        <w:t>%，主要是因为</w:t>
      </w:r>
      <w:r>
        <w:rPr>
          <w:rFonts w:hint="eastAsia" w:ascii="Times New Roman" w:hAnsi="Times New Roman" w:eastAsia="仿宋_GB2312"/>
          <w:sz w:val="32"/>
          <w:szCs w:val="32"/>
          <w:lang w:eastAsia="zh-CN"/>
        </w:rPr>
        <w:t>人员经费增加</w:t>
      </w:r>
      <w:r>
        <w:rPr>
          <w:rFonts w:hint="eastAsia" w:ascii="Times New Roman" w:hAnsi="Times New Roman" w:eastAsia="仿宋_GB2312"/>
          <w:sz w:val="32"/>
          <w:szCs w:val="32"/>
        </w:rPr>
        <w:t>。</w:t>
      </w:r>
    </w:p>
    <w:p w14:paraId="26CC1B8C">
      <w:pPr>
        <w:pStyle w:val="13"/>
        <w:spacing w:line="600" w:lineRule="exact"/>
        <w:ind w:firstLine="640" w:firstLineChars="200"/>
        <w:rPr>
          <w:rFonts w:hAnsi="黑体"/>
          <w:bCs/>
          <w:sz w:val="32"/>
          <w:szCs w:val="32"/>
        </w:rPr>
      </w:pPr>
      <w:r>
        <w:rPr>
          <w:rFonts w:hint="eastAsia" w:hAnsi="黑体"/>
          <w:bCs/>
          <w:sz w:val="32"/>
          <w:szCs w:val="32"/>
        </w:rPr>
        <w:t>二、收入决算情况说明</w:t>
      </w:r>
    </w:p>
    <w:p w14:paraId="36AE17B3">
      <w:pPr>
        <w:pStyle w:val="13"/>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年度收入合计</w:t>
      </w:r>
      <w:r>
        <w:rPr>
          <w:rFonts w:hint="eastAsia" w:ascii="Times New Roman" w:hAnsi="Times New Roman" w:eastAsia="仿宋_GB2312"/>
          <w:sz w:val="32"/>
          <w:szCs w:val="32"/>
          <w:lang w:val="en-US" w:eastAsia="zh-CN"/>
        </w:rPr>
        <w:t>2340.88</w:t>
      </w:r>
      <w:r>
        <w:rPr>
          <w:rFonts w:hint="eastAsia" w:ascii="Times New Roman" w:hAnsi="Times New Roman" w:eastAsia="仿宋_GB2312"/>
          <w:sz w:val="32"/>
          <w:szCs w:val="32"/>
        </w:rPr>
        <w:t>万元，其中：财政拨款收入</w:t>
      </w:r>
      <w:r>
        <w:rPr>
          <w:rFonts w:hint="eastAsia" w:ascii="Times New Roman" w:hAnsi="Times New Roman" w:eastAsia="仿宋_GB2312"/>
          <w:sz w:val="32"/>
          <w:szCs w:val="32"/>
          <w:lang w:val="en-US" w:eastAsia="zh-CN"/>
        </w:rPr>
        <w:t>2324.86</w:t>
      </w:r>
      <w:r>
        <w:rPr>
          <w:rFonts w:hint="eastAsia" w:ascii="Times New Roman" w:hAnsi="Times New Roman" w:eastAsia="仿宋_GB2312"/>
          <w:sz w:val="32"/>
          <w:szCs w:val="32"/>
        </w:rPr>
        <w:t>万元，占99.</w:t>
      </w:r>
      <w:r>
        <w:rPr>
          <w:rFonts w:hint="eastAsia" w:ascii="Times New Roman" w:hAnsi="Times New Roman" w:eastAsia="仿宋_GB2312"/>
          <w:sz w:val="32"/>
          <w:szCs w:val="32"/>
          <w:lang w:val="en-US" w:eastAsia="zh-CN"/>
        </w:rPr>
        <w:t>32</w:t>
      </w:r>
      <w:r>
        <w:rPr>
          <w:rFonts w:hint="eastAsia" w:ascii="Times New Roman" w:hAnsi="Times New Roman" w:eastAsia="仿宋_GB2312"/>
          <w:sz w:val="32"/>
          <w:szCs w:val="32"/>
        </w:rPr>
        <w:t>%；上级补助收入0万元，占0%；事业收入0万元，占0%；经营收入0万元，占0%；附属单位上缴收入0万元，占0%；其他收入</w:t>
      </w:r>
      <w:r>
        <w:rPr>
          <w:rFonts w:hint="eastAsia" w:ascii="Times New Roman" w:hAnsi="Times New Roman" w:eastAsia="仿宋_GB2312"/>
          <w:sz w:val="32"/>
          <w:szCs w:val="32"/>
          <w:lang w:val="en-US" w:eastAsia="zh-CN"/>
        </w:rPr>
        <w:t>16.02</w:t>
      </w:r>
      <w:r>
        <w:rPr>
          <w:rFonts w:hint="eastAsia" w:ascii="Times New Roman" w:hAnsi="Times New Roman" w:eastAsia="仿宋_GB2312"/>
          <w:sz w:val="32"/>
          <w:szCs w:val="32"/>
        </w:rPr>
        <w:t>万元，占0.</w:t>
      </w:r>
      <w:r>
        <w:rPr>
          <w:rFonts w:hint="eastAsia" w:ascii="Times New Roman" w:hAnsi="Times New Roman" w:eastAsia="仿宋_GB2312"/>
          <w:sz w:val="32"/>
          <w:szCs w:val="32"/>
          <w:lang w:val="en-US" w:eastAsia="zh-CN"/>
        </w:rPr>
        <w:t>68</w:t>
      </w:r>
      <w:r>
        <w:rPr>
          <w:rFonts w:hint="eastAsia" w:ascii="Times New Roman" w:hAnsi="Times New Roman" w:eastAsia="仿宋_GB2312"/>
          <w:sz w:val="32"/>
          <w:szCs w:val="32"/>
        </w:rPr>
        <w:t>%。</w:t>
      </w:r>
    </w:p>
    <w:p w14:paraId="4667BADA">
      <w:pPr>
        <w:pStyle w:val="13"/>
        <w:ind w:firstLine="640" w:firstLineChars="200"/>
        <w:rPr>
          <w:rFonts w:ascii="Times New Roman" w:hAnsi="Times New Roman" w:eastAsia="仿宋_GB2312"/>
          <w:sz w:val="32"/>
          <w:szCs w:val="32"/>
        </w:rPr>
      </w:pPr>
      <w:r>
        <w:rPr>
          <w:rFonts w:hint="eastAsia" w:hAnsi="黑体"/>
          <w:bCs/>
          <w:sz w:val="32"/>
          <w:szCs w:val="32"/>
        </w:rPr>
        <w:t>三、支出决算情况说明</w:t>
      </w:r>
    </w:p>
    <w:p w14:paraId="3FCD65E1">
      <w:pPr>
        <w:pStyle w:val="13"/>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年度支出合计</w:t>
      </w:r>
      <w:r>
        <w:rPr>
          <w:rFonts w:hint="eastAsia" w:ascii="Times New Roman" w:hAnsi="Times New Roman" w:eastAsia="仿宋_GB2312"/>
          <w:sz w:val="32"/>
          <w:szCs w:val="32"/>
          <w:lang w:val="en-US" w:eastAsia="zh-CN"/>
        </w:rPr>
        <w:t>2328.48</w:t>
      </w:r>
      <w:r>
        <w:rPr>
          <w:rFonts w:hint="eastAsia" w:ascii="Times New Roman" w:hAnsi="Times New Roman" w:eastAsia="仿宋_GB2312"/>
          <w:sz w:val="32"/>
          <w:szCs w:val="32"/>
        </w:rPr>
        <w:t>万元，其中：基本支出</w:t>
      </w:r>
      <w:r>
        <w:rPr>
          <w:rFonts w:hint="eastAsia" w:ascii="Times New Roman" w:hAnsi="Times New Roman" w:eastAsia="仿宋_GB2312"/>
          <w:sz w:val="32"/>
          <w:szCs w:val="32"/>
          <w:lang w:val="en-US" w:eastAsia="zh-CN"/>
        </w:rPr>
        <w:t>1379.39</w:t>
      </w:r>
      <w:r>
        <w:rPr>
          <w:rFonts w:hint="eastAsia" w:ascii="Times New Roman" w:hAnsi="Times New Roman" w:eastAsia="仿宋_GB2312"/>
          <w:sz w:val="32"/>
          <w:szCs w:val="32"/>
        </w:rPr>
        <w:t>万元，占5</w:t>
      </w:r>
      <w:r>
        <w:rPr>
          <w:rFonts w:hint="eastAsia" w:ascii="Times New Roman" w:hAnsi="Times New Roman" w:eastAsia="仿宋_GB2312"/>
          <w:sz w:val="32"/>
          <w:szCs w:val="32"/>
          <w:lang w:val="en-US" w:eastAsia="zh-CN"/>
        </w:rPr>
        <w:t>9.24</w:t>
      </w:r>
      <w:r>
        <w:rPr>
          <w:rFonts w:hint="eastAsia" w:ascii="Times New Roman" w:hAnsi="Times New Roman" w:eastAsia="仿宋_GB2312"/>
          <w:sz w:val="32"/>
          <w:szCs w:val="32"/>
        </w:rPr>
        <w:t>%；项目支出</w:t>
      </w:r>
      <w:r>
        <w:rPr>
          <w:rFonts w:hint="eastAsia" w:ascii="Times New Roman" w:hAnsi="Times New Roman" w:eastAsia="仿宋_GB2312"/>
          <w:sz w:val="32"/>
          <w:szCs w:val="32"/>
          <w:lang w:val="en-US" w:eastAsia="zh-CN"/>
        </w:rPr>
        <w:t>949.09</w:t>
      </w:r>
      <w:r>
        <w:rPr>
          <w:rFonts w:hint="eastAsia" w:ascii="Times New Roman" w:hAnsi="Times New Roman" w:eastAsia="仿宋_GB2312"/>
          <w:sz w:val="32"/>
          <w:szCs w:val="32"/>
        </w:rPr>
        <w:t>万元，占4</w:t>
      </w:r>
      <w:r>
        <w:rPr>
          <w:rFonts w:hint="eastAsia" w:ascii="Times New Roman" w:hAnsi="Times New Roman" w:eastAsia="仿宋_GB2312"/>
          <w:sz w:val="32"/>
          <w:szCs w:val="32"/>
          <w:lang w:val="en-US" w:eastAsia="zh-CN"/>
        </w:rPr>
        <w:t>0.76</w:t>
      </w:r>
      <w:r>
        <w:rPr>
          <w:rFonts w:hint="eastAsia" w:ascii="Times New Roman" w:hAnsi="Times New Roman" w:eastAsia="仿宋_GB2312"/>
          <w:sz w:val="32"/>
          <w:szCs w:val="32"/>
        </w:rPr>
        <w:t>%；上缴上级支出0万元，占0%；经营支出0万元，占0%；对附属单位补助支出0万元，占0%。</w:t>
      </w:r>
    </w:p>
    <w:p w14:paraId="38B85F1A">
      <w:pPr>
        <w:pStyle w:val="13"/>
        <w:spacing w:line="600" w:lineRule="exact"/>
        <w:ind w:firstLine="640" w:firstLineChars="200"/>
        <w:rPr>
          <w:rFonts w:hint="eastAsia" w:hAnsi="黑体"/>
          <w:bCs/>
          <w:sz w:val="32"/>
          <w:szCs w:val="32"/>
        </w:rPr>
      </w:pPr>
    </w:p>
    <w:p w14:paraId="71F0309A">
      <w:pPr>
        <w:pStyle w:val="13"/>
        <w:spacing w:line="600" w:lineRule="exact"/>
        <w:ind w:firstLine="640" w:firstLineChars="200"/>
        <w:rPr>
          <w:rFonts w:hAnsi="黑体"/>
          <w:bCs/>
          <w:sz w:val="32"/>
          <w:szCs w:val="32"/>
        </w:rPr>
      </w:pPr>
      <w:r>
        <w:rPr>
          <w:rFonts w:hint="eastAsia" w:hAnsi="黑体"/>
          <w:bCs/>
          <w:sz w:val="32"/>
          <w:szCs w:val="32"/>
        </w:rPr>
        <w:t>四、财政拨款收入支出决算总体情况说明</w:t>
      </w:r>
    </w:p>
    <w:p w14:paraId="7FF98C2E">
      <w:pPr>
        <w:pStyle w:val="13"/>
        <w:spacing w:line="600" w:lineRule="exact"/>
        <w:rPr>
          <w:rFonts w:ascii="Times New Roman" w:hAnsi="Times New Roman" w:eastAsia="仿宋_GB2312"/>
          <w:sz w:val="32"/>
          <w:szCs w:val="32"/>
        </w:rPr>
      </w:pPr>
      <w:r>
        <w:rPr>
          <w:rFonts w:hint="eastAsia" w:ascii="Times New Roman" w:hAnsi="Times New Roman" w:eastAsia="仿宋_GB2312"/>
          <w:sz w:val="32"/>
          <w:szCs w:val="32"/>
        </w:rPr>
        <w:t xml:space="preserve">    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年度财政拨款收、支总计</w:t>
      </w:r>
      <w:r>
        <w:rPr>
          <w:rFonts w:hint="eastAsia" w:ascii="Times New Roman" w:hAnsi="Times New Roman" w:eastAsia="仿宋_GB2312"/>
          <w:sz w:val="32"/>
          <w:szCs w:val="32"/>
          <w:lang w:val="en-US" w:eastAsia="zh-CN"/>
        </w:rPr>
        <w:t>2325.53</w:t>
      </w:r>
      <w:r>
        <w:rPr>
          <w:rFonts w:hint="eastAsia" w:ascii="Times New Roman" w:hAnsi="Times New Roman" w:eastAsia="仿宋_GB2312"/>
          <w:sz w:val="32"/>
          <w:szCs w:val="32"/>
        </w:rPr>
        <w:t>万元，与上年相比，</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27.07</w:t>
      </w:r>
      <w:r>
        <w:rPr>
          <w:rFonts w:hint="eastAsia" w:ascii="Times New Roman" w:hAnsi="Times New Roman" w:eastAsia="仿宋_GB2312"/>
          <w:sz w:val="32"/>
          <w:szCs w:val="32"/>
        </w:rPr>
        <w:t>万元,</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1.18</w:t>
      </w:r>
      <w:r>
        <w:rPr>
          <w:rFonts w:hint="eastAsia" w:ascii="Times New Roman" w:hAnsi="Times New Roman" w:eastAsia="仿宋_GB2312"/>
          <w:sz w:val="32"/>
          <w:szCs w:val="32"/>
        </w:rPr>
        <w:t>%，主要是因为</w:t>
      </w:r>
      <w:r>
        <w:rPr>
          <w:rFonts w:hint="eastAsia" w:ascii="Times New Roman" w:hAnsi="Times New Roman" w:eastAsia="仿宋_GB2312"/>
          <w:sz w:val="32"/>
          <w:szCs w:val="32"/>
          <w:lang w:eastAsia="zh-CN"/>
        </w:rPr>
        <w:t>人员经费增加</w:t>
      </w:r>
      <w:r>
        <w:rPr>
          <w:rFonts w:hint="eastAsia" w:ascii="Times New Roman" w:hAnsi="Times New Roman" w:eastAsia="仿宋_GB2312"/>
          <w:sz w:val="32"/>
          <w:szCs w:val="32"/>
        </w:rPr>
        <w:t>。</w:t>
      </w:r>
    </w:p>
    <w:p w14:paraId="3CE216C0">
      <w:pPr>
        <w:pStyle w:val="13"/>
        <w:spacing w:line="600" w:lineRule="exact"/>
        <w:ind w:firstLine="640" w:firstLineChars="200"/>
        <w:rPr>
          <w:rFonts w:hAnsi="黑体"/>
          <w:bCs/>
          <w:sz w:val="32"/>
          <w:szCs w:val="32"/>
        </w:rPr>
      </w:pPr>
      <w:r>
        <w:rPr>
          <w:rFonts w:hint="eastAsia" w:hAnsi="黑体"/>
          <w:bCs/>
          <w:sz w:val="32"/>
          <w:szCs w:val="32"/>
        </w:rPr>
        <w:t>五、一般公共预算财政拨款支出决算情况说明</w:t>
      </w:r>
    </w:p>
    <w:p w14:paraId="4894A0A8">
      <w:pPr>
        <w:pStyle w:val="13"/>
        <w:spacing w:line="600" w:lineRule="exact"/>
        <w:ind w:firstLine="640" w:firstLineChars="200"/>
        <w:rPr>
          <w:rFonts w:ascii="楷体" w:hAnsi="楷体" w:eastAsia="楷体" w:cs="楷体"/>
          <w:bCs/>
          <w:sz w:val="32"/>
          <w:szCs w:val="32"/>
        </w:rPr>
      </w:pPr>
      <w:r>
        <w:rPr>
          <w:rFonts w:hint="eastAsia" w:ascii="楷体" w:hAnsi="楷体" w:eastAsia="楷体" w:cs="楷体"/>
          <w:bCs/>
          <w:sz w:val="32"/>
          <w:szCs w:val="32"/>
        </w:rPr>
        <w:t>（一）</w:t>
      </w:r>
      <w:r>
        <w:rPr>
          <w:rFonts w:hint="eastAsia" w:ascii="仿宋_GB2312" w:hAnsi="仿宋_GB2312" w:eastAsia="仿宋_GB2312" w:cs="仿宋_GB2312"/>
          <w:b w:val="0"/>
          <w:bCs/>
          <w:sz w:val="32"/>
          <w:szCs w:val="32"/>
        </w:rPr>
        <w:t>一般公共预算财政拨款支出决算总体情况</w:t>
      </w:r>
    </w:p>
    <w:p w14:paraId="30E9B0C4">
      <w:pPr>
        <w:pStyle w:val="13"/>
        <w:spacing w:line="600" w:lineRule="exact"/>
        <w:ind w:firstLine="800" w:firstLineChars="250"/>
        <w:rPr>
          <w:rFonts w:ascii="Times New Roman" w:hAnsi="Times New Roman" w:eastAsia="仿宋_GB2312"/>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年度财政拨款支出</w:t>
      </w:r>
      <w:r>
        <w:rPr>
          <w:rFonts w:hint="eastAsia" w:ascii="Times New Roman" w:hAnsi="Times New Roman" w:eastAsia="仿宋_GB2312"/>
          <w:sz w:val="32"/>
          <w:szCs w:val="32"/>
          <w:lang w:val="en-US" w:eastAsia="zh-CN"/>
        </w:rPr>
        <w:t>2324.86</w:t>
      </w:r>
      <w:r>
        <w:rPr>
          <w:rFonts w:hint="eastAsia" w:ascii="Times New Roman" w:hAnsi="Times New Roman" w:eastAsia="仿宋_GB2312"/>
          <w:sz w:val="32"/>
          <w:szCs w:val="32"/>
        </w:rPr>
        <w:t>万元，占本年支出合计的9</w:t>
      </w:r>
      <w:r>
        <w:rPr>
          <w:rFonts w:hint="eastAsia" w:ascii="Times New Roman" w:hAnsi="Times New Roman" w:eastAsia="仿宋_GB2312"/>
          <w:sz w:val="32"/>
          <w:szCs w:val="32"/>
          <w:lang w:val="en-US" w:eastAsia="zh-CN"/>
        </w:rPr>
        <w:t>9.84</w:t>
      </w:r>
      <w:r>
        <w:rPr>
          <w:rFonts w:hint="eastAsia" w:ascii="Times New Roman" w:hAnsi="Times New Roman" w:eastAsia="仿宋_GB2312"/>
          <w:sz w:val="32"/>
          <w:szCs w:val="32"/>
        </w:rPr>
        <w:t>%，与上年相比，财政拨款支出</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27.07</w:t>
      </w:r>
      <w:r>
        <w:rPr>
          <w:rFonts w:hint="eastAsia" w:ascii="Times New Roman" w:hAnsi="Times New Roman" w:eastAsia="仿宋_GB2312"/>
          <w:sz w:val="32"/>
          <w:szCs w:val="32"/>
        </w:rPr>
        <w:t>万元，</w:t>
      </w:r>
      <w:r>
        <w:rPr>
          <w:rFonts w:hint="eastAsia" w:ascii="Times New Roman" w:hAnsi="Times New Roman" w:eastAsia="仿宋_GB2312"/>
          <w:sz w:val="32"/>
          <w:szCs w:val="32"/>
          <w:lang w:eastAsia="zh-CN"/>
        </w:rPr>
        <w:t>增加</w:t>
      </w:r>
      <w:r>
        <w:rPr>
          <w:rFonts w:hint="eastAsia" w:ascii="Times New Roman" w:hAnsi="Times New Roman" w:eastAsia="仿宋_GB2312"/>
          <w:sz w:val="32"/>
          <w:szCs w:val="32"/>
          <w:lang w:val="en-US" w:eastAsia="zh-CN"/>
        </w:rPr>
        <w:t>1.18</w:t>
      </w:r>
      <w:r>
        <w:rPr>
          <w:rFonts w:hint="eastAsia" w:ascii="Times New Roman" w:hAnsi="Times New Roman" w:eastAsia="仿宋_GB2312"/>
          <w:sz w:val="32"/>
          <w:szCs w:val="32"/>
        </w:rPr>
        <w:t>%，主要是因为</w:t>
      </w:r>
      <w:r>
        <w:rPr>
          <w:rFonts w:hint="eastAsia" w:ascii="Times New Roman" w:hAnsi="Times New Roman" w:eastAsia="仿宋_GB2312"/>
          <w:sz w:val="32"/>
          <w:szCs w:val="32"/>
          <w:lang w:eastAsia="zh-CN"/>
        </w:rPr>
        <w:t>人员经费增加</w:t>
      </w:r>
      <w:r>
        <w:rPr>
          <w:rFonts w:hint="eastAsia" w:ascii="Times New Roman" w:hAnsi="Times New Roman" w:eastAsia="仿宋_GB2312"/>
          <w:sz w:val="32"/>
          <w:szCs w:val="32"/>
        </w:rPr>
        <w:t>。</w:t>
      </w:r>
    </w:p>
    <w:p w14:paraId="793E7721">
      <w:pPr>
        <w:pStyle w:val="13"/>
        <w:keepNext w:val="0"/>
        <w:keepLines w:val="0"/>
        <w:pageBreakBefore w:val="0"/>
        <w:widowControl w:val="0"/>
        <w:kinsoku/>
        <w:wordWrap/>
        <w:overflowPunct/>
        <w:topLinePunct w:val="0"/>
        <w:bidi w:val="0"/>
        <w:snapToGrid/>
        <w:spacing w:line="600" w:lineRule="exact"/>
        <w:ind w:firstLine="800" w:firstLineChars="250"/>
        <w:textAlignment w:val="auto"/>
        <w:rPr>
          <w:rFonts w:ascii="Times New Roman" w:hAnsi="Times New Roman" w:eastAsia="仿宋_GB2312"/>
          <w:sz w:val="32"/>
          <w:szCs w:val="32"/>
        </w:rPr>
      </w:pPr>
      <w:r>
        <w:rPr>
          <w:rFonts w:hint="eastAsia" w:ascii="楷体" w:hAnsi="楷体" w:eastAsia="楷体" w:cs="楷体"/>
          <w:bCs/>
          <w:sz w:val="32"/>
          <w:szCs w:val="32"/>
        </w:rPr>
        <w:t>（二）</w:t>
      </w:r>
      <w:r>
        <w:rPr>
          <w:rFonts w:hint="eastAsia" w:ascii="仿宋_GB2312" w:hAnsi="仿宋_GB2312" w:eastAsia="仿宋_GB2312" w:cs="仿宋_GB2312"/>
          <w:b w:val="0"/>
          <w:bCs/>
          <w:sz w:val="32"/>
          <w:szCs w:val="32"/>
        </w:rPr>
        <w:t>一般公共预算财政拨款支出决算结构情况</w:t>
      </w:r>
    </w:p>
    <w:p w14:paraId="4A23FDA1">
      <w:pPr>
        <w:pStyle w:val="13"/>
        <w:spacing w:line="600" w:lineRule="exact"/>
        <w:ind w:firstLine="640" w:firstLineChars="200"/>
        <w:jc w:val="both"/>
        <w:rPr>
          <w:rFonts w:ascii="仿宋_GB2312" w:hAnsi="仿宋_GB2312" w:eastAsia="仿宋_GB2312" w:cs="仿宋_GB2312"/>
          <w:color w:val="FF0000"/>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年度财政拨款支出</w:t>
      </w:r>
      <w:r>
        <w:rPr>
          <w:rFonts w:hint="eastAsia" w:ascii="Times New Roman" w:hAnsi="Times New Roman" w:eastAsia="仿宋_GB2312"/>
          <w:sz w:val="32"/>
          <w:szCs w:val="32"/>
          <w:lang w:val="en-US" w:eastAsia="zh-CN"/>
        </w:rPr>
        <w:t>2324.86</w:t>
      </w:r>
      <w:r>
        <w:rPr>
          <w:rFonts w:hint="eastAsia" w:ascii="Times New Roman" w:hAnsi="Times New Roman" w:eastAsia="仿宋_GB2312"/>
          <w:sz w:val="32"/>
          <w:szCs w:val="32"/>
        </w:rPr>
        <w:t>万元，</w:t>
      </w:r>
      <w:r>
        <w:rPr>
          <w:rFonts w:hint="eastAsia" w:ascii="仿宋_GB2312" w:hAnsi="仿宋_GB2312" w:eastAsia="仿宋_GB2312" w:cs="仿宋_GB2312"/>
          <w:sz w:val="32"/>
          <w:szCs w:val="32"/>
        </w:rPr>
        <w:t>主要用于以下方面：一般公共服务（类）支出</w:t>
      </w:r>
      <w:r>
        <w:rPr>
          <w:rFonts w:hint="eastAsia" w:ascii="仿宋_GB2312" w:hAnsi="仿宋_GB2312" w:eastAsia="仿宋_GB2312" w:cs="仿宋_GB2312"/>
          <w:sz w:val="32"/>
          <w:szCs w:val="32"/>
          <w:lang w:val="en-US" w:eastAsia="zh-CN"/>
        </w:rPr>
        <w:t>1713.69</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73.71</w:t>
      </w:r>
      <w:r>
        <w:rPr>
          <w:rFonts w:hint="eastAsia" w:ascii="仿宋_GB2312" w:hAnsi="仿宋_GB2312" w:eastAsia="仿宋_GB2312" w:cs="仿宋_GB2312"/>
          <w:sz w:val="32"/>
          <w:szCs w:val="32"/>
        </w:rPr>
        <w:t>%；科学技术（类）支出</w:t>
      </w:r>
      <w:r>
        <w:rPr>
          <w:rFonts w:hint="eastAsia" w:ascii="仿宋_GB2312" w:hAnsi="仿宋_GB2312" w:eastAsia="仿宋_GB2312" w:cs="仿宋_GB2312"/>
          <w:sz w:val="32"/>
          <w:szCs w:val="32"/>
          <w:lang w:val="en-US" w:eastAsia="zh-CN"/>
        </w:rPr>
        <w:t>255.21</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10.98</w:t>
      </w:r>
      <w:r>
        <w:rPr>
          <w:rFonts w:hint="eastAsia" w:ascii="仿宋_GB2312" w:hAnsi="仿宋_GB2312" w:eastAsia="仿宋_GB2312" w:cs="仿宋_GB2312"/>
          <w:sz w:val="32"/>
          <w:szCs w:val="32"/>
        </w:rPr>
        <w:t>%；社会保障和就业（类）支出</w:t>
      </w:r>
      <w:r>
        <w:rPr>
          <w:rFonts w:hint="eastAsia" w:ascii="仿宋_GB2312" w:hAnsi="仿宋_GB2312" w:eastAsia="仿宋_GB2312" w:cs="仿宋_GB2312"/>
          <w:sz w:val="32"/>
          <w:szCs w:val="32"/>
          <w:lang w:val="en-US" w:eastAsia="zh-CN"/>
        </w:rPr>
        <w:t>241.02</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10.37</w:t>
      </w:r>
      <w:r>
        <w:rPr>
          <w:rFonts w:hint="eastAsia" w:ascii="仿宋_GB2312" w:hAnsi="仿宋_GB2312" w:eastAsia="仿宋_GB2312" w:cs="仿宋_GB2312"/>
          <w:sz w:val="32"/>
          <w:szCs w:val="32"/>
        </w:rPr>
        <w:t>%；卫生健康（类）支出</w:t>
      </w:r>
      <w:r>
        <w:rPr>
          <w:rFonts w:hint="eastAsia" w:ascii="仿宋_GB2312" w:hAnsi="仿宋_GB2312" w:eastAsia="仿宋_GB2312" w:cs="仿宋_GB2312"/>
          <w:sz w:val="32"/>
          <w:szCs w:val="32"/>
          <w:lang w:val="en-US" w:eastAsia="zh-CN"/>
        </w:rPr>
        <w:t>39.86</w:t>
      </w:r>
      <w:r>
        <w:rPr>
          <w:rFonts w:hint="eastAsia" w:ascii="仿宋_GB2312" w:hAnsi="仿宋_GB2312" w:eastAsia="仿宋_GB2312" w:cs="仿宋_GB2312"/>
          <w:sz w:val="32"/>
          <w:szCs w:val="32"/>
        </w:rPr>
        <w:t>万元，占1.7</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%；住房保障（类）支出75.</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万元，占3.</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w:t>
      </w:r>
    </w:p>
    <w:p w14:paraId="570D194B">
      <w:pPr>
        <w:pStyle w:val="13"/>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（三）一般公共预算财政拨款支出决算具体情况</w:t>
      </w:r>
    </w:p>
    <w:p w14:paraId="1708610B">
      <w:pPr>
        <w:pStyle w:val="13"/>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年度财政拨款支出年初预算为</w:t>
      </w:r>
      <w:r>
        <w:rPr>
          <w:rFonts w:hint="eastAsia" w:ascii="仿宋_GB2312" w:hAnsi="仿宋_GB2312" w:eastAsia="仿宋_GB2312" w:cs="仿宋_GB2312"/>
          <w:sz w:val="32"/>
          <w:szCs w:val="32"/>
          <w:lang w:val="en-US" w:eastAsia="zh-CN"/>
        </w:rPr>
        <w:t>1652.03</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2324.86</w:t>
      </w:r>
      <w:r>
        <w:rPr>
          <w:rFonts w:hint="eastAsia" w:ascii="仿宋_GB2312" w:hAnsi="仿宋_GB2312" w:eastAsia="仿宋_GB2312" w:cs="仿宋_GB2312"/>
          <w:sz w:val="32"/>
          <w:szCs w:val="32"/>
        </w:rPr>
        <w:t>万元，完成年初预算的</w:t>
      </w:r>
      <w:r>
        <w:rPr>
          <w:rFonts w:hint="eastAsia" w:ascii="仿宋_GB2312" w:hAnsi="仿宋_GB2312" w:eastAsia="仿宋_GB2312" w:cs="仿宋_GB2312"/>
          <w:sz w:val="32"/>
          <w:szCs w:val="32"/>
          <w:lang w:val="en-US" w:eastAsia="zh-CN"/>
        </w:rPr>
        <w:t>140.73</w:t>
      </w:r>
      <w:r>
        <w:rPr>
          <w:rFonts w:hint="eastAsia" w:ascii="仿宋_GB2312" w:hAnsi="仿宋_GB2312" w:eastAsia="仿宋_GB2312" w:cs="仿宋_GB2312"/>
          <w:sz w:val="32"/>
          <w:szCs w:val="32"/>
        </w:rPr>
        <w:t>%。其中：</w:t>
      </w:r>
    </w:p>
    <w:p w14:paraId="01841527">
      <w:pPr>
        <w:pStyle w:val="13"/>
        <w:spacing w:line="600" w:lineRule="exact"/>
        <w:ind w:firstLine="640" w:firstLineChars="200"/>
        <w:jc w:val="both"/>
        <w:rPr>
          <w:rFonts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rPr>
        <w:t>一般公共服务支出（类）组织事务（款）行政运行（项）。年初预算为</w:t>
      </w:r>
      <w:r>
        <w:rPr>
          <w:rFonts w:hint="eastAsia" w:ascii="仿宋_GB2312" w:hAnsi="仿宋_GB2312" w:eastAsia="仿宋_GB2312" w:cs="仿宋_GB2312"/>
          <w:sz w:val="32"/>
          <w:szCs w:val="32"/>
          <w:lang w:val="en-US" w:eastAsia="zh-CN"/>
        </w:rPr>
        <w:t>895.07</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886.35</w:t>
      </w:r>
      <w:r>
        <w:rPr>
          <w:rFonts w:hint="eastAsia" w:ascii="仿宋_GB2312" w:hAnsi="仿宋_GB2312" w:eastAsia="仿宋_GB2312" w:cs="仿宋_GB2312"/>
          <w:sz w:val="32"/>
          <w:szCs w:val="32"/>
        </w:rPr>
        <w:t>万元，完成年初预算的</w:t>
      </w:r>
      <w:r>
        <w:rPr>
          <w:rFonts w:hint="eastAsia" w:ascii="仿宋_GB2312" w:hAnsi="仿宋_GB2312" w:eastAsia="仿宋_GB2312" w:cs="仿宋_GB2312"/>
          <w:sz w:val="32"/>
          <w:szCs w:val="32"/>
          <w:highlight w:val="none"/>
          <w:lang w:val="en-US" w:eastAsia="zh-CN"/>
        </w:rPr>
        <w:t>99.03</w:t>
      </w:r>
      <w:r>
        <w:rPr>
          <w:rFonts w:hint="eastAsia" w:ascii="仿宋_GB2312" w:hAnsi="仿宋_GB2312" w:eastAsia="仿宋_GB2312" w:cs="仿宋_GB2312"/>
          <w:sz w:val="32"/>
          <w:szCs w:val="32"/>
          <w:highlight w:val="none"/>
        </w:rPr>
        <w:t>%，决算数</w:t>
      </w:r>
      <w:r>
        <w:rPr>
          <w:rFonts w:hint="eastAsia" w:ascii="仿宋_GB2312" w:hAnsi="仿宋_GB2312" w:eastAsia="仿宋_GB2312" w:cs="仿宋_GB2312"/>
          <w:sz w:val="32"/>
          <w:szCs w:val="32"/>
          <w:highlight w:val="none"/>
          <w:lang w:eastAsia="zh-CN"/>
        </w:rPr>
        <w:t>小</w:t>
      </w:r>
      <w:r>
        <w:rPr>
          <w:rFonts w:hint="eastAsia" w:ascii="仿宋_GB2312" w:hAnsi="仿宋_GB2312" w:eastAsia="仿宋_GB2312" w:cs="仿宋_GB2312"/>
          <w:sz w:val="32"/>
          <w:szCs w:val="32"/>
          <w:highlight w:val="none"/>
        </w:rPr>
        <w:t>于预算数的主要原因是</w:t>
      </w:r>
      <w:r>
        <w:rPr>
          <w:rFonts w:hint="eastAsia" w:ascii="仿宋_GB2312" w:hAnsi="仿宋_GB2312" w:eastAsia="仿宋_GB2312" w:cs="仿宋_GB2312"/>
          <w:sz w:val="32"/>
          <w:szCs w:val="32"/>
          <w:highlight w:val="none"/>
          <w:lang w:eastAsia="zh-CN"/>
        </w:rPr>
        <w:t>节约开支</w:t>
      </w:r>
      <w:r>
        <w:rPr>
          <w:rFonts w:hint="eastAsia" w:ascii="仿宋_GB2312" w:hAnsi="仿宋_GB2312" w:eastAsia="仿宋_GB2312" w:cs="仿宋_GB2312"/>
          <w:sz w:val="32"/>
          <w:szCs w:val="32"/>
          <w:highlight w:val="none"/>
        </w:rPr>
        <w:t>。</w:t>
      </w:r>
    </w:p>
    <w:p w14:paraId="701F7001">
      <w:pPr>
        <w:pStyle w:val="13"/>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一般公共服务支出（类）组织事务（款）一般行政管理事务（项）。年初预算为</w:t>
      </w:r>
      <w:r>
        <w:rPr>
          <w:rFonts w:hint="eastAsia" w:ascii="仿宋_GB2312" w:hAnsi="仿宋_GB2312" w:eastAsia="仿宋_GB2312" w:cs="仿宋_GB2312"/>
          <w:sz w:val="32"/>
          <w:szCs w:val="32"/>
          <w:highlight w:val="none"/>
          <w:lang w:val="en-US" w:eastAsia="zh-CN"/>
        </w:rPr>
        <w:t>412</w:t>
      </w:r>
      <w:r>
        <w:rPr>
          <w:rFonts w:hint="eastAsia" w:ascii="仿宋_GB2312" w:hAnsi="仿宋_GB2312" w:eastAsia="仿宋_GB2312" w:cs="仿宋_GB2312"/>
          <w:sz w:val="32"/>
          <w:szCs w:val="32"/>
          <w:highlight w:val="none"/>
        </w:rPr>
        <w:t>万元，支出决算为</w:t>
      </w:r>
      <w:r>
        <w:rPr>
          <w:rFonts w:hint="eastAsia" w:ascii="仿宋_GB2312" w:hAnsi="仿宋_GB2312" w:eastAsia="仿宋_GB2312" w:cs="仿宋_GB2312"/>
          <w:sz w:val="32"/>
          <w:szCs w:val="32"/>
          <w:highlight w:val="none"/>
          <w:lang w:val="en-US" w:eastAsia="zh-CN"/>
        </w:rPr>
        <w:t>353.59</w:t>
      </w:r>
      <w:r>
        <w:rPr>
          <w:rFonts w:hint="eastAsia" w:ascii="仿宋_GB2312" w:hAnsi="仿宋_GB2312" w:eastAsia="仿宋_GB2312" w:cs="仿宋_GB2312"/>
          <w:sz w:val="32"/>
          <w:szCs w:val="32"/>
          <w:highlight w:val="none"/>
        </w:rPr>
        <w:t>万元，完成年初预算的</w:t>
      </w:r>
      <w:r>
        <w:rPr>
          <w:rFonts w:hint="eastAsia" w:ascii="仿宋_GB2312" w:hAnsi="仿宋_GB2312" w:eastAsia="仿宋_GB2312" w:cs="仿宋_GB2312"/>
          <w:sz w:val="32"/>
          <w:szCs w:val="32"/>
          <w:highlight w:val="none"/>
          <w:lang w:val="en-US" w:eastAsia="zh-CN"/>
        </w:rPr>
        <w:t>85.82</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rPr>
        <w:t>，决算数小于预算数的主要原因是厉行节约。</w:t>
      </w:r>
    </w:p>
    <w:p w14:paraId="76EBA23A">
      <w:pPr>
        <w:pStyle w:val="13"/>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一般公共服务支出（类）组织事务（款）其他组织事务支出（项）。年初预算为0万元，支出决算为</w:t>
      </w:r>
      <w:r>
        <w:rPr>
          <w:rFonts w:hint="eastAsia" w:ascii="仿宋_GB2312" w:hAnsi="仿宋_GB2312" w:eastAsia="仿宋_GB2312" w:cs="仿宋_GB2312"/>
          <w:sz w:val="32"/>
          <w:szCs w:val="32"/>
          <w:lang w:val="en-US" w:eastAsia="zh-CN"/>
        </w:rPr>
        <w:t>466.99</w:t>
      </w:r>
      <w:r>
        <w:rPr>
          <w:rFonts w:hint="eastAsia" w:ascii="仿宋_GB2312" w:hAnsi="仿宋_GB2312" w:eastAsia="仿宋_GB2312" w:cs="仿宋_GB2312"/>
          <w:sz w:val="32"/>
          <w:szCs w:val="32"/>
        </w:rPr>
        <w:t>万元，因预算金额为0，无法计算超预算百分比，决算数大于预算数的主要原因是下拨公务员面试、遴选专项类、</w:t>
      </w:r>
      <w:r>
        <w:rPr>
          <w:rFonts w:hint="eastAsia" w:ascii="仿宋_GB2312" w:hAnsi="仿宋_GB2312" w:eastAsia="仿宋_GB2312" w:cs="仿宋_GB2312"/>
          <w:sz w:val="32"/>
          <w:szCs w:val="32"/>
          <w:lang w:eastAsia="zh-CN"/>
        </w:rPr>
        <w:t>学习</w:t>
      </w:r>
      <w:r>
        <w:rPr>
          <w:rFonts w:hint="eastAsia" w:ascii="仿宋_GB2312" w:hAnsi="仿宋_GB2312" w:eastAsia="仿宋_GB2312" w:cs="仿宋_GB2312"/>
          <w:sz w:val="32"/>
          <w:szCs w:val="32"/>
        </w:rPr>
        <w:t>教育专项类、市级党建经费专项类及部分上年结转类支出。</w:t>
      </w:r>
    </w:p>
    <w:p w14:paraId="2E2109ED">
      <w:pPr>
        <w:pStyle w:val="13"/>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科学技术支出（类）其他科学技术支出（款）其他科学技术支出（项）。年初预算为0万元，支出决算为</w:t>
      </w:r>
      <w:r>
        <w:rPr>
          <w:rFonts w:hint="eastAsia" w:ascii="仿宋_GB2312" w:hAnsi="仿宋_GB2312" w:eastAsia="仿宋_GB2312" w:cs="仿宋_GB2312"/>
          <w:sz w:val="32"/>
          <w:szCs w:val="32"/>
          <w:lang w:val="en-US" w:eastAsia="zh-CN"/>
        </w:rPr>
        <w:t>255.21</w:t>
      </w:r>
      <w:r>
        <w:rPr>
          <w:rFonts w:hint="eastAsia" w:ascii="仿宋_GB2312" w:hAnsi="仿宋_GB2312" w:eastAsia="仿宋_GB2312" w:cs="仿宋_GB2312"/>
          <w:sz w:val="32"/>
          <w:szCs w:val="32"/>
        </w:rPr>
        <w:t>万元，因预算金额为0，无法计算超预算百分比，决算数大于预算数的主要原因是下拨</w:t>
      </w:r>
      <w:r>
        <w:rPr>
          <w:rFonts w:hint="eastAsia" w:ascii="仿宋_GB2312" w:hAnsi="仿宋_GB2312" w:eastAsia="仿宋_GB2312" w:cs="仿宋_GB2312"/>
          <w:sz w:val="32"/>
          <w:szCs w:val="32"/>
          <w:lang w:eastAsia="zh-CN"/>
        </w:rPr>
        <w:t>市级驻村工作帮扶、</w:t>
      </w:r>
      <w:r>
        <w:rPr>
          <w:rFonts w:hint="eastAsia" w:ascii="仿宋_GB2312" w:hAnsi="仿宋_GB2312" w:eastAsia="仿宋_GB2312" w:cs="仿宋_GB2312"/>
          <w:sz w:val="32"/>
          <w:szCs w:val="32"/>
        </w:rPr>
        <w:t>新录用公务员初任培训、部分上年结转经费等支出。</w:t>
      </w:r>
    </w:p>
    <w:p w14:paraId="0451CBBF">
      <w:pPr>
        <w:pStyle w:val="13"/>
        <w:spacing w:line="600" w:lineRule="exact"/>
        <w:ind w:firstLine="640" w:firstLineChars="200"/>
        <w:jc w:val="both"/>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社会保障和就业支出（类）行政事业单位养老支出（款）  行政单位离退休（项）。年初预算为73.</w:t>
      </w:r>
      <w:r>
        <w:rPr>
          <w:rFonts w:hint="eastAsia" w:ascii="仿宋_GB2312" w:hAnsi="仿宋_GB2312" w:eastAsia="仿宋_GB2312" w:cs="仿宋_GB2312"/>
          <w:color w:val="auto"/>
          <w:sz w:val="32"/>
          <w:szCs w:val="32"/>
          <w:highlight w:val="none"/>
          <w:lang w:val="en-US" w:eastAsia="zh-CN"/>
        </w:rPr>
        <w:t>44</w:t>
      </w:r>
      <w:r>
        <w:rPr>
          <w:rFonts w:hint="eastAsia" w:ascii="仿宋_GB2312" w:hAnsi="仿宋_GB2312" w:eastAsia="仿宋_GB2312" w:cs="仿宋_GB2312"/>
          <w:color w:val="auto"/>
          <w:sz w:val="32"/>
          <w:szCs w:val="32"/>
          <w:highlight w:val="none"/>
        </w:rPr>
        <w:t>万元，支出决算为73.</w:t>
      </w:r>
      <w:r>
        <w:rPr>
          <w:rFonts w:hint="eastAsia" w:ascii="仿宋_GB2312" w:hAnsi="仿宋_GB2312" w:eastAsia="仿宋_GB2312" w:cs="仿宋_GB2312"/>
          <w:color w:val="auto"/>
          <w:sz w:val="32"/>
          <w:szCs w:val="32"/>
          <w:highlight w:val="none"/>
          <w:lang w:val="en-US" w:eastAsia="zh-CN"/>
        </w:rPr>
        <w:t>44</w:t>
      </w:r>
      <w:r>
        <w:rPr>
          <w:rFonts w:hint="eastAsia" w:ascii="仿宋_GB2312" w:hAnsi="仿宋_GB2312" w:eastAsia="仿宋_GB2312" w:cs="仿宋_GB2312"/>
          <w:color w:val="auto"/>
          <w:sz w:val="32"/>
          <w:szCs w:val="32"/>
          <w:highlight w:val="none"/>
        </w:rPr>
        <w:t>万元，完成年初预算的100%，决算数与预算数持平的主要原因是离退休干部人员经费支出。</w:t>
      </w:r>
    </w:p>
    <w:p w14:paraId="68F002F4">
      <w:pPr>
        <w:pStyle w:val="13"/>
        <w:spacing w:line="600" w:lineRule="exact"/>
        <w:ind w:firstLine="640" w:firstLineChars="20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社会保障和就业支出（类）行政事业单位养老支出（款）机关事业单位基本养老保险缴费支出（项）。年初预算为</w:t>
      </w:r>
      <w:r>
        <w:rPr>
          <w:rFonts w:hint="eastAsia" w:ascii="仿宋_GB2312" w:hAnsi="仿宋_GB2312" w:eastAsia="仿宋_GB2312" w:cs="仿宋_GB2312"/>
          <w:color w:val="auto"/>
          <w:sz w:val="32"/>
          <w:szCs w:val="32"/>
          <w:highlight w:val="none"/>
          <w:lang w:val="en-US" w:eastAsia="zh-CN"/>
        </w:rPr>
        <w:t>104.1</w:t>
      </w:r>
      <w:r>
        <w:rPr>
          <w:rFonts w:hint="eastAsia" w:ascii="仿宋_GB2312" w:hAnsi="仿宋_GB2312" w:eastAsia="仿宋_GB2312" w:cs="仿宋_GB2312"/>
          <w:color w:val="auto"/>
          <w:sz w:val="32"/>
          <w:szCs w:val="32"/>
          <w:highlight w:val="none"/>
        </w:rPr>
        <w:t>万元，支出决算为</w:t>
      </w:r>
      <w:r>
        <w:rPr>
          <w:rFonts w:hint="eastAsia" w:ascii="仿宋_GB2312" w:hAnsi="仿宋_GB2312" w:eastAsia="仿宋_GB2312" w:cs="仿宋_GB2312"/>
          <w:color w:val="auto"/>
          <w:sz w:val="32"/>
          <w:szCs w:val="32"/>
          <w:highlight w:val="none"/>
          <w:lang w:val="en-US" w:eastAsia="zh-CN"/>
        </w:rPr>
        <w:t>100.9</w:t>
      </w:r>
      <w:r>
        <w:rPr>
          <w:rFonts w:hint="eastAsia" w:ascii="仿宋_GB2312" w:hAnsi="仿宋_GB2312" w:eastAsia="仿宋_GB2312" w:cs="仿宋_GB2312"/>
          <w:color w:val="auto"/>
          <w:sz w:val="32"/>
          <w:szCs w:val="32"/>
          <w:highlight w:val="none"/>
        </w:rPr>
        <w:t>万元，完成年初预算的</w:t>
      </w:r>
      <w:r>
        <w:rPr>
          <w:rFonts w:hint="eastAsia" w:ascii="仿宋_GB2312" w:hAnsi="仿宋_GB2312" w:eastAsia="仿宋_GB2312" w:cs="仿宋_GB2312"/>
          <w:color w:val="auto"/>
          <w:sz w:val="32"/>
          <w:szCs w:val="32"/>
          <w:highlight w:val="none"/>
          <w:lang w:val="en-US" w:eastAsia="zh-CN"/>
        </w:rPr>
        <w:t>96.93</w:t>
      </w:r>
      <w:r>
        <w:rPr>
          <w:rFonts w:hint="eastAsia" w:ascii="仿宋_GB2312" w:hAnsi="仿宋_GB2312" w:eastAsia="仿宋_GB2312" w:cs="仿宋_GB2312"/>
          <w:color w:val="auto"/>
          <w:sz w:val="32"/>
          <w:szCs w:val="32"/>
          <w:highlight w:val="none"/>
        </w:rPr>
        <w:t>%，决算数</w:t>
      </w:r>
      <w:r>
        <w:rPr>
          <w:rFonts w:hint="eastAsia" w:ascii="仿宋_GB2312" w:hAnsi="仿宋_GB2312" w:eastAsia="仿宋_GB2312" w:cs="仿宋_GB2312"/>
          <w:color w:val="auto"/>
          <w:sz w:val="32"/>
          <w:szCs w:val="32"/>
          <w:highlight w:val="none"/>
          <w:lang w:eastAsia="zh-CN"/>
        </w:rPr>
        <w:t>小于</w:t>
      </w:r>
      <w:r>
        <w:rPr>
          <w:rFonts w:hint="eastAsia" w:ascii="仿宋_GB2312" w:hAnsi="仿宋_GB2312" w:eastAsia="仿宋_GB2312" w:cs="仿宋_GB2312"/>
          <w:color w:val="auto"/>
          <w:sz w:val="32"/>
          <w:szCs w:val="32"/>
          <w:highlight w:val="none"/>
        </w:rPr>
        <w:t>预算数的主要原因是单位养老保险经费支出</w:t>
      </w:r>
      <w:r>
        <w:rPr>
          <w:rFonts w:hint="eastAsia" w:ascii="仿宋_GB2312" w:hAnsi="仿宋_GB2312" w:eastAsia="仿宋_GB2312" w:cs="仿宋_GB2312"/>
          <w:color w:val="auto"/>
          <w:sz w:val="32"/>
          <w:szCs w:val="32"/>
          <w:highlight w:val="none"/>
          <w:lang w:eastAsia="zh-CN"/>
        </w:rPr>
        <w:t>剩余</w:t>
      </w:r>
      <w:r>
        <w:rPr>
          <w:rFonts w:hint="eastAsia" w:ascii="仿宋_GB2312" w:hAnsi="仿宋_GB2312" w:eastAsia="仿宋_GB2312" w:cs="仿宋_GB2312"/>
          <w:color w:val="auto"/>
          <w:sz w:val="32"/>
          <w:szCs w:val="32"/>
          <w:highlight w:val="none"/>
        </w:rPr>
        <w:t>。</w:t>
      </w:r>
    </w:p>
    <w:p w14:paraId="6C328DAE">
      <w:pPr>
        <w:pStyle w:val="13"/>
        <w:spacing w:line="600" w:lineRule="exact"/>
        <w:ind w:firstLine="640" w:firstLineChars="20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卫生健康支出（类）行政事业单位医疗（款）行政单位医疗（项）。年初预算为40.</w:t>
      </w:r>
      <w:r>
        <w:rPr>
          <w:rFonts w:hint="eastAsia" w:ascii="仿宋_GB2312" w:hAnsi="仿宋_GB2312" w:eastAsia="仿宋_GB2312" w:cs="仿宋_GB2312"/>
          <w:color w:val="auto"/>
          <w:sz w:val="32"/>
          <w:szCs w:val="32"/>
          <w:highlight w:val="none"/>
          <w:lang w:val="en-US" w:eastAsia="zh-CN"/>
        </w:rPr>
        <w:t>03</w:t>
      </w:r>
      <w:r>
        <w:rPr>
          <w:rFonts w:hint="eastAsia" w:ascii="仿宋_GB2312" w:hAnsi="仿宋_GB2312" w:eastAsia="仿宋_GB2312" w:cs="仿宋_GB2312"/>
          <w:color w:val="auto"/>
          <w:sz w:val="32"/>
          <w:szCs w:val="32"/>
          <w:highlight w:val="none"/>
        </w:rPr>
        <w:t>万元，支出决算为</w:t>
      </w:r>
      <w:r>
        <w:rPr>
          <w:rFonts w:hint="eastAsia" w:ascii="仿宋_GB2312" w:hAnsi="仿宋_GB2312" w:eastAsia="仿宋_GB2312" w:cs="仿宋_GB2312"/>
          <w:color w:val="auto"/>
          <w:sz w:val="32"/>
          <w:szCs w:val="32"/>
          <w:highlight w:val="none"/>
          <w:lang w:val="en-US" w:eastAsia="zh-CN"/>
        </w:rPr>
        <w:t>39.86</w:t>
      </w:r>
      <w:r>
        <w:rPr>
          <w:rFonts w:hint="eastAsia" w:ascii="仿宋_GB2312" w:hAnsi="仿宋_GB2312" w:eastAsia="仿宋_GB2312" w:cs="仿宋_GB2312"/>
          <w:color w:val="auto"/>
          <w:sz w:val="32"/>
          <w:szCs w:val="32"/>
          <w:highlight w:val="none"/>
        </w:rPr>
        <w:t>万元，完成年初预算的</w:t>
      </w:r>
      <w:r>
        <w:rPr>
          <w:rFonts w:hint="eastAsia" w:ascii="仿宋_GB2312" w:hAnsi="仿宋_GB2312" w:eastAsia="仿宋_GB2312" w:cs="仿宋_GB2312"/>
          <w:color w:val="auto"/>
          <w:sz w:val="32"/>
          <w:szCs w:val="32"/>
          <w:highlight w:val="none"/>
          <w:lang w:val="en-US" w:eastAsia="zh-CN"/>
        </w:rPr>
        <w:t>99.58</w:t>
      </w:r>
      <w:r>
        <w:rPr>
          <w:rFonts w:hint="eastAsia" w:ascii="仿宋_GB2312" w:hAnsi="仿宋_GB2312" w:eastAsia="仿宋_GB2312" w:cs="仿宋_GB2312"/>
          <w:color w:val="auto"/>
          <w:sz w:val="32"/>
          <w:szCs w:val="32"/>
          <w:highlight w:val="none"/>
        </w:rPr>
        <w:t>%，决算数</w:t>
      </w:r>
      <w:r>
        <w:rPr>
          <w:rFonts w:hint="eastAsia" w:ascii="仿宋_GB2312" w:hAnsi="仿宋_GB2312" w:eastAsia="仿宋_GB2312" w:cs="仿宋_GB2312"/>
          <w:color w:val="auto"/>
          <w:sz w:val="32"/>
          <w:szCs w:val="32"/>
          <w:highlight w:val="none"/>
          <w:lang w:eastAsia="zh-CN"/>
        </w:rPr>
        <w:t>小于</w:t>
      </w:r>
      <w:r>
        <w:rPr>
          <w:rFonts w:hint="eastAsia" w:ascii="仿宋_GB2312" w:hAnsi="仿宋_GB2312" w:eastAsia="仿宋_GB2312" w:cs="仿宋_GB2312"/>
          <w:color w:val="auto"/>
          <w:sz w:val="32"/>
          <w:szCs w:val="32"/>
          <w:highlight w:val="none"/>
        </w:rPr>
        <w:t>预算数的主要原因是单位基本医疗经费支出</w:t>
      </w:r>
      <w:r>
        <w:rPr>
          <w:rFonts w:hint="eastAsia" w:ascii="仿宋_GB2312" w:hAnsi="仿宋_GB2312" w:eastAsia="仿宋_GB2312" w:cs="仿宋_GB2312"/>
          <w:color w:val="auto"/>
          <w:sz w:val="32"/>
          <w:szCs w:val="32"/>
          <w:highlight w:val="none"/>
          <w:lang w:eastAsia="zh-CN"/>
        </w:rPr>
        <w:t>剩余</w:t>
      </w:r>
      <w:r>
        <w:rPr>
          <w:rFonts w:hint="eastAsia" w:ascii="仿宋_GB2312" w:hAnsi="仿宋_GB2312" w:eastAsia="仿宋_GB2312" w:cs="仿宋_GB2312"/>
          <w:color w:val="auto"/>
          <w:sz w:val="32"/>
          <w:szCs w:val="32"/>
          <w:highlight w:val="none"/>
        </w:rPr>
        <w:t>。</w:t>
      </w:r>
    </w:p>
    <w:p w14:paraId="7AD33E6F">
      <w:pPr>
        <w:pStyle w:val="13"/>
        <w:spacing w:line="600" w:lineRule="exact"/>
        <w:ind w:firstLine="640" w:firstLineChars="200"/>
        <w:jc w:val="both"/>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卫生健康支出（类）行政事业单位医疗（款）公务员医疗补助（项）。年初预算为</w:t>
      </w:r>
      <w:r>
        <w:rPr>
          <w:rFonts w:hint="eastAsia" w:ascii="仿宋_GB2312" w:hAnsi="仿宋_GB2312" w:eastAsia="仿宋_GB2312" w:cs="仿宋_GB2312"/>
          <w:color w:val="auto"/>
          <w:sz w:val="32"/>
          <w:szCs w:val="32"/>
          <w:highlight w:val="none"/>
          <w:lang w:val="en-US" w:eastAsia="zh-CN"/>
        </w:rPr>
        <w:t>16.91</w:t>
      </w:r>
      <w:r>
        <w:rPr>
          <w:rFonts w:hint="eastAsia" w:ascii="仿宋_GB2312" w:hAnsi="仿宋_GB2312" w:eastAsia="仿宋_GB2312" w:cs="仿宋_GB2312"/>
          <w:color w:val="auto"/>
          <w:sz w:val="32"/>
          <w:szCs w:val="32"/>
          <w:highlight w:val="none"/>
        </w:rPr>
        <w:t>万元，支出决算为0万元，因决算为0，无法计算百分比，决算数小于预算数的主要原因是此笔经费直接由财政代扣，不下单位。</w:t>
      </w:r>
    </w:p>
    <w:p w14:paraId="09E1792B">
      <w:pPr>
        <w:pStyle w:val="13"/>
        <w:spacing w:line="600" w:lineRule="exact"/>
        <w:ind w:firstLine="640" w:firstLineChars="200"/>
        <w:jc w:val="both"/>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住房保障支出（类）住房改革支出（款）住房公积金（项）。年初预算为75.</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万元，支出决算为75.</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元，完成年初预算的100%，决算数与预算数持平的主要原因是单位住房公积金支出。</w:t>
      </w:r>
    </w:p>
    <w:p w14:paraId="23C532B7">
      <w:pPr>
        <w:pStyle w:val="13"/>
        <w:spacing w:line="600" w:lineRule="exact"/>
        <w:ind w:firstLine="640" w:firstLineChars="200"/>
        <w:rPr>
          <w:rFonts w:hAnsi="黑体"/>
          <w:bCs/>
          <w:sz w:val="32"/>
          <w:szCs w:val="32"/>
        </w:rPr>
      </w:pPr>
      <w:r>
        <w:rPr>
          <w:rFonts w:hint="eastAsia" w:hAnsi="黑体"/>
          <w:bCs/>
          <w:sz w:val="32"/>
          <w:szCs w:val="32"/>
        </w:rPr>
        <w:t>六、一般公共预算财政拨款基本支出决算情况说明</w:t>
      </w:r>
    </w:p>
    <w:p w14:paraId="3B0503E9">
      <w:pPr>
        <w:pStyle w:val="13"/>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年度财政拨款基本支出</w:t>
      </w:r>
      <w:r>
        <w:rPr>
          <w:rFonts w:hint="eastAsia" w:ascii="仿宋_GB2312" w:hAnsi="Times New Roman" w:eastAsia="仿宋_GB2312"/>
          <w:sz w:val="32"/>
          <w:szCs w:val="32"/>
          <w:lang w:val="en-US" w:eastAsia="zh-CN"/>
        </w:rPr>
        <w:t>1375.77</w:t>
      </w:r>
      <w:r>
        <w:rPr>
          <w:rFonts w:hint="eastAsia" w:ascii="Times New Roman" w:hAnsi="Times New Roman" w:eastAsia="仿宋_GB2312"/>
          <w:sz w:val="32"/>
          <w:szCs w:val="32"/>
        </w:rPr>
        <w:t>万元，其中：</w:t>
      </w:r>
    </w:p>
    <w:p w14:paraId="3A2B774A">
      <w:pPr>
        <w:pStyle w:val="13"/>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b/>
          <w:bCs/>
          <w:sz w:val="32"/>
          <w:szCs w:val="32"/>
        </w:rPr>
        <w:t>人员经费</w:t>
      </w:r>
      <w:r>
        <w:rPr>
          <w:rFonts w:hint="eastAsia" w:ascii="仿宋_GB2312" w:hAnsi="Times New Roman" w:eastAsia="仿宋_GB2312"/>
          <w:sz w:val="32"/>
          <w:szCs w:val="32"/>
        </w:rPr>
        <w:t>1</w:t>
      </w:r>
      <w:r>
        <w:rPr>
          <w:rFonts w:hint="eastAsia" w:ascii="仿宋_GB2312" w:hAnsi="Times New Roman" w:eastAsia="仿宋_GB2312"/>
          <w:sz w:val="32"/>
          <w:szCs w:val="32"/>
          <w:lang w:val="en-US" w:eastAsia="zh-CN"/>
        </w:rPr>
        <w:t>209.03</w:t>
      </w:r>
      <w:r>
        <w:rPr>
          <w:rFonts w:hint="eastAsia" w:ascii="仿宋_GB2312" w:hAnsi="Times New Roman" w:eastAsia="仿宋_GB2312"/>
          <w:sz w:val="32"/>
          <w:szCs w:val="32"/>
        </w:rPr>
        <w:t>万</w:t>
      </w:r>
      <w:r>
        <w:rPr>
          <w:rFonts w:hint="eastAsia" w:ascii="Times New Roman" w:hAnsi="Times New Roman" w:eastAsia="仿宋_GB2312"/>
          <w:sz w:val="32"/>
          <w:szCs w:val="32"/>
        </w:rPr>
        <w:t>元，占基本支出</w:t>
      </w:r>
      <w:r>
        <w:rPr>
          <w:rFonts w:hint="eastAsia" w:ascii="仿宋_GB2312" w:hAnsi="Times New Roman" w:eastAsia="仿宋_GB2312"/>
          <w:sz w:val="32"/>
          <w:szCs w:val="32"/>
        </w:rPr>
        <w:t>的8</w:t>
      </w:r>
      <w:r>
        <w:rPr>
          <w:rFonts w:hint="eastAsia" w:ascii="仿宋_GB2312" w:hAnsi="Times New Roman" w:eastAsia="仿宋_GB2312"/>
          <w:sz w:val="32"/>
          <w:szCs w:val="32"/>
          <w:lang w:val="en-US" w:eastAsia="zh-CN"/>
        </w:rPr>
        <w:t>7.88</w:t>
      </w:r>
      <w:r>
        <w:rPr>
          <w:rFonts w:hint="eastAsia" w:ascii="仿宋_GB2312" w:hAnsi="Times New Roman" w:eastAsia="仿宋_GB2312"/>
          <w:sz w:val="32"/>
          <w:szCs w:val="32"/>
        </w:rPr>
        <w:t>%</w:t>
      </w:r>
      <w:r>
        <w:rPr>
          <w:rFonts w:hint="eastAsia" w:ascii="Times New Roman" w:hAnsi="Times New Roman" w:eastAsia="仿宋_GB2312"/>
          <w:sz w:val="32"/>
          <w:szCs w:val="32"/>
        </w:rPr>
        <w:t>,主要包括基本工资、津贴补贴、奖金、伙食补助费、</w:t>
      </w:r>
      <w:r>
        <w:rPr>
          <w:rFonts w:hint="eastAsia" w:ascii="Times New Roman" w:hAnsi="Times New Roman" w:eastAsia="仿宋_GB2312"/>
          <w:sz w:val="32"/>
          <w:szCs w:val="32"/>
          <w:lang w:eastAsia="zh-CN"/>
        </w:rPr>
        <w:t>绩效工资、</w:t>
      </w:r>
      <w:r>
        <w:rPr>
          <w:rFonts w:hint="eastAsia" w:ascii="Times New Roman" w:hAnsi="Times New Roman" w:eastAsia="仿宋_GB2312"/>
          <w:sz w:val="32"/>
          <w:szCs w:val="32"/>
        </w:rPr>
        <w:t>机关事业单位基本养老保险缴费、职工基本医疗保险缴费、其他社会保障缴费、住房公积金、医疗费、其他工资福利支出、</w:t>
      </w:r>
      <w:r>
        <w:rPr>
          <w:rFonts w:hint="eastAsia" w:ascii="Times New Roman" w:hAnsi="Times New Roman" w:eastAsia="仿宋_GB2312"/>
          <w:sz w:val="32"/>
          <w:szCs w:val="32"/>
          <w:lang w:eastAsia="zh-CN"/>
        </w:rPr>
        <w:t>对个人和家庭的补助、</w:t>
      </w:r>
      <w:r>
        <w:rPr>
          <w:rFonts w:hint="eastAsia" w:ascii="Times New Roman" w:hAnsi="Times New Roman" w:eastAsia="仿宋_GB2312"/>
          <w:sz w:val="32"/>
          <w:szCs w:val="32"/>
        </w:rPr>
        <w:t>退休费、医疗费补助、其他对个人和家庭的补助。</w:t>
      </w:r>
    </w:p>
    <w:p w14:paraId="5DD0D60A">
      <w:pPr>
        <w:pStyle w:val="13"/>
        <w:spacing w:line="600" w:lineRule="exact"/>
        <w:ind w:firstLine="640" w:firstLineChars="200"/>
        <w:rPr>
          <w:rFonts w:ascii="Times New Roman" w:hAnsi="Times New Roman" w:eastAsia="仿宋_GB2312"/>
          <w:sz w:val="32"/>
          <w:szCs w:val="32"/>
        </w:rPr>
      </w:pPr>
      <w:r>
        <w:rPr>
          <w:rFonts w:hint="eastAsia" w:ascii="Times New Roman" w:hAnsi="Times New Roman" w:eastAsia="仿宋_GB2312"/>
          <w:b/>
          <w:bCs/>
          <w:sz w:val="32"/>
          <w:szCs w:val="32"/>
        </w:rPr>
        <w:t>公用经费</w:t>
      </w:r>
      <w:r>
        <w:rPr>
          <w:rFonts w:hint="eastAsia" w:ascii="仿宋_GB2312" w:hAnsi="Times New Roman" w:eastAsia="仿宋_GB2312"/>
          <w:sz w:val="32"/>
          <w:szCs w:val="32"/>
        </w:rPr>
        <w:t>1</w:t>
      </w:r>
      <w:r>
        <w:rPr>
          <w:rFonts w:hint="eastAsia" w:ascii="仿宋_GB2312" w:hAnsi="Times New Roman" w:eastAsia="仿宋_GB2312"/>
          <w:sz w:val="32"/>
          <w:szCs w:val="32"/>
          <w:lang w:val="en-US" w:eastAsia="zh-CN"/>
        </w:rPr>
        <w:t>66.74</w:t>
      </w:r>
      <w:r>
        <w:rPr>
          <w:rFonts w:hint="eastAsia" w:ascii="Times New Roman" w:hAnsi="Times New Roman" w:eastAsia="仿宋_GB2312"/>
          <w:sz w:val="32"/>
          <w:szCs w:val="32"/>
        </w:rPr>
        <w:t>万元，占基本支出</w:t>
      </w:r>
      <w:r>
        <w:rPr>
          <w:rFonts w:hint="eastAsia" w:ascii="仿宋_GB2312" w:hAnsi="Times New Roman" w:eastAsia="仿宋_GB2312"/>
          <w:sz w:val="32"/>
          <w:szCs w:val="32"/>
        </w:rPr>
        <w:t>的</w:t>
      </w:r>
      <w:r>
        <w:rPr>
          <w:rFonts w:hint="eastAsia" w:ascii="仿宋_GB2312" w:hAnsi="Times New Roman" w:eastAsia="仿宋_GB2312"/>
          <w:sz w:val="32"/>
          <w:szCs w:val="32"/>
          <w:lang w:val="en-US" w:eastAsia="zh-CN"/>
        </w:rPr>
        <w:t>12.12</w:t>
      </w:r>
      <w:r>
        <w:rPr>
          <w:rFonts w:hint="eastAsia" w:ascii="仿宋_GB2312" w:hAnsi="Times New Roman" w:eastAsia="仿宋_GB2312"/>
          <w:sz w:val="32"/>
          <w:szCs w:val="32"/>
        </w:rPr>
        <w:t>%</w:t>
      </w:r>
      <w:r>
        <w:rPr>
          <w:rFonts w:hint="eastAsia" w:ascii="Times New Roman" w:hAnsi="Times New Roman" w:eastAsia="仿宋_GB2312"/>
          <w:sz w:val="32"/>
          <w:szCs w:val="32"/>
        </w:rPr>
        <w:t>，主要包括办公费、印刷费、水费、电费、邮电费、</w:t>
      </w:r>
      <w:r>
        <w:rPr>
          <w:rFonts w:hint="eastAsia" w:ascii="Times New Roman" w:hAnsi="Times New Roman" w:eastAsia="仿宋_GB2312"/>
          <w:sz w:val="32"/>
          <w:szCs w:val="32"/>
          <w:lang w:eastAsia="zh-CN"/>
        </w:rPr>
        <w:t>物业管理费</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差旅费、</w:t>
      </w:r>
      <w:r>
        <w:rPr>
          <w:rFonts w:hint="eastAsia" w:ascii="Times New Roman" w:hAnsi="Times New Roman" w:eastAsia="仿宋_GB2312"/>
          <w:sz w:val="32"/>
          <w:szCs w:val="32"/>
        </w:rPr>
        <w:t>维修（护）费、</w:t>
      </w:r>
      <w:r>
        <w:rPr>
          <w:rFonts w:hint="eastAsia" w:ascii="Times New Roman" w:hAnsi="Times New Roman" w:eastAsia="仿宋_GB2312"/>
          <w:sz w:val="32"/>
          <w:szCs w:val="32"/>
          <w:lang w:eastAsia="zh-CN"/>
        </w:rPr>
        <w:t>会议费、培训费、公务接待费、</w:t>
      </w:r>
      <w:r>
        <w:rPr>
          <w:rFonts w:hint="eastAsia" w:ascii="Times New Roman" w:hAnsi="Times New Roman" w:eastAsia="仿宋_GB2312"/>
          <w:sz w:val="32"/>
          <w:szCs w:val="32"/>
        </w:rPr>
        <w:t>劳务费、工会经费、</w:t>
      </w:r>
      <w:r>
        <w:rPr>
          <w:rFonts w:hint="eastAsia" w:ascii="Times New Roman" w:hAnsi="Times New Roman" w:eastAsia="仿宋_GB2312"/>
          <w:sz w:val="32"/>
          <w:szCs w:val="32"/>
          <w:lang w:eastAsia="zh-CN"/>
        </w:rPr>
        <w:t>福利费、</w:t>
      </w:r>
      <w:r>
        <w:rPr>
          <w:rFonts w:hint="eastAsia" w:ascii="Times New Roman" w:hAnsi="Times New Roman" w:eastAsia="仿宋_GB2312"/>
          <w:sz w:val="32"/>
          <w:szCs w:val="32"/>
        </w:rPr>
        <w:t>公务用车运行维护费、其他交通费用、其他商品和服务支出。</w:t>
      </w:r>
    </w:p>
    <w:p w14:paraId="258BB846">
      <w:pPr>
        <w:pStyle w:val="13"/>
        <w:spacing w:line="600" w:lineRule="exact"/>
        <w:ind w:firstLine="640" w:firstLineChars="200"/>
        <w:rPr>
          <w:rFonts w:hAnsi="黑体"/>
          <w:bCs/>
          <w:sz w:val="32"/>
          <w:szCs w:val="32"/>
        </w:rPr>
      </w:pPr>
      <w:r>
        <w:rPr>
          <w:rFonts w:hint="eastAsia" w:hAnsi="黑体"/>
          <w:bCs/>
          <w:sz w:val="32"/>
          <w:szCs w:val="32"/>
        </w:rPr>
        <w:t>七、政府性基金预算收入支出决算情况</w:t>
      </w:r>
    </w:p>
    <w:p w14:paraId="0C3A4B8A">
      <w:pPr>
        <w:pStyle w:val="13"/>
        <w:spacing w:line="600" w:lineRule="exact"/>
        <w:rPr>
          <w:rFonts w:ascii="Times New Roman" w:hAnsi="Times New Roman" w:eastAsia="仿宋_GB2312"/>
          <w:sz w:val="32"/>
          <w:szCs w:val="32"/>
        </w:rPr>
      </w:pPr>
      <w:r>
        <w:rPr>
          <w:rFonts w:hint="eastAsia" w:ascii="Times New Roman" w:hAnsi="Times New Roman" w:eastAsia="仿宋_GB2312"/>
          <w:sz w:val="32"/>
          <w:szCs w:val="32"/>
        </w:rPr>
        <w:t xml:space="preserve">     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年度政府性基金预算财政拨款收入0万元；年初结转和结余0万元；支出0万元，其中基本支出0万元，项目支出0万元；年末结转和结余0万元。</w:t>
      </w:r>
    </w:p>
    <w:p w14:paraId="13D97714">
      <w:pPr>
        <w:pStyle w:val="13"/>
        <w:spacing w:line="600" w:lineRule="exact"/>
        <w:rPr>
          <w:rFonts w:ascii="Times New Roman" w:hAnsi="Times New Roman" w:eastAsia="仿宋_GB2312"/>
          <w:b/>
          <w:sz w:val="32"/>
          <w:szCs w:val="32"/>
        </w:rPr>
      </w:pPr>
      <w:r>
        <w:rPr>
          <w:rFonts w:hint="eastAsia" w:hAnsi="黑体"/>
          <w:bCs/>
          <w:sz w:val="32"/>
          <w:szCs w:val="32"/>
        </w:rPr>
        <w:t xml:space="preserve">    八、</w:t>
      </w:r>
      <w:r>
        <w:rPr>
          <w:rFonts w:hint="eastAsia" w:ascii="Times New Roman" w:hAnsi="Times New Roman" w:eastAsia="仿宋_GB2312"/>
          <w:b/>
          <w:sz w:val="32"/>
          <w:szCs w:val="32"/>
        </w:rPr>
        <w:t>国有资本经营预算财政拨款支出决算情况</w:t>
      </w:r>
    </w:p>
    <w:p w14:paraId="2EED461A">
      <w:pPr>
        <w:pStyle w:val="13"/>
        <w:spacing w:line="600" w:lineRule="exact"/>
        <w:rPr>
          <w:rFonts w:ascii="Times New Roman" w:hAnsi="Times New Roman" w:eastAsia="仿宋_GB2312"/>
          <w:sz w:val="32"/>
          <w:szCs w:val="32"/>
        </w:rPr>
      </w:pPr>
      <w:r>
        <w:rPr>
          <w:rFonts w:hint="eastAsia" w:ascii="Times New Roman" w:hAnsi="Times New Roman" w:eastAsia="仿宋_GB2312"/>
          <w:sz w:val="32"/>
          <w:szCs w:val="32"/>
        </w:rPr>
        <w:t xml:space="preserve">    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年度国有资本经营预算财政拨款收入0万元；年初结转和结余0万；支出0万元，其中：基本支出0万元，项目支出0万元；年末结转和结余0万元。</w:t>
      </w:r>
    </w:p>
    <w:p w14:paraId="76D3252E">
      <w:pPr>
        <w:pStyle w:val="13"/>
        <w:spacing w:line="600" w:lineRule="exact"/>
        <w:ind w:firstLine="640" w:firstLineChars="200"/>
        <w:rPr>
          <w:rFonts w:hAnsi="黑体"/>
          <w:bCs/>
          <w:sz w:val="32"/>
          <w:szCs w:val="32"/>
        </w:rPr>
      </w:pPr>
      <w:r>
        <w:rPr>
          <w:rFonts w:hint="eastAsia" w:ascii="Times New Roman" w:hAnsi="Times New Roman" w:eastAsia="仿宋_GB2312"/>
          <w:b/>
          <w:sz w:val="32"/>
          <w:szCs w:val="32"/>
        </w:rPr>
        <w:t>九、</w:t>
      </w:r>
      <w:r>
        <w:rPr>
          <w:rFonts w:hint="eastAsia" w:hAnsi="黑体"/>
          <w:bCs/>
          <w:sz w:val="32"/>
          <w:szCs w:val="32"/>
        </w:rPr>
        <w:t>财政拨款三公经费支出决算情况说明</w:t>
      </w:r>
    </w:p>
    <w:p w14:paraId="0819F23D">
      <w:pPr>
        <w:pStyle w:val="13"/>
        <w:spacing w:line="600" w:lineRule="exact"/>
        <w:ind w:firstLine="640" w:firstLineChars="200"/>
        <w:rPr>
          <w:rFonts w:ascii="楷体" w:hAnsi="楷体" w:eastAsia="楷体" w:cs="楷体"/>
          <w:b/>
          <w:sz w:val="32"/>
          <w:szCs w:val="32"/>
        </w:rPr>
      </w:pPr>
      <w:r>
        <w:rPr>
          <w:rFonts w:hint="eastAsia" w:ascii="楷体" w:hAnsi="楷体" w:eastAsia="楷体" w:cs="楷体"/>
          <w:b/>
          <w:sz w:val="32"/>
          <w:szCs w:val="32"/>
        </w:rPr>
        <w:t>（一）“三公”经费财政拨款支出决算总体情况说明</w:t>
      </w:r>
    </w:p>
    <w:p w14:paraId="6329BC2C">
      <w:pPr>
        <w:pStyle w:val="13"/>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2024年度“三公”经费财政拨款支出预算为</w:t>
      </w:r>
      <w:r>
        <w:rPr>
          <w:rFonts w:hint="eastAsia" w:ascii="Times New Roman" w:hAnsi="Times New Roman" w:eastAsia="仿宋_GB2312" w:cs="Times New Roman"/>
          <w:sz w:val="32"/>
          <w:szCs w:val="32"/>
          <w:lang w:val="en-US" w:eastAsia="zh-CN"/>
        </w:rPr>
        <w:t>21.5</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11.38</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52.93</w:t>
      </w:r>
      <w:r>
        <w:rPr>
          <w:rFonts w:ascii="Times New Roman" w:hAnsi="Times New Roman" w:eastAsia="仿宋_GB2312" w:cs="Times New Roman"/>
          <w:sz w:val="32"/>
          <w:szCs w:val="32"/>
        </w:rPr>
        <w:t>%；与上年相比减少</w:t>
      </w:r>
      <w:r>
        <w:rPr>
          <w:rFonts w:hint="eastAsia" w:ascii="Times New Roman" w:hAnsi="Times New Roman" w:eastAsia="仿宋_GB2312" w:cs="Times New Roman"/>
          <w:sz w:val="32"/>
          <w:szCs w:val="32"/>
          <w:lang w:val="en-US" w:eastAsia="zh-CN"/>
        </w:rPr>
        <w:t>0.34</w:t>
      </w:r>
      <w:r>
        <w:rPr>
          <w:rFonts w:ascii="Times New Roman" w:hAnsi="Times New Roman" w:eastAsia="仿宋_GB2312" w:cs="Times New Roman"/>
          <w:sz w:val="32"/>
          <w:szCs w:val="32"/>
        </w:rPr>
        <w:t>万元，降低</w:t>
      </w:r>
      <w:r>
        <w:rPr>
          <w:rFonts w:hint="eastAsia" w:ascii="Times New Roman" w:hAnsi="Times New Roman" w:eastAsia="仿宋_GB2312" w:cs="Times New Roman"/>
          <w:sz w:val="32"/>
          <w:szCs w:val="32"/>
          <w:lang w:val="en-US" w:eastAsia="zh-CN"/>
        </w:rPr>
        <w:t>2.9</w:t>
      </w:r>
      <w:r>
        <w:rPr>
          <w:rFonts w:ascii="Times New Roman" w:hAnsi="Times New Roman" w:eastAsia="仿宋_GB2312" w:cs="Times New Roman"/>
          <w:sz w:val="32"/>
          <w:szCs w:val="32"/>
        </w:rPr>
        <w:t>%。决算数小于预算数的主要原因是</w:t>
      </w:r>
      <w:r>
        <w:rPr>
          <w:rFonts w:hint="eastAsia" w:ascii="Times New Roman" w:hAnsi="Times New Roman" w:eastAsia="仿宋_GB2312" w:cs="Times New Roman"/>
          <w:sz w:val="32"/>
          <w:szCs w:val="32"/>
          <w:lang w:eastAsia="zh-CN"/>
        </w:rPr>
        <w:t>厉行节约，</w:t>
      </w:r>
      <w:r>
        <w:rPr>
          <w:rFonts w:ascii="Times New Roman" w:hAnsi="Times New Roman" w:eastAsia="仿宋_GB2312" w:cs="Times New Roman"/>
          <w:sz w:val="32"/>
          <w:szCs w:val="32"/>
        </w:rPr>
        <w:t>决算数小于上年数的主要原因是</w:t>
      </w:r>
      <w:r>
        <w:rPr>
          <w:rFonts w:hint="eastAsia" w:ascii="Times New Roman" w:hAnsi="Times New Roman" w:eastAsia="仿宋_GB2312" w:cs="Times New Roman"/>
          <w:sz w:val="32"/>
          <w:szCs w:val="32"/>
          <w:lang w:eastAsia="zh-CN"/>
        </w:rPr>
        <w:t>厉行节约</w:t>
      </w:r>
      <w:r>
        <w:rPr>
          <w:rFonts w:ascii="Times New Roman" w:hAnsi="Times New Roman" w:eastAsia="仿宋_GB2312" w:cs="Times New Roman"/>
          <w:sz w:val="32"/>
          <w:szCs w:val="32"/>
        </w:rPr>
        <w:t>。</w:t>
      </w:r>
    </w:p>
    <w:p w14:paraId="5C716F82">
      <w:pPr>
        <w:pStyle w:val="13"/>
        <w:overflowPunct w:val="0"/>
        <w:autoSpaceDE/>
        <w:autoSpaceDN/>
        <w:spacing w:line="600" w:lineRule="exact"/>
        <w:ind w:firstLine="640" w:firstLineChars="200"/>
        <w:jc w:val="both"/>
        <w:rPr>
          <w:rFonts w:ascii="Times New Roman" w:hAnsi="Times New Roman" w:eastAsia="仿宋_GB2312" w:cs="Times New Roman"/>
          <w:sz w:val="32"/>
          <w:szCs w:val="32"/>
          <w:highlight w:val="yellow"/>
        </w:rPr>
      </w:pPr>
      <w:r>
        <w:rPr>
          <w:rFonts w:ascii="Times New Roman" w:hAnsi="Times New Roman" w:eastAsia="楷体_GB2312" w:cs="Times New Roman"/>
          <w:b/>
          <w:sz w:val="32"/>
          <w:szCs w:val="32"/>
        </w:rPr>
        <w:t>（二）</w:t>
      </w:r>
      <w:r>
        <w:rPr>
          <w:rFonts w:hint="eastAsia" w:ascii="Times New Roman" w:hAnsi="Times New Roman" w:eastAsia="楷体_GB2312" w:cs="Times New Roman"/>
          <w:b/>
          <w:sz w:val="32"/>
          <w:szCs w:val="32"/>
          <w:lang w:eastAsia="zh-CN"/>
        </w:rPr>
        <w:t>“三公”</w:t>
      </w:r>
      <w:r>
        <w:rPr>
          <w:rFonts w:ascii="Times New Roman" w:hAnsi="Times New Roman" w:eastAsia="楷体_GB2312" w:cs="Times New Roman"/>
          <w:b/>
          <w:sz w:val="32"/>
          <w:szCs w:val="32"/>
        </w:rPr>
        <w:t>经费财政拨款支出决算具体情况说明</w:t>
      </w:r>
    </w:p>
    <w:p w14:paraId="3A3D2562">
      <w:pPr>
        <w:pStyle w:val="13"/>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color w:val="auto"/>
          <w:sz w:val="32"/>
          <w:szCs w:val="32"/>
        </w:rPr>
        <w:t>1.因公出国（境）费支出预算为</w:t>
      </w:r>
      <w:r>
        <w:rPr>
          <w:rFonts w:hint="eastAsia" w:ascii="Times New Roman" w:hAnsi="Times New Roman" w:eastAsia="仿宋_GB2312" w:cs="Times New Roman"/>
          <w:color w:val="auto"/>
          <w:sz w:val="32"/>
          <w:szCs w:val="32"/>
          <w:lang w:val="en-US" w:eastAsia="zh-CN"/>
        </w:rPr>
        <w:t>4.5</w:t>
      </w:r>
      <w:r>
        <w:rPr>
          <w:rFonts w:ascii="Times New Roman" w:hAnsi="Times New Roman" w:eastAsia="仿宋_GB2312" w:cs="Times New Roman"/>
          <w:color w:val="auto"/>
          <w:sz w:val="32"/>
          <w:szCs w:val="32"/>
        </w:rPr>
        <w:t>万元，支出决算为</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万元，</w:t>
      </w:r>
      <w:r>
        <w:rPr>
          <w:rFonts w:hint="eastAsia" w:ascii="仿宋_GB2312" w:hAnsi="仿宋_GB2312" w:eastAsia="仿宋_GB2312" w:cs="仿宋_GB2312"/>
          <w:color w:val="auto"/>
          <w:sz w:val="32"/>
          <w:szCs w:val="32"/>
          <w:highlight w:val="none"/>
        </w:rPr>
        <w:t>因决算为0，无法计算百分比</w:t>
      </w:r>
      <w:r>
        <w:rPr>
          <w:rFonts w:hint="eastAsia" w:ascii="仿宋_GB2312" w:hAnsi="仿宋_GB2312" w:eastAsia="仿宋_GB2312" w:cs="仿宋_GB2312"/>
          <w:color w:val="auto"/>
          <w:sz w:val="32"/>
          <w:szCs w:val="32"/>
          <w:highlight w:val="none"/>
          <w:lang w:eastAsia="zh-CN"/>
        </w:rPr>
        <w:t>。</w:t>
      </w:r>
      <w:r>
        <w:rPr>
          <w:rFonts w:hint="eastAsia" w:ascii="Times New Roman" w:hAnsi="Times New Roman" w:eastAsia="仿宋_GB2312" w:cs="Times New Roman"/>
          <w:color w:val="auto"/>
          <w:sz w:val="32"/>
          <w:szCs w:val="32"/>
          <w:lang w:eastAsia="zh-CN"/>
        </w:rPr>
        <w:t>决算数小于预算数</w:t>
      </w:r>
      <w:r>
        <w:rPr>
          <w:rFonts w:hint="eastAsia" w:ascii="Times New Roman" w:hAnsi="Times New Roman" w:eastAsia="仿宋_GB2312" w:cs="Times New Roman"/>
          <w:color w:val="auto"/>
          <w:sz w:val="32"/>
          <w:szCs w:val="32"/>
          <w:lang w:val="en-US" w:eastAsia="zh-CN"/>
        </w:rPr>
        <w:t>的原因是我单位未安排因公出国（境）活动</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与上年一致，无增减变动，主要原因是未安排因公出国（境）活动。</w:t>
      </w:r>
      <w:r>
        <w:rPr>
          <w:rFonts w:ascii="Times New Roman" w:hAnsi="Times New Roman" w:eastAsia="仿宋_GB2312" w:cs="Times New Roman"/>
          <w:color w:val="auto"/>
          <w:sz w:val="32"/>
          <w:szCs w:val="32"/>
        </w:rPr>
        <w:t>2024年度安排因公出国（境）团组</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个，累计</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人次</w:t>
      </w:r>
      <w:r>
        <w:rPr>
          <w:rFonts w:hint="eastAsia" w:ascii="Times New Roman" w:hAnsi="Times New Roman" w:eastAsia="仿宋_GB2312" w:cs="Times New Roman"/>
          <w:color w:val="auto"/>
          <w:sz w:val="32"/>
          <w:szCs w:val="32"/>
          <w:lang w:eastAsia="zh-CN"/>
        </w:rPr>
        <w:t>。</w:t>
      </w:r>
    </w:p>
    <w:p w14:paraId="53A915BB">
      <w:pPr>
        <w:pStyle w:val="13"/>
        <w:spacing w:line="600" w:lineRule="exact"/>
        <w:ind w:firstLine="800" w:firstLineChars="250"/>
        <w:rPr>
          <w:rFonts w:hint="eastAsia" w:ascii="仿宋_GB2312" w:hAnsi="仿宋_GB2312" w:eastAsia="仿宋_GB2312" w:cs="仿宋_GB2312"/>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公务用车购置费支出预算为0万元，支出决算为0万元，决算数等于预算数，主要原因是我单位严格按预算执行决算；与上年一致，无增减变动，主要原因是两年均未购置公务用车。</w:t>
      </w:r>
    </w:p>
    <w:p w14:paraId="2FA371B8">
      <w:pPr>
        <w:pStyle w:val="13"/>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公务用车运行维护费支出预算为</w:t>
      </w:r>
      <w:r>
        <w:rPr>
          <w:rFonts w:hint="eastAsia" w:ascii="Times New Roman" w:hAnsi="Times New Roman" w:eastAsia="仿宋_GB2312" w:cs="Times New Roman"/>
          <w:sz w:val="32"/>
          <w:szCs w:val="32"/>
          <w:lang w:val="en-US" w:eastAsia="zh-CN"/>
        </w:rPr>
        <w:t>12</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7.95</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66.25</w:t>
      </w:r>
      <w:r>
        <w:rPr>
          <w:rFonts w:ascii="Times New Roman" w:hAnsi="Times New Roman" w:eastAsia="仿宋_GB2312" w:cs="Times New Roman"/>
          <w:sz w:val="32"/>
          <w:szCs w:val="32"/>
        </w:rPr>
        <w:t>%；与上年相比减少</w:t>
      </w:r>
      <w:r>
        <w:rPr>
          <w:rFonts w:hint="eastAsia" w:ascii="Times New Roman" w:hAnsi="Times New Roman" w:eastAsia="仿宋_GB2312" w:cs="Times New Roman"/>
          <w:sz w:val="32"/>
          <w:szCs w:val="32"/>
          <w:lang w:val="en-US" w:eastAsia="zh-CN"/>
        </w:rPr>
        <w:t>1.57</w:t>
      </w:r>
      <w:r>
        <w:rPr>
          <w:rFonts w:ascii="Times New Roman" w:hAnsi="Times New Roman" w:eastAsia="仿宋_GB2312" w:cs="Times New Roman"/>
          <w:sz w:val="32"/>
          <w:szCs w:val="32"/>
        </w:rPr>
        <w:t>万元，降低</w:t>
      </w:r>
      <w:r>
        <w:rPr>
          <w:rFonts w:hint="eastAsia" w:ascii="Times New Roman" w:hAnsi="Times New Roman" w:eastAsia="仿宋_GB2312" w:cs="Times New Roman"/>
          <w:sz w:val="32"/>
          <w:szCs w:val="32"/>
          <w:lang w:val="en-US" w:eastAsia="zh-CN"/>
        </w:rPr>
        <w:t>16.49</w:t>
      </w:r>
      <w:r>
        <w:rPr>
          <w:rFonts w:ascii="Times New Roman" w:hAnsi="Times New Roman" w:eastAsia="仿宋_GB2312" w:cs="Times New Roman"/>
          <w:sz w:val="32"/>
          <w:szCs w:val="32"/>
        </w:rPr>
        <w:t>%。</w:t>
      </w:r>
      <w:r>
        <w:rPr>
          <w:rFonts w:hint="eastAsia" w:ascii="仿宋_GB2312" w:hAnsi="仿宋_GB2312" w:eastAsia="仿宋_GB2312" w:cs="仿宋_GB2312"/>
          <w:sz w:val="32"/>
          <w:szCs w:val="32"/>
        </w:rPr>
        <w:t>决算数小于预算数的主要原因是厉行节约要求，从严控制“三公”经费开支，全年实际支出比预算有所节约。</w:t>
      </w:r>
      <w:r>
        <w:rPr>
          <w:rFonts w:ascii="Times New Roman" w:hAnsi="Times New Roman" w:eastAsia="仿宋_GB2312" w:cs="Times New Roman"/>
          <w:sz w:val="32"/>
          <w:szCs w:val="32"/>
        </w:rPr>
        <w:t>决算数小于上年数</w:t>
      </w:r>
      <w:r>
        <w:rPr>
          <w:rFonts w:hint="eastAsia" w:ascii="Times New Roman" w:hAnsi="Times New Roman" w:eastAsia="仿宋_GB2312"/>
          <w:sz w:val="32"/>
          <w:szCs w:val="32"/>
        </w:rPr>
        <w:t>的主要原因是</w:t>
      </w:r>
      <w:r>
        <w:rPr>
          <w:rFonts w:hint="eastAsia" w:ascii="仿宋_GB2312" w:hAnsi="仿宋_GB2312" w:eastAsia="仿宋_GB2312" w:cs="仿宋_GB2312"/>
          <w:sz w:val="32"/>
          <w:szCs w:val="32"/>
        </w:rPr>
        <w:t>厉行节约要求，从严控制“三公”经费开支</w:t>
      </w:r>
      <w:r>
        <w:rPr>
          <w:rFonts w:hint="eastAsia" w:ascii="Times New Roman" w:hAnsi="Times New Roman" w:eastAsia="仿宋_GB2312"/>
          <w:sz w:val="32"/>
          <w:szCs w:val="32"/>
        </w:rPr>
        <w:t>。</w:t>
      </w:r>
      <w:r>
        <w:rPr>
          <w:rFonts w:ascii="Times New Roman" w:hAnsi="Times New Roman" w:eastAsia="仿宋_GB2312" w:cs="Times New Roman"/>
          <w:sz w:val="32"/>
          <w:szCs w:val="32"/>
          <w:highlight w:val="none"/>
        </w:rPr>
        <w:t>截止</w:t>
      </w:r>
      <w:r>
        <w:rPr>
          <w:rFonts w:hint="eastAsia" w:ascii="Times New Roman" w:hAnsi="Times New Roman" w:eastAsia="仿宋_GB2312" w:cs="Times New Roman"/>
          <w:sz w:val="32"/>
          <w:szCs w:val="32"/>
          <w:highlight w:val="none"/>
          <w:lang w:eastAsia="zh-CN"/>
        </w:rPr>
        <w:t>到</w:t>
      </w:r>
      <w:r>
        <w:rPr>
          <w:rFonts w:ascii="Times New Roman" w:hAnsi="Times New Roman" w:eastAsia="仿宋_GB2312" w:cs="Times New Roman"/>
          <w:sz w:val="32"/>
          <w:szCs w:val="32"/>
        </w:rPr>
        <w:t>2024年12月31日，我单位开支财政拨款的公务用车保有量为</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辆。</w:t>
      </w:r>
    </w:p>
    <w:p w14:paraId="4F259E06">
      <w:pPr>
        <w:pStyle w:val="13"/>
        <w:numPr>
          <w:ilvl w:val="0"/>
          <w:numId w:val="0"/>
        </w:numPr>
        <w:spacing w:line="600" w:lineRule="exact"/>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公务接待费支出预算为</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3.43</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68.6</w:t>
      </w:r>
      <w:r>
        <w:rPr>
          <w:rFonts w:ascii="Times New Roman" w:hAnsi="Times New Roman" w:eastAsia="仿宋_GB2312" w:cs="Times New Roman"/>
          <w:sz w:val="32"/>
          <w:szCs w:val="32"/>
        </w:rPr>
        <w:t>%；与上年相比增加</w:t>
      </w:r>
      <w:r>
        <w:rPr>
          <w:rFonts w:hint="eastAsia" w:ascii="Times New Roman" w:hAnsi="Times New Roman" w:eastAsia="仿宋_GB2312" w:cs="Times New Roman"/>
          <w:sz w:val="32"/>
          <w:szCs w:val="32"/>
          <w:lang w:val="en-US" w:eastAsia="zh-CN"/>
        </w:rPr>
        <w:t>1.23</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lang w:val="en-US" w:eastAsia="zh-CN"/>
        </w:rPr>
        <w:t>55.91</w:t>
      </w:r>
      <w:r>
        <w:rPr>
          <w:rFonts w:ascii="Times New Roman" w:hAnsi="Times New Roman" w:eastAsia="仿宋_GB2312" w:cs="Times New Roman"/>
          <w:sz w:val="32"/>
          <w:szCs w:val="32"/>
        </w:rPr>
        <w:t>%。决算数小于预算数的主要原因是</w:t>
      </w:r>
      <w:r>
        <w:rPr>
          <w:rFonts w:hint="eastAsia" w:ascii="仿宋_GB2312" w:hAnsi="仿宋_GB2312" w:eastAsia="仿宋_GB2312" w:cs="仿宋_GB2312"/>
          <w:sz w:val="32"/>
          <w:szCs w:val="32"/>
          <w:lang w:eastAsia="zh-CN"/>
        </w:rPr>
        <w:t>根据实际情况结算</w:t>
      </w:r>
      <w:r>
        <w:rPr>
          <w:rFonts w:hint="eastAsia" w:ascii="仿宋_GB2312" w:hAnsi="仿宋_GB2312" w:eastAsia="仿宋_GB2312" w:cs="仿宋_GB2312"/>
          <w:sz w:val="32"/>
          <w:szCs w:val="32"/>
        </w:rPr>
        <w:t>，从严控制“三公”经费开支</w:t>
      </w:r>
      <w:r>
        <w:rPr>
          <w:rFonts w:ascii="Times New Roman" w:hAnsi="Times New Roman" w:eastAsia="仿宋_GB2312" w:cs="Times New Roman"/>
          <w:sz w:val="32"/>
          <w:szCs w:val="32"/>
        </w:rPr>
        <w:t>。决算数大于上年数的主要原因是</w:t>
      </w:r>
      <w:r>
        <w:rPr>
          <w:rFonts w:hint="eastAsia" w:ascii="Times New Roman" w:hAnsi="Times New Roman" w:eastAsia="仿宋_GB2312" w:cs="Times New Roman"/>
          <w:sz w:val="32"/>
          <w:szCs w:val="32"/>
          <w:lang w:eastAsia="zh-CN"/>
        </w:rPr>
        <w:t>本年度来客增加</w:t>
      </w:r>
      <w:r>
        <w:rPr>
          <w:rFonts w:ascii="Times New Roman" w:hAnsi="Times New Roman" w:eastAsia="仿宋_GB2312" w:cs="Times New Roman"/>
          <w:sz w:val="32"/>
          <w:szCs w:val="32"/>
        </w:rPr>
        <w:t>。2024年度共接待来访团组</w:t>
      </w:r>
      <w:r>
        <w:rPr>
          <w:rFonts w:hint="eastAsia" w:ascii="Times New Roman" w:hAnsi="Times New Roman" w:eastAsia="仿宋_GB2312" w:cs="Times New Roman"/>
          <w:sz w:val="32"/>
          <w:szCs w:val="32"/>
          <w:lang w:val="en-US" w:eastAsia="zh-CN"/>
        </w:rPr>
        <w:t>23</w:t>
      </w:r>
      <w:r>
        <w:rPr>
          <w:rFonts w:ascii="Times New Roman" w:hAnsi="Times New Roman" w:eastAsia="仿宋_GB2312" w:cs="Times New Roman"/>
          <w:sz w:val="32"/>
          <w:szCs w:val="32"/>
        </w:rPr>
        <w:t>个、来宾</w:t>
      </w:r>
      <w:r>
        <w:rPr>
          <w:rFonts w:hint="eastAsia" w:ascii="Times New Roman" w:hAnsi="Times New Roman" w:eastAsia="仿宋_GB2312" w:cs="Times New Roman"/>
          <w:sz w:val="32"/>
          <w:szCs w:val="32"/>
          <w:lang w:val="en-US" w:eastAsia="zh-CN"/>
        </w:rPr>
        <w:t>200</w:t>
      </w:r>
      <w:r>
        <w:rPr>
          <w:rFonts w:ascii="Times New Roman" w:hAnsi="Times New Roman" w:eastAsia="仿宋_GB2312" w:cs="Times New Roman"/>
          <w:sz w:val="32"/>
          <w:szCs w:val="32"/>
        </w:rPr>
        <w:t>人次，主要是</w:t>
      </w:r>
      <w:r>
        <w:rPr>
          <w:rFonts w:hint="eastAsia" w:ascii="Times New Roman" w:hAnsi="Times New Roman" w:eastAsia="仿宋_GB2312" w:cs="Times New Roman"/>
          <w:sz w:val="32"/>
          <w:szCs w:val="32"/>
          <w:lang w:eastAsia="zh-CN"/>
        </w:rPr>
        <w:t>中央、省组及市州等考察调研等</w:t>
      </w:r>
      <w:r>
        <w:rPr>
          <w:rFonts w:ascii="Times New Roman" w:hAnsi="Times New Roman" w:eastAsia="仿宋_GB2312" w:cs="Times New Roman"/>
          <w:sz w:val="32"/>
          <w:szCs w:val="32"/>
        </w:rPr>
        <w:t>发生的接待支出。</w:t>
      </w:r>
    </w:p>
    <w:p w14:paraId="48318501">
      <w:pPr>
        <w:pStyle w:val="13"/>
        <w:numPr>
          <w:ilvl w:val="0"/>
          <w:numId w:val="0"/>
        </w:numPr>
        <w:spacing w:line="600" w:lineRule="exact"/>
        <w:ind w:firstLine="640" w:firstLineChars="200"/>
        <w:rPr>
          <w:rFonts w:hAnsi="黑体"/>
          <w:bCs/>
          <w:sz w:val="32"/>
          <w:szCs w:val="32"/>
        </w:rPr>
      </w:pPr>
      <w:r>
        <w:rPr>
          <w:rFonts w:hint="eastAsia" w:hAnsi="黑体"/>
          <w:bCs/>
          <w:sz w:val="32"/>
          <w:szCs w:val="32"/>
        </w:rPr>
        <w:t>十、关于机关运行经费支出说明</w:t>
      </w:r>
    </w:p>
    <w:p w14:paraId="50D718C7">
      <w:pPr>
        <w:pStyle w:val="13"/>
        <w:ind w:firstLine="640" w:firstLineChars="200"/>
        <w:rPr>
          <w:rFonts w:ascii="楷体" w:hAnsi="楷体" w:eastAsia="楷体" w:cs="楷体"/>
          <w:sz w:val="32"/>
          <w:szCs w:val="32"/>
        </w:rPr>
      </w:pPr>
      <w:r>
        <w:rPr>
          <w:rFonts w:hint="eastAsia" w:ascii="Times New Roman" w:hAnsi="Times New Roman" w:eastAsia="仿宋_GB2312"/>
          <w:sz w:val="32"/>
          <w:szCs w:val="32"/>
        </w:rPr>
        <w:t>本部门202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年度机关运行经费支出</w:t>
      </w:r>
      <w:r>
        <w:rPr>
          <w:rFonts w:hint="eastAsia" w:ascii="Times New Roman" w:hAnsi="Times New Roman" w:eastAsia="仿宋_GB2312"/>
          <w:sz w:val="32"/>
          <w:szCs w:val="32"/>
          <w:lang w:val="en-US" w:eastAsia="zh-CN"/>
        </w:rPr>
        <w:t>166.74</w:t>
      </w:r>
      <w:r>
        <w:rPr>
          <w:rFonts w:hint="eastAsia" w:ascii="Times New Roman" w:hAnsi="Times New Roman" w:eastAsia="仿宋_GB2312"/>
          <w:sz w:val="32"/>
          <w:szCs w:val="32"/>
        </w:rPr>
        <w:t>万元，</w:t>
      </w:r>
      <w:r>
        <w:rPr>
          <w:rFonts w:hint="eastAsia" w:ascii="仿宋_GB2312" w:hAnsi="仿宋_GB2312" w:eastAsia="仿宋_GB2312" w:cs="仿宋_GB2312"/>
          <w:sz w:val="32"/>
          <w:szCs w:val="32"/>
        </w:rPr>
        <w:t>与年初预算数持平。主要原因是严格按照预算支出机关运行经费。</w:t>
      </w:r>
    </w:p>
    <w:p w14:paraId="01792F93">
      <w:pPr>
        <w:pStyle w:val="13"/>
        <w:spacing w:line="600" w:lineRule="exact"/>
        <w:ind w:firstLine="640" w:firstLineChars="200"/>
        <w:rPr>
          <w:rFonts w:hAnsi="黑体"/>
          <w:bCs/>
          <w:sz w:val="32"/>
          <w:szCs w:val="32"/>
        </w:rPr>
      </w:pPr>
      <w:r>
        <w:rPr>
          <w:rFonts w:hint="eastAsia" w:hAnsi="黑体"/>
          <w:bCs/>
          <w:sz w:val="32"/>
          <w:szCs w:val="32"/>
        </w:rPr>
        <w:t>十一、一般性支出情况说明</w:t>
      </w:r>
    </w:p>
    <w:p w14:paraId="7F219F15">
      <w:pPr>
        <w:pStyle w:val="13"/>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年度，会议费年初预算1万元，支出决算为1万元，完成年初预算的100%。用于召开全市组织工作会议和全市基层党建工作述职评议会议等，</w:t>
      </w:r>
      <w:r>
        <w:rPr>
          <w:rFonts w:hint="eastAsia" w:ascii="仿宋_GB2312" w:hAnsi="仿宋_GB2312" w:eastAsia="仿宋_GB2312" w:cs="仿宋_GB2312"/>
          <w:sz w:val="32"/>
          <w:szCs w:val="32"/>
        </w:rPr>
        <w:t>人数</w:t>
      </w:r>
      <w:r>
        <w:rPr>
          <w:rFonts w:hint="eastAsia" w:ascii="仿宋_GB2312" w:hAnsi="仿宋_GB2312" w:eastAsia="仿宋_GB2312" w:cs="仿宋_GB2312"/>
          <w:sz w:val="32"/>
          <w:szCs w:val="32"/>
          <w:lang w:val="en-US" w:eastAsia="zh-CN"/>
        </w:rPr>
        <w:t>240</w:t>
      </w:r>
      <w:r>
        <w:rPr>
          <w:rFonts w:hint="eastAsia" w:ascii="仿宋_GB2312" w:hAnsi="仿宋_GB2312" w:eastAsia="仿宋_GB2312" w:cs="仿宋_GB2312"/>
          <w:sz w:val="32"/>
          <w:szCs w:val="32"/>
        </w:rPr>
        <w:t>人，内容为</w:t>
      </w:r>
      <w:r>
        <w:rPr>
          <w:rFonts w:hint="eastAsia" w:ascii="仿宋_GB2312" w:hAnsi="仿宋_GB2312" w:eastAsia="仿宋_GB2312" w:cs="仿宋_GB2312"/>
          <w:sz w:val="32"/>
          <w:szCs w:val="32"/>
          <w:lang w:val="en-US" w:eastAsia="zh-CN"/>
        </w:rPr>
        <w:t>全市组织工作总结和党建工作述职评议等</w:t>
      </w:r>
      <w:r>
        <w:rPr>
          <w:rFonts w:hint="eastAsia" w:ascii="仿宋_GB2312" w:hAnsi="仿宋_GB2312" w:eastAsia="仿宋_GB2312" w:cs="仿宋_GB2312"/>
          <w:sz w:val="32"/>
          <w:szCs w:val="32"/>
          <w:lang w:eastAsia="zh-CN"/>
        </w:rPr>
        <w:t>。</w:t>
      </w:r>
    </w:p>
    <w:p w14:paraId="4402B579">
      <w:pPr>
        <w:widowControl w:val="0"/>
        <w:autoSpaceDE w:val="0"/>
        <w:autoSpaceDN w:val="0"/>
        <w:adjustRightInd w:val="0"/>
        <w:ind w:firstLine="640" w:firstLineChars="200"/>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培训费年初预算1万元，支出决算为0.17万元，完成年初预算的17%。用于到党校参加培训的相关支出，人数43人，内容为全市公务员干部统计培训工作会支出。</w:t>
      </w:r>
    </w:p>
    <w:p w14:paraId="567555EA">
      <w:pPr>
        <w:widowControl w:val="0"/>
        <w:autoSpaceDE w:val="0"/>
        <w:autoSpaceDN w:val="0"/>
        <w:adjustRightInd w:val="0"/>
        <w:ind w:firstLine="640" w:firstLineChars="200"/>
        <w:rPr>
          <w:rFonts w:hint="eastAsia" w:ascii="Times New Roman" w:hAnsi="Times New Roman" w:eastAsia="仿宋_GB2312"/>
          <w:sz w:val="32"/>
          <w:szCs w:val="32"/>
        </w:rPr>
      </w:pPr>
      <w:r>
        <w:rPr>
          <w:rFonts w:hint="eastAsia" w:ascii="仿宋_GB2312" w:hAnsi="仿宋_GB2312" w:eastAsia="仿宋_GB2312" w:cs="仿宋_GB2312"/>
          <w:color w:val="000000"/>
          <w:kern w:val="0"/>
          <w:sz w:val="32"/>
          <w:szCs w:val="32"/>
          <w:lang w:val="en-US" w:eastAsia="zh-CN" w:bidi="ar-SA"/>
        </w:rPr>
        <w:t>本单位无举办节庆、晚会、论坛、赛事等活动的预算和支出决算数。</w:t>
      </w:r>
    </w:p>
    <w:p w14:paraId="6A9FD7EA">
      <w:pPr>
        <w:pStyle w:val="13"/>
        <w:spacing w:line="600" w:lineRule="exact"/>
        <w:ind w:firstLine="640" w:firstLineChars="200"/>
        <w:rPr>
          <w:rFonts w:hint="eastAsia" w:ascii="Times New Roman" w:hAnsi="Times New Roman" w:eastAsia="仿宋_GB2312"/>
          <w:sz w:val="32"/>
          <w:szCs w:val="32"/>
        </w:rPr>
      </w:pPr>
      <w:r>
        <w:rPr>
          <w:rFonts w:hint="eastAsia" w:hAnsi="黑体"/>
          <w:bCs/>
          <w:sz w:val="32"/>
          <w:szCs w:val="32"/>
        </w:rPr>
        <w:t>十二、关于政府采购支出说明</w:t>
      </w:r>
    </w:p>
    <w:p w14:paraId="3A9E96A8">
      <w:pPr>
        <w:pStyle w:val="13"/>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本部门202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年度政府采购支出总额</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万元，其中：政府采购货物支出</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万元、政府采购工程支出</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万元、政府采购服务支出</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万元。授予中小企业合同金额</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w:t>
      </w:r>
      <w:r>
        <w:rPr>
          <w:rFonts w:hint="eastAsia" w:ascii="Times New Roman" w:hAnsi="Times New Roman" w:eastAsia="仿宋_GB2312"/>
          <w:sz w:val="32"/>
          <w:szCs w:val="32"/>
          <w:lang w:eastAsia="zh-CN"/>
        </w:rPr>
        <w:t>（由于预算数为</w:t>
      </w:r>
      <w:r>
        <w:rPr>
          <w:rFonts w:hint="eastAsia" w:ascii="Times New Roman" w:hAnsi="Times New Roman" w:eastAsia="仿宋_GB2312"/>
          <w:sz w:val="32"/>
          <w:szCs w:val="32"/>
          <w:lang w:val="en-US" w:eastAsia="zh-CN"/>
        </w:rPr>
        <w:t>0，故无法计算</w:t>
      </w:r>
      <w:r>
        <w:rPr>
          <w:rFonts w:hint="eastAsia" w:ascii="Times New Roman" w:hAnsi="Times New Roman" w:eastAsia="仿宋_GB2312"/>
          <w:sz w:val="32"/>
          <w:szCs w:val="32"/>
        </w:rPr>
        <w:t>占政府采购支出总额的</w:t>
      </w:r>
      <w:r>
        <w:rPr>
          <w:rFonts w:hint="eastAsia" w:ascii="Times New Roman" w:hAnsi="Times New Roman" w:eastAsia="仿宋_GB2312"/>
          <w:sz w:val="32"/>
          <w:szCs w:val="32"/>
          <w:lang w:eastAsia="zh-CN"/>
        </w:rPr>
        <w:t>比重）</w:t>
      </w:r>
      <w:r>
        <w:rPr>
          <w:rFonts w:hint="eastAsia" w:ascii="Times New Roman" w:hAnsi="Times New Roman" w:eastAsia="仿宋_GB2312"/>
          <w:sz w:val="32"/>
          <w:szCs w:val="32"/>
        </w:rPr>
        <w:t>，其中：授予小微企业合同金额</w:t>
      </w:r>
      <w:r>
        <w:rPr>
          <w:rFonts w:hint="eastAsia" w:ascii="Times New Roman" w:hAnsi="Times New Roman" w:eastAsia="仿宋_GB2312"/>
          <w:sz w:val="32"/>
          <w:szCs w:val="32"/>
          <w:lang w:val="en-US" w:eastAsia="zh-CN"/>
        </w:rPr>
        <w:t>0</w:t>
      </w:r>
      <w:r>
        <w:rPr>
          <w:rFonts w:hint="eastAsia" w:ascii="Times New Roman" w:hAnsi="Times New Roman" w:eastAsia="仿宋_GB2312"/>
          <w:sz w:val="32"/>
          <w:szCs w:val="32"/>
        </w:rPr>
        <w:t>万元</w:t>
      </w:r>
      <w:r>
        <w:rPr>
          <w:rFonts w:hint="eastAsia" w:ascii="Times New Roman" w:hAnsi="Times New Roman" w:eastAsia="仿宋_GB2312"/>
          <w:sz w:val="32"/>
          <w:szCs w:val="32"/>
          <w:lang w:eastAsia="zh-CN"/>
        </w:rPr>
        <w:t>（由于预算数为</w:t>
      </w:r>
      <w:r>
        <w:rPr>
          <w:rFonts w:hint="eastAsia" w:ascii="Times New Roman" w:hAnsi="Times New Roman" w:eastAsia="仿宋_GB2312"/>
          <w:sz w:val="32"/>
          <w:szCs w:val="32"/>
          <w:lang w:val="en-US" w:eastAsia="zh-CN"/>
        </w:rPr>
        <w:t>0，故无法计算</w:t>
      </w:r>
      <w:r>
        <w:rPr>
          <w:rFonts w:hint="eastAsia" w:ascii="Times New Roman" w:hAnsi="Times New Roman" w:eastAsia="仿宋_GB2312"/>
          <w:sz w:val="32"/>
          <w:szCs w:val="32"/>
        </w:rPr>
        <w:t>占</w:t>
      </w:r>
      <w:r>
        <w:rPr>
          <w:rFonts w:hint="eastAsia" w:ascii="Times New Roman" w:hAnsi="Times New Roman" w:eastAsia="仿宋_GB2312"/>
          <w:sz w:val="32"/>
          <w:szCs w:val="32"/>
          <w:lang w:eastAsia="zh-CN"/>
        </w:rPr>
        <w:t>授予中小企业合同金额</w:t>
      </w:r>
      <w:r>
        <w:rPr>
          <w:rFonts w:hint="eastAsia" w:ascii="Times New Roman" w:hAnsi="Times New Roman" w:eastAsia="仿宋_GB2312"/>
          <w:sz w:val="32"/>
          <w:szCs w:val="32"/>
        </w:rPr>
        <w:t>的</w:t>
      </w:r>
      <w:r>
        <w:rPr>
          <w:rFonts w:hint="eastAsia" w:ascii="Times New Roman" w:hAnsi="Times New Roman" w:eastAsia="仿宋_GB2312"/>
          <w:sz w:val="32"/>
          <w:szCs w:val="32"/>
          <w:lang w:eastAsia="zh-CN"/>
        </w:rPr>
        <w:t>比重）</w:t>
      </w:r>
      <w:r>
        <w:rPr>
          <w:rFonts w:hint="eastAsia" w:ascii="Times New Roman" w:hAnsi="Times New Roman" w:eastAsia="仿宋_GB2312"/>
          <w:sz w:val="32"/>
          <w:szCs w:val="32"/>
        </w:rPr>
        <w:t>。货物采购授予中小企业合同金额占货物支出金额的</w:t>
      </w:r>
      <w:r>
        <w:rPr>
          <w:rFonts w:hint="eastAsia" w:ascii="Times New Roman" w:hAnsi="Times New Roman" w:eastAsia="仿宋_GB2312"/>
          <w:sz w:val="32"/>
          <w:szCs w:val="32"/>
          <w:lang w:eastAsia="zh-CN"/>
        </w:rPr>
        <w:t>比重</w:t>
      </w:r>
      <w:r>
        <w:rPr>
          <w:rFonts w:hint="eastAsia" w:ascii="Times New Roman" w:hAnsi="Times New Roman" w:eastAsia="仿宋_GB2312"/>
          <w:sz w:val="32"/>
          <w:szCs w:val="32"/>
        </w:rPr>
        <w:t>，工程采购授予中小企业合同金额占工程支出金额的</w:t>
      </w:r>
      <w:r>
        <w:rPr>
          <w:rFonts w:hint="eastAsia" w:ascii="Times New Roman" w:hAnsi="Times New Roman" w:eastAsia="仿宋_GB2312"/>
          <w:sz w:val="32"/>
          <w:szCs w:val="32"/>
          <w:lang w:eastAsia="zh-CN"/>
        </w:rPr>
        <w:t>比重</w:t>
      </w:r>
      <w:r>
        <w:rPr>
          <w:rFonts w:hint="eastAsia" w:ascii="Times New Roman" w:hAnsi="Times New Roman" w:eastAsia="仿宋_GB2312"/>
          <w:sz w:val="32"/>
          <w:szCs w:val="32"/>
        </w:rPr>
        <w:t>，服务采购授予中小企业合同金额占服务支出金额的</w:t>
      </w:r>
      <w:r>
        <w:rPr>
          <w:rFonts w:hint="eastAsia" w:ascii="Times New Roman" w:hAnsi="Times New Roman" w:eastAsia="仿宋_GB2312"/>
          <w:sz w:val="32"/>
          <w:szCs w:val="32"/>
          <w:lang w:eastAsia="zh-CN"/>
        </w:rPr>
        <w:t>比重，由于各项预算数为</w:t>
      </w:r>
      <w:r>
        <w:rPr>
          <w:rFonts w:hint="eastAsia" w:ascii="Times New Roman" w:hAnsi="Times New Roman" w:eastAsia="仿宋_GB2312"/>
          <w:sz w:val="32"/>
          <w:szCs w:val="32"/>
          <w:lang w:val="en-US" w:eastAsia="zh-CN"/>
        </w:rPr>
        <w:t>0，故无法计算各项占比</w:t>
      </w:r>
      <w:r>
        <w:rPr>
          <w:rFonts w:hint="eastAsia" w:ascii="Times New Roman" w:hAnsi="Times New Roman" w:eastAsia="仿宋_GB2312"/>
          <w:sz w:val="32"/>
          <w:szCs w:val="32"/>
        </w:rPr>
        <w:t>。</w:t>
      </w:r>
    </w:p>
    <w:p w14:paraId="0A5E51B8">
      <w:pPr>
        <w:pStyle w:val="13"/>
        <w:spacing w:line="600" w:lineRule="exact"/>
        <w:ind w:firstLine="640" w:firstLineChars="200"/>
        <w:rPr>
          <w:rFonts w:ascii="Times New Roman" w:hAnsi="Times New Roman" w:eastAsia="仿宋_GB2312"/>
          <w:sz w:val="32"/>
          <w:szCs w:val="32"/>
        </w:rPr>
      </w:pPr>
      <w:r>
        <w:rPr>
          <w:rFonts w:hint="eastAsia" w:hAnsi="黑体"/>
          <w:bCs/>
          <w:sz w:val="32"/>
          <w:szCs w:val="32"/>
        </w:rPr>
        <w:t>十三、关于国有资产占用情况说明</w:t>
      </w:r>
    </w:p>
    <w:p w14:paraId="2579DFB5">
      <w:pPr>
        <w:pStyle w:val="13"/>
        <w:spacing w:line="600" w:lineRule="exact"/>
        <w:ind w:firstLine="640" w:firstLineChars="200"/>
        <w:rPr>
          <w:rFonts w:hint="eastAsia" w:hAnsi="黑体"/>
          <w:bCs/>
          <w:sz w:val="32"/>
          <w:szCs w:val="32"/>
        </w:rPr>
      </w:pPr>
      <w:r>
        <w:rPr>
          <w:rFonts w:hint="eastAsia" w:ascii="Times New Roman" w:hAnsi="Times New Roman" w:eastAsia="仿宋_GB2312"/>
          <w:sz w:val="32"/>
          <w:szCs w:val="32"/>
        </w:rPr>
        <w:t>截至202</w:t>
      </w:r>
      <w:r>
        <w:rPr>
          <w:rFonts w:hint="eastAsia" w:ascii="Times New Roman" w:hAnsi="Times New Roman" w:eastAsia="仿宋_GB2312"/>
          <w:sz w:val="32"/>
          <w:szCs w:val="32"/>
          <w:lang w:val="en-US" w:eastAsia="zh-CN"/>
        </w:rPr>
        <w:t>4</w:t>
      </w:r>
      <w:r>
        <w:rPr>
          <w:rFonts w:hint="eastAsia" w:ascii="Times New Roman" w:hAnsi="Times New Roman" w:eastAsia="仿宋_GB2312"/>
          <w:sz w:val="32"/>
          <w:szCs w:val="32"/>
        </w:rPr>
        <w:t>年12月31日，本单位共有车辆3辆，其中，主要领导干部用车0辆，机要通信用车0辆、应急保障用车0辆、执法执勤用车0辆、特种专业技术用车0辆、其他用车3辆，</w:t>
      </w:r>
      <w:r>
        <w:rPr>
          <w:rFonts w:hint="eastAsia" w:ascii="仿宋_GB2312" w:hAnsi="仿宋_GB2312" w:eastAsia="仿宋_GB2312" w:cs="仿宋_GB2312"/>
          <w:sz w:val="32"/>
          <w:szCs w:val="32"/>
        </w:rPr>
        <w:t>其他用车主要是用于机要通信和应急保障之外公务用途的车辆</w:t>
      </w:r>
      <w:r>
        <w:rPr>
          <w:rFonts w:hint="eastAsia" w:ascii="Times New Roman" w:hAnsi="Times New Roman" w:eastAsia="仿宋_GB2312"/>
          <w:sz w:val="32"/>
          <w:szCs w:val="32"/>
        </w:rPr>
        <w:t>；单位价值50万元以上通用设备0台（套）；单位价值100万元以上专用设备0台（套）。</w:t>
      </w:r>
    </w:p>
    <w:p w14:paraId="4B9FE6D7">
      <w:pPr>
        <w:pStyle w:val="13"/>
        <w:spacing w:line="600" w:lineRule="exact"/>
        <w:ind w:firstLine="640" w:firstLineChars="200"/>
        <w:rPr>
          <w:rFonts w:ascii="Times New Roman" w:hAnsi="Times New Roman" w:eastAsia="仿宋_GB2312"/>
          <w:sz w:val="32"/>
          <w:szCs w:val="32"/>
        </w:rPr>
      </w:pPr>
      <w:r>
        <w:rPr>
          <w:rFonts w:hint="eastAsia" w:hAnsi="黑体"/>
          <w:bCs/>
          <w:sz w:val="32"/>
          <w:szCs w:val="32"/>
        </w:rPr>
        <w:t>十四、关于</w:t>
      </w:r>
      <w:r>
        <w:rPr>
          <w:rFonts w:hint="eastAsia" w:ascii="Times New Roman" w:hAnsi="Times New Roman" w:eastAsia="仿宋_GB2312"/>
          <w:sz w:val="32"/>
          <w:szCs w:val="32"/>
        </w:rPr>
        <w:t>202</w:t>
      </w:r>
      <w:r>
        <w:rPr>
          <w:rFonts w:hint="eastAsia" w:ascii="Times New Roman" w:hAnsi="Times New Roman" w:eastAsia="仿宋_GB2312"/>
          <w:sz w:val="32"/>
          <w:szCs w:val="32"/>
          <w:lang w:val="en-US" w:eastAsia="zh-CN"/>
        </w:rPr>
        <w:t>4</w:t>
      </w:r>
      <w:r>
        <w:rPr>
          <w:rFonts w:hint="eastAsia" w:hAnsi="黑体"/>
          <w:bCs/>
          <w:sz w:val="32"/>
          <w:szCs w:val="32"/>
        </w:rPr>
        <w:t>年度预算绩效情况的说明</w:t>
      </w:r>
    </w:p>
    <w:p w14:paraId="7488AE8E">
      <w:pPr>
        <w:overflowPunct w:val="0"/>
        <w:spacing w:line="600" w:lineRule="exact"/>
        <w:ind w:firstLine="640"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（一）绩效评价工作开展情况</w:t>
      </w:r>
    </w:p>
    <w:p w14:paraId="7F78CFA3">
      <w:pPr>
        <w:overflowPunct w:val="0"/>
        <w:spacing w:line="600" w:lineRule="exact"/>
        <w:ind w:firstLine="640" w:firstLineChars="200"/>
        <w:rPr>
          <w:rFonts w:ascii="Times New Roman" w:hAnsi="Times New Roman" w:eastAsia="仿宋_GB2312" w:cs="Times New Roman"/>
          <w:kern w:val="0"/>
          <w:sz w:val="32"/>
          <w:szCs w:val="32"/>
          <w:highlight w:val="none"/>
        </w:rPr>
      </w:pPr>
      <w:r>
        <w:rPr>
          <w:rFonts w:hint="eastAsia" w:ascii="Times New Roman" w:hAnsi="Times New Roman" w:eastAsia="仿宋_GB2312" w:cs="Times New Roman"/>
          <w:kern w:val="0"/>
          <w:sz w:val="32"/>
          <w:szCs w:val="32"/>
          <w:highlight w:val="none"/>
          <w:lang w:val="en-US" w:eastAsia="zh-CN"/>
        </w:rPr>
        <w:t>1.</w:t>
      </w:r>
      <w:r>
        <w:rPr>
          <w:rFonts w:hint="eastAsia" w:ascii="Times New Roman" w:hAnsi="Times New Roman" w:eastAsia="仿宋_GB2312" w:cs="Times New Roman"/>
          <w:b/>
          <w:bCs/>
          <w:kern w:val="0"/>
          <w:sz w:val="32"/>
          <w:szCs w:val="32"/>
          <w:lang w:val="en-US" w:eastAsia="zh-CN"/>
        </w:rPr>
        <w:t>绩</w:t>
      </w:r>
      <w:r>
        <w:rPr>
          <w:rFonts w:ascii="Times New Roman" w:hAnsi="Times New Roman" w:eastAsia="仿宋_GB2312" w:cs="Times New Roman"/>
          <w:b/>
          <w:bCs/>
          <w:kern w:val="0"/>
          <w:sz w:val="32"/>
          <w:szCs w:val="32"/>
        </w:rPr>
        <w:t>效自评开展情况。</w:t>
      </w:r>
      <w:r>
        <w:rPr>
          <w:rFonts w:ascii="Times New Roman" w:hAnsi="Times New Roman" w:eastAsia="仿宋_GB2312" w:cs="Times New Roman"/>
          <w:kern w:val="0"/>
          <w:sz w:val="32"/>
          <w:szCs w:val="32"/>
        </w:rPr>
        <w:t>组织对2024年度本部门（单位）整体支出开展绩效自评，涉及项目</w:t>
      </w:r>
      <w:r>
        <w:rPr>
          <w:rFonts w:hint="default" w:ascii="Times New Roman" w:hAnsi="Times New Roman" w:eastAsia="仿宋_GB2312" w:cs="Times New Roman"/>
          <w:kern w:val="0"/>
          <w:sz w:val="32"/>
          <w:szCs w:val="32"/>
          <w:lang w:val="en"/>
        </w:rPr>
        <w:t>18</w:t>
      </w:r>
      <w:r>
        <w:rPr>
          <w:rFonts w:ascii="Times New Roman" w:hAnsi="Times New Roman" w:eastAsia="仿宋_GB2312" w:cs="Times New Roman"/>
          <w:kern w:val="0"/>
          <w:sz w:val="32"/>
          <w:szCs w:val="32"/>
        </w:rPr>
        <w:t>个，共涉及资金</w:t>
      </w:r>
      <w:r>
        <w:rPr>
          <w:rFonts w:hint="default" w:ascii="Times New Roman" w:hAnsi="Times New Roman" w:eastAsia="仿宋_GB2312" w:cs="Times New Roman"/>
          <w:kern w:val="0"/>
          <w:sz w:val="32"/>
          <w:szCs w:val="32"/>
          <w:lang w:val="en"/>
        </w:rPr>
        <w:t>2328.48</w:t>
      </w:r>
      <w:r>
        <w:rPr>
          <w:rFonts w:ascii="Times New Roman" w:hAnsi="Times New Roman" w:eastAsia="仿宋_GB2312" w:cs="Times New Roman"/>
          <w:kern w:val="0"/>
          <w:sz w:val="32"/>
          <w:szCs w:val="32"/>
        </w:rPr>
        <w:t>万元。其中，一般公共预算项目</w:t>
      </w:r>
      <w:r>
        <w:rPr>
          <w:rFonts w:hint="default" w:ascii="Times New Roman" w:hAnsi="Times New Roman" w:eastAsia="仿宋_GB2312" w:cs="Times New Roman"/>
          <w:kern w:val="0"/>
          <w:sz w:val="32"/>
          <w:szCs w:val="32"/>
          <w:lang w:val="en"/>
        </w:rPr>
        <w:t>18</w:t>
      </w:r>
      <w:r>
        <w:rPr>
          <w:rFonts w:ascii="Times New Roman" w:hAnsi="Times New Roman" w:eastAsia="仿宋_GB2312" w:cs="Times New Roman"/>
          <w:kern w:val="0"/>
          <w:sz w:val="32"/>
          <w:szCs w:val="32"/>
        </w:rPr>
        <w:t>个</w:t>
      </w:r>
      <w:r>
        <w:rPr>
          <w:rFonts w:hint="default" w:ascii="Times New Roman" w:hAnsi="Times New Roman" w:eastAsia="仿宋_GB2312" w:cs="Times New Roman"/>
          <w:kern w:val="0"/>
          <w:sz w:val="32"/>
          <w:szCs w:val="32"/>
          <w:lang w:val="en"/>
        </w:rPr>
        <w:t>949.0</w:t>
      </w:r>
      <w:r>
        <w:rPr>
          <w:rFonts w:hint="eastAsia" w:ascii="Times New Roman" w:hAnsi="Times New Roman" w:eastAsia="仿宋_GB2312" w:cs="Times New Roman"/>
          <w:kern w:val="0"/>
          <w:sz w:val="32"/>
          <w:szCs w:val="32"/>
          <w:lang w:val="en-US" w:eastAsia="zh-CN"/>
        </w:rPr>
        <w:t>9</w:t>
      </w:r>
      <w:r>
        <w:rPr>
          <w:rFonts w:ascii="Times New Roman" w:hAnsi="Times New Roman" w:eastAsia="仿宋_GB2312" w:cs="Times New Roman"/>
          <w:kern w:val="0"/>
          <w:sz w:val="32"/>
          <w:szCs w:val="32"/>
        </w:rPr>
        <w:t>万元，占一般公共预算支出总额</w:t>
      </w:r>
      <w:bookmarkStart w:id="0" w:name="_GoBack"/>
      <w:bookmarkEnd w:id="0"/>
      <w:r>
        <w:rPr>
          <w:rFonts w:ascii="Times New Roman" w:hAnsi="Times New Roman" w:eastAsia="仿宋_GB2312" w:cs="Times New Roman"/>
          <w:kern w:val="0"/>
          <w:sz w:val="32"/>
          <w:szCs w:val="32"/>
        </w:rPr>
        <w:t>的</w:t>
      </w:r>
      <w:r>
        <w:rPr>
          <w:rFonts w:hint="default" w:ascii="Times New Roman" w:hAnsi="Times New Roman" w:eastAsia="仿宋_GB2312" w:cs="Times New Roman"/>
          <w:kern w:val="0"/>
          <w:sz w:val="32"/>
          <w:szCs w:val="32"/>
          <w:lang w:val="en"/>
        </w:rPr>
        <w:t>40.76</w:t>
      </w:r>
      <w:r>
        <w:rPr>
          <w:rFonts w:ascii="Times New Roman" w:hAnsi="Times New Roman" w:eastAsia="仿宋_GB2312" w:cs="Times New Roman"/>
          <w:kern w:val="0"/>
          <w:sz w:val="32"/>
          <w:szCs w:val="32"/>
        </w:rPr>
        <w:t>%；政府性基金预算项目</w:t>
      </w:r>
      <w:r>
        <w:rPr>
          <w:rFonts w:hint="default" w:ascii="Times New Roman" w:hAnsi="Times New Roman" w:eastAsia="仿宋_GB2312" w:cs="Times New Roman"/>
          <w:kern w:val="0"/>
          <w:sz w:val="32"/>
          <w:szCs w:val="32"/>
          <w:lang w:val="en"/>
        </w:rPr>
        <w:t>0</w:t>
      </w:r>
      <w:r>
        <w:rPr>
          <w:rFonts w:ascii="Times New Roman" w:hAnsi="Times New Roman" w:eastAsia="仿宋_GB2312" w:cs="Times New Roman"/>
          <w:kern w:val="0"/>
          <w:sz w:val="32"/>
          <w:szCs w:val="32"/>
        </w:rPr>
        <w:t>个</w:t>
      </w:r>
      <w:r>
        <w:rPr>
          <w:rFonts w:hint="default" w:ascii="Times New Roman" w:hAnsi="Times New Roman" w:eastAsia="仿宋_GB2312" w:cs="Times New Roman"/>
          <w:kern w:val="0"/>
          <w:sz w:val="32"/>
          <w:szCs w:val="32"/>
          <w:lang w:val="en"/>
        </w:rPr>
        <w:t>0</w:t>
      </w:r>
      <w:r>
        <w:rPr>
          <w:rFonts w:ascii="Times New Roman" w:hAnsi="Times New Roman" w:eastAsia="仿宋_GB2312" w:cs="Times New Roman"/>
          <w:kern w:val="0"/>
          <w:sz w:val="32"/>
          <w:szCs w:val="32"/>
        </w:rPr>
        <w:t>万元，</w:t>
      </w:r>
      <w:r>
        <w:rPr>
          <w:rFonts w:hint="eastAsia" w:ascii="Times New Roman" w:hAnsi="Times New Roman" w:eastAsia="仿宋_GB2312" w:cs="Times New Roman"/>
          <w:kern w:val="0"/>
          <w:sz w:val="32"/>
          <w:szCs w:val="32"/>
          <w:lang w:eastAsia="zh-CN"/>
        </w:rPr>
        <w:t>因</w:t>
      </w:r>
      <w:r>
        <w:rPr>
          <w:rFonts w:ascii="Times New Roman" w:hAnsi="Times New Roman" w:eastAsia="仿宋_GB2312" w:cs="Times New Roman"/>
          <w:kern w:val="0"/>
          <w:sz w:val="32"/>
          <w:szCs w:val="32"/>
        </w:rPr>
        <w:t>政府性基金预算支出总额</w:t>
      </w:r>
      <w:r>
        <w:rPr>
          <w:rFonts w:hint="eastAsia" w:ascii="Times New Roman" w:hAnsi="Times New Roman" w:eastAsia="仿宋_GB2312" w:cs="Times New Roman"/>
          <w:kern w:val="0"/>
          <w:sz w:val="32"/>
          <w:szCs w:val="32"/>
          <w:lang w:eastAsia="zh-CN"/>
        </w:rPr>
        <w:t>为</w:t>
      </w:r>
      <w:r>
        <w:rPr>
          <w:rFonts w:hint="default" w:ascii="Times New Roman" w:hAnsi="Times New Roman" w:eastAsia="仿宋_GB2312" w:cs="Times New Roman"/>
          <w:kern w:val="0"/>
          <w:sz w:val="32"/>
          <w:szCs w:val="32"/>
          <w:lang w:val="en"/>
        </w:rPr>
        <w:t>0</w:t>
      </w:r>
      <w:r>
        <w:rPr>
          <w:rFonts w:hint="eastAsia" w:ascii="Times New Roman" w:hAnsi="Times New Roman" w:eastAsia="仿宋_GB2312" w:cs="Times New Roman"/>
          <w:kern w:val="0"/>
          <w:sz w:val="32"/>
          <w:szCs w:val="32"/>
          <w:lang w:val="en" w:eastAsia="zh-CN"/>
        </w:rPr>
        <w:t>，</w:t>
      </w:r>
      <w:r>
        <w:rPr>
          <w:rFonts w:hint="eastAsia" w:ascii="仿宋_GB2312" w:hAnsi="仿宋_GB2312" w:eastAsia="仿宋_GB2312" w:cs="仿宋_GB2312"/>
          <w:color w:val="auto"/>
          <w:sz w:val="32"/>
          <w:szCs w:val="32"/>
          <w:highlight w:val="none"/>
        </w:rPr>
        <w:t>无法计算百分比</w:t>
      </w:r>
      <w:r>
        <w:rPr>
          <w:rFonts w:ascii="Times New Roman" w:hAnsi="Times New Roman" w:eastAsia="仿宋_GB2312" w:cs="Times New Roman"/>
          <w:kern w:val="0"/>
          <w:sz w:val="32"/>
          <w:szCs w:val="32"/>
        </w:rPr>
        <w:t>；国有资本经营预算项目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万元，</w:t>
      </w:r>
      <w:r>
        <w:rPr>
          <w:rFonts w:hint="eastAsia" w:ascii="Times New Roman" w:hAnsi="Times New Roman" w:eastAsia="仿宋_GB2312" w:cs="Times New Roman"/>
          <w:kern w:val="0"/>
          <w:sz w:val="32"/>
          <w:szCs w:val="32"/>
          <w:lang w:eastAsia="zh-CN"/>
        </w:rPr>
        <w:t>因</w:t>
      </w:r>
      <w:r>
        <w:rPr>
          <w:rFonts w:ascii="Times New Roman" w:hAnsi="Times New Roman" w:eastAsia="仿宋_GB2312" w:cs="Times New Roman"/>
          <w:kern w:val="0"/>
          <w:sz w:val="32"/>
          <w:szCs w:val="32"/>
        </w:rPr>
        <w:t>国有资本经营预算支出总额</w:t>
      </w:r>
      <w:r>
        <w:rPr>
          <w:rFonts w:hint="eastAsia" w:ascii="Times New Roman" w:hAnsi="Times New Roman" w:eastAsia="仿宋_GB2312" w:cs="Times New Roman"/>
          <w:kern w:val="0"/>
          <w:sz w:val="32"/>
          <w:szCs w:val="32"/>
          <w:lang w:eastAsia="zh-CN"/>
        </w:rPr>
        <w:t>为</w:t>
      </w:r>
      <w:r>
        <w:rPr>
          <w:rFonts w:hint="eastAsia" w:ascii="Times New Roman" w:hAnsi="Times New Roman" w:eastAsia="仿宋_GB2312" w:cs="Times New Roman"/>
          <w:kern w:val="0"/>
          <w:sz w:val="32"/>
          <w:szCs w:val="32"/>
          <w:lang w:val="en-US" w:eastAsia="zh-CN"/>
        </w:rPr>
        <w:t>0，</w:t>
      </w:r>
      <w:r>
        <w:rPr>
          <w:rFonts w:hint="eastAsia" w:ascii="仿宋_GB2312" w:hAnsi="仿宋_GB2312" w:eastAsia="仿宋_GB2312" w:cs="仿宋_GB2312"/>
          <w:color w:val="auto"/>
          <w:sz w:val="32"/>
          <w:szCs w:val="32"/>
          <w:highlight w:val="none"/>
        </w:rPr>
        <w:t>无法计算百分比</w:t>
      </w:r>
      <w:r>
        <w:rPr>
          <w:rFonts w:ascii="Times New Roman" w:hAnsi="Times New Roman" w:eastAsia="仿宋_GB2312" w:cs="Times New Roman"/>
          <w:kern w:val="0"/>
          <w:sz w:val="32"/>
          <w:szCs w:val="32"/>
        </w:rPr>
        <w:t>；</w:t>
      </w:r>
      <w:r>
        <w:rPr>
          <w:rFonts w:ascii="Times New Roman" w:hAnsi="Times New Roman" w:eastAsia="仿宋_GB2312" w:cs="Times New Roman"/>
          <w:kern w:val="0"/>
          <w:sz w:val="32"/>
          <w:szCs w:val="32"/>
          <w:highlight w:val="none"/>
        </w:rPr>
        <w:t>社会保险基金预算项目</w:t>
      </w:r>
      <w:r>
        <w:rPr>
          <w:rFonts w:hint="eastAsia" w:ascii="Times New Roman" w:hAnsi="Times New Roman" w:eastAsia="仿宋_GB2312" w:cs="Times New Roman"/>
          <w:kern w:val="0"/>
          <w:sz w:val="32"/>
          <w:szCs w:val="32"/>
          <w:highlight w:val="none"/>
          <w:lang w:val="en-US" w:eastAsia="zh-CN"/>
        </w:rPr>
        <w:t>0</w:t>
      </w:r>
      <w:r>
        <w:rPr>
          <w:rFonts w:ascii="Times New Roman" w:hAnsi="Times New Roman" w:eastAsia="仿宋_GB2312" w:cs="Times New Roman"/>
          <w:kern w:val="0"/>
          <w:sz w:val="32"/>
          <w:szCs w:val="32"/>
          <w:highlight w:val="none"/>
        </w:rPr>
        <w:t>个</w:t>
      </w:r>
      <w:r>
        <w:rPr>
          <w:rFonts w:hint="eastAsia" w:ascii="Times New Roman" w:hAnsi="Times New Roman" w:eastAsia="仿宋_GB2312" w:cs="Times New Roman"/>
          <w:kern w:val="0"/>
          <w:sz w:val="32"/>
          <w:szCs w:val="32"/>
          <w:highlight w:val="none"/>
          <w:lang w:val="en-US" w:eastAsia="zh-CN"/>
        </w:rPr>
        <w:t>0</w:t>
      </w:r>
      <w:r>
        <w:rPr>
          <w:rFonts w:ascii="Times New Roman" w:hAnsi="Times New Roman" w:eastAsia="仿宋_GB2312" w:cs="Times New Roman"/>
          <w:kern w:val="0"/>
          <w:sz w:val="32"/>
          <w:szCs w:val="32"/>
          <w:highlight w:val="none"/>
        </w:rPr>
        <w:t>万元，</w:t>
      </w:r>
      <w:r>
        <w:rPr>
          <w:rFonts w:hint="eastAsia" w:ascii="Times New Roman" w:hAnsi="Times New Roman" w:eastAsia="仿宋_GB2312" w:cs="Times New Roman"/>
          <w:kern w:val="0"/>
          <w:sz w:val="32"/>
          <w:szCs w:val="32"/>
          <w:highlight w:val="none"/>
          <w:lang w:eastAsia="zh-CN"/>
        </w:rPr>
        <w:t>因</w:t>
      </w:r>
      <w:r>
        <w:rPr>
          <w:rFonts w:ascii="Times New Roman" w:hAnsi="Times New Roman" w:eastAsia="仿宋_GB2312" w:cs="Times New Roman"/>
          <w:kern w:val="0"/>
          <w:sz w:val="32"/>
          <w:szCs w:val="32"/>
          <w:highlight w:val="none"/>
        </w:rPr>
        <w:t>社会保险基金预算支出总额</w:t>
      </w:r>
      <w:r>
        <w:rPr>
          <w:rFonts w:hint="eastAsia" w:ascii="Times New Roman" w:hAnsi="Times New Roman" w:eastAsia="仿宋_GB2312" w:cs="Times New Roman"/>
          <w:kern w:val="0"/>
          <w:sz w:val="32"/>
          <w:szCs w:val="32"/>
          <w:highlight w:val="none"/>
          <w:lang w:eastAsia="zh-CN"/>
        </w:rPr>
        <w:t>为</w:t>
      </w:r>
      <w:r>
        <w:rPr>
          <w:rFonts w:hint="eastAsia" w:ascii="Times New Roman" w:hAnsi="Times New Roman" w:eastAsia="仿宋_GB2312" w:cs="Times New Roman"/>
          <w:kern w:val="0"/>
          <w:sz w:val="32"/>
          <w:szCs w:val="32"/>
          <w:highlight w:val="none"/>
          <w:lang w:val="en-US" w:eastAsia="zh-CN"/>
        </w:rPr>
        <w:t>0，</w:t>
      </w:r>
      <w:r>
        <w:rPr>
          <w:rFonts w:hint="eastAsia" w:ascii="仿宋_GB2312" w:hAnsi="仿宋_GB2312" w:eastAsia="仿宋_GB2312" w:cs="仿宋_GB2312"/>
          <w:color w:val="auto"/>
          <w:sz w:val="32"/>
          <w:szCs w:val="32"/>
          <w:highlight w:val="none"/>
        </w:rPr>
        <w:t>无法计算百分比</w:t>
      </w:r>
      <w:r>
        <w:rPr>
          <w:rFonts w:ascii="Times New Roman" w:hAnsi="Times New Roman" w:eastAsia="仿宋_GB2312" w:cs="Times New Roman"/>
          <w:kern w:val="0"/>
          <w:sz w:val="32"/>
          <w:szCs w:val="32"/>
          <w:highlight w:val="none"/>
        </w:rPr>
        <w:t>。</w:t>
      </w:r>
    </w:p>
    <w:p w14:paraId="488743A3">
      <w:pPr>
        <w:overflowPunct w:val="0"/>
        <w:spacing w:line="600" w:lineRule="exact"/>
        <w:ind w:firstLine="640" w:firstLineChars="200"/>
        <w:rPr>
          <w:rFonts w:hint="eastAsia" w:ascii="Times New Roman" w:hAnsi="Times New Roman" w:eastAsia="仿宋_GB2312" w:cs="Times New Roman"/>
          <w:color w:val="FF0000"/>
          <w:kern w:val="0"/>
          <w:sz w:val="32"/>
          <w:szCs w:val="32"/>
          <w:lang w:eastAsia="zh-CN"/>
        </w:rPr>
      </w:pPr>
      <w:r>
        <w:rPr>
          <w:rFonts w:hint="eastAsia" w:ascii="Times New Roman" w:hAnsi="Times New Roman" w:eastAsia="仿宋_GB2312" w:cs="Times New Roman"/>
          <w:kern w:val="0"/>
          <w:sz w:val="32"/>
          <w:szCs w:val="32"/>
          <w:highlight w:val="none"/>
          <w:lang w:val="en-US" w:eastAsia="zh-CN"/>
        </w:rPr>
        <w:t>2.</w:t>
      </w:r>
      <w:r>
        <w:rPr>
          <w:rFonts w:ascii="Times New Roman" w:hAnsi="Times New Roman" w:eastAsia="仿宋_GB2312" w:cs="Times New Roman"/>
          <w:b/>
          <w:bCs/>
          <w:kern w:val="0"/>
          <w:sz w:val="32"/>
          <w:szCs w:val="32"/>
        </w:rPr>
        <w:t>部门评价开展情况。</w:t>
      </w:r>
      <w:r>
        <w:rPr>
          <w:rFonts w:ascii="Times New Roman" w:hAnsi="Times New Roman" w:eastAsia="仿宋_GB2312" w:cs="Times New Roman"/>
          <w:kern w:val="0"/>
          <w:sz w:val="32"/>
          <w:szCs w:val="32"/>
        </w:rPr>
        <w:t>组织对所属单位2024年度“</w:t>
      </w:r>
      <w:r>
        <w:rPr>
          <w:rFonts w:hint="eastAsia" w:ascii="Times New Roman" w:hAnsi="Times New Roman" w:eastAsia="仿宋_GB2312" w:cs="Times New Roman"/>
          <w:sz w:val="32"/>
          <w:szCs w:val="32"/>
          <w:lang w:eastAsia="zh-CN"/>
        </w:rPr>
        <w:t>岳阳市党内关怀帮扶资金</w:t>
      </w:r>
      <w:r>
        <w:rPr>
          <w:rFonts w:ascii="Times New Roman" w:hAnsi="Times New Roman" w:eastAsia="仿宋_GB2312" w:cs="Times New Roman"/>
          <w:kern w:val="0"/>
          <w:sz w:val="32"/>
          <w:szCs w:val="32"/>
        </w:rPr>
        <w:t>”等</w:t>
      </w:r>
      <w:r>
        <w:rPr>
          <w:rFonts w:hint="eastAsia" w:ascii="Times New Roman" w:hAnsi="Times New Roman" w:eastAsia="仿宋_GB2312" w:cs="Times New Roman"/>
          <w:kern w:val="0"/>
          <w:sz w:val="32"/>
          <w:szCs w:val="32"/>
          <w:lang w:val="en-US" w:eastAsia="zh-CN"/>
        </w:rPr>
        <w:t>18</w:t>
      </w:r>
      <w:r>
        <w:rPr>
          <w:rFonts w:ascii="Times New Roman" w:hAnsi="Times New Roman" w:eastAsia="仿宋_GB2312" w:cs="Times New Roman"/>
          <w:kern w:val="0"/>
          <w:sz w:val="32"/>
          <w:szCs w:val="32"/>
        </w:rPr>
        <w:t>个项目开展了部门评价，涉及一般公共预算支出</w:t>
      </w:r>
      <w:r>
        <w:rPr>
          <w:rFonts w:hint="default" w:ascii="Times New Roman" w:hAnsi="Times New Roman" w:eastAsia="仿宋_GB2312" w:cs="Times New Roman"/>
          <w:kern w:val="0"/>
          <w:sz w:val="32"/>
          <w:szCs w:val="32"/>
          <w:lang w:val="en"/>
        </w:rPr>
        <w:t>949.0</w:t>
      </w:r>
      <w:r>
        <w:rPr>
          <w:rFonts w:hint="eastAsia" w:ascii="Times New Roman" w:hAnsi="Times New Roman" w:eastAsia="仿宋_GB2312" w:cs="Times New Roman"/>
          <w:kern w:val="0"/>
          <w:sz w:val="32"/>
          <w:szCs w:val="32"/>
          <w:lang w:val="en-US" w:eastAsia="zh-CN"/>
        </w:rPr>
        <w:t>9</w:t>
      </w:r>
      <w:r>
        <w:rPr>
          <w:rFonts w:ascii="Times New Roman" w:hAnsi="Times New Roman" w:eastAsia="仿宋_GB2312" w:cs="Times New Roman"/>
          <w:kern w:val="0"/>
          <w:sz w:val="32"/>
          <w:szCs w:val="32"/>
        </w:rPr>
        <w:t>万元，政府性基金预算支出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kern w:val="0"/>
          <w:sz w:val="32"/>
          <w:szCs w:val="32"/>
        </w:rPr>
        <w:t>万元，国有资本经营预算支出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kern w:val="0"/>
          <w:sz w:val="32"/>
          <w:szCs w:val="32"/>
        </w:rPr>
        <w:t>万元，社会保险基金预算支出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kern w:val="0"/>
          <w:sz w:val="32"/>
          <w:szCs w:val="32"/>
        </w:rPr>
        <w:t>万元。</w:t>
      </w:r>
    </w:p>
    <w:p w14:paraId="304F46DE">
      <w:pPr>
        <w:overflowPunct w:val="0"/>
        <w:spacing w:line="60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lang w:val="en-US" w:eastAsia="zh-CN"/>
        </w:rPr>
        <w:t>3.</w:t>
      </w:r>
      <w:r>
        <w:rPr>
          <w:rFonts w:ascii="Times New Roman" w:hAnsi="Times New Roman" w:eastAsia="仿宋_GB2312" w:cs="Times New Roman"/>
          <w:b/>
          <w:bCs/>
          <w:kern w:val="0"/>
          <w:sz w:val="32"/>
          <w:szCs w:val="32"/>
        </w:rPr>
        <w:t>事前绩效评估开展情况。</w:t>
      </w:r>
      <w:r>
        <w:rPr>
          <w:rFonts w:hint="eastAsia" w:ascii="Times New Roman" w:hAnsi="Times New Roman" w:eastAsia="仿宋_GB2312" w:cs="Times New Roman"/>
          <w:kern w:val="0"/>
          <w:sz w:val="32"/>
          <w:szCs w:val="32"/>
          <w:lang w:val="en-US" w:eastAsia="zh-CN"/>
        </w:rPr>
        <w:t>本单位及所属单位本年度未新增重大政策和重大项目，所以无事前绩效评估开展情况。</w:t>
      </w:r>
    </w:p>
    <w:p w14:paraId="11461A7E">
      <w:pPr>
        <w:overflowPunct w:val="0"/>
        <w:spacing w:line="600" w:lineRule="exact"/>
        <w:ind w:firstLine="640"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（二）绩效评价结果</w:t>
      </w:r>
    </w:p>
    <w:p w14:paraId="5AC16E3B">
      <w:pPr>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left"/>
        <w:textAlignment w:val="auto"/>
        <w:rPr>
          <w:rFonts w:hint="eastAsia" w:ascii="Times New Roman" w:hAnsi="Times New Roman" w:eastAsia="仿宋_GB2312" w:cs="Times New Roman"/>
          <w:kern w:val="0"/>
          <w:sz w:val="32"/>
          <w:szCs w:val="32"/>
          <w:lang w:eastAsia="zh-CN"/>
        </w:rPr>
      </w:pPr>
      <w:r>
        <w:rPr>
          <w:rFonts w:hint="eastAsia" w:ascii="Times New Roman" w:hAnsi="Times New Roman" w:eastAsia="仿宋_GB2312" w:cs="Times New Roman"/>
          <w:kern w:val="0"/>
          <w:sz w:val="32"/>
          <w:szCs w:val="32"/>
          <w:lang w:val="en-US" w:eastAsia="zh-CN"/>
        </w:rPr>
        <w:t>1.</w:t>
      </w:r>
      <w:r>
        <w:rPr>
          <w:rFonts w:ascii="Times New Roman" w:hAnsi="Times New Roman" w:eastAsia="仿宋_GB2312" w:cs="Times New Roman"/>
          <w:b/>
          <w:bCs/>
          <w:kern w:val="0"/>
          <w:sz w:val="32"/>
          <w:szCs w:val="32"/>
        </w:rPr>
        <w:t>绩效自评结果。</w:t>
      </w:r>
      <w:r>
        <w:rPr>
          <w:rFonts w:ascii="Times New Roman" w:hAnsi="Times New Roman" w:eastAsia="仿宋_GB2312" w:cs="Times New Roman"/>
          <w:kern w:val="0"/>
          <w:sz w:val="32"/>
          <w:szCs w:val="32"/>
        </w:rPr>
        <w:t>2024年度本单位整体支出</w:t>
      </w:r>
      <w:r>
        <w:rPr>
          <w:rFonts w:ascii="Times New Roman" w:hAnsi="Times New Roman" w:eastAsia="仿宋_GB2312" w:cs="Times New Roman"/>
          <w:sz w:val="32"/>
          <w:szCs w:val="32"/>
        </w:rPr>
        <w:t>全年预算数</w:t>
      </w:r>
      <w:r>
        <w:rPr>
          <w:rFonts w:hint="eastAsia" w:ascii="Times New Roman" w:hAnsi="Times New Roman" w:eastAsia="仿宋_GB2312" w:cs="Times New Roman"/>
          <w:sz w:val="32"/>
          <w:szCs w:val="32"/>
          <w:lang w:val="en-US" w:eastAsia="zh-CN"/>
        </w:rPr>
        <w:t>2729.15</w:t>
      </w:r>
      <w:r>
        <w:rPr>
          <w:rFonts w:ascii="Times New Roman" w:hAnsi="Times New Roman" w:eastAsia="仿宋_GB2312" w:cs="Times New Roman"/>
          <w:sz w:val="32"/>
          <w:szCs w:val="32"/>
        </w:rPr>
        <w:t>万元，执行数</w:t>
      </w:r>
      <w:r>
        <w:rPr>
          <w:rFonts w:hint="eastAsia" w:ascii="Times New Roman" w:hAnsi="Times New Roman" w:eastAsia="仿宋_GB2312" w:cs="Times New Roman"/>
          <w:sz w:val="32"/>
          <w:szCs w:val="32"/>
          <w:lang w:val="en-US" w:eastAsia="zh-CN"/>
        </w:rPr>
        <w:t>2328.48</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85.17</w:t>
      </w:r>
      <w:r>
        <w:rPr>
          <w:rFonts w:ascii="Times New Roman" w:hAnsi="Times New Roman" w:eastAsia="仿宋_GB2312" w:cs="Times New Roman"/>
          <w:sz w:val="32"/>
          <w:szCs w:val="32"/>
        </w:rPr>
        <w:t>%</w:t>
      </w:r>
      <w:r>
        <w:rPr>
          <w:rFonts w:ascii="Times New Roman" w:hAnsi="Times New Roman" w:eastAsia="仿宋_GB2312" w:cs="Times New Roman"/>
          <w:kern w:val="0"/>
          <w:sz w:val="32"/>
          <w:szCs w:val="32"/>
        </w:rPr>
        <w:t>，绩效自评得分</w:t>
      </w:r>
      <w:r>
        <w:rPr>
          <w:rFonts w:hint="eastAsia" w:ascii="Times New Roman" w:hAnsi="Times New Roman" w:eastAsia="仿宋_GB2312" w:cs="Times New Roman"/>
          <w:sz w:val="32"/>
          <w:szCs w:val="32"/>
          <w:lang w:val="en-US" w:eastAsia="zh-CN"/>
        </w:rPr>
        <w:t>100</w:t>
      </w:r>
      <w:r>
        <w:rPr>
          <w:rFonts w:ascii="Times New Roman" w:hAnsi="Times New Roman" w:eastAsia="仿宋_GB2312" w:cs="Times New Roman"/>
          <w:sz w:val="32"/>
          <w:szCs w:val="32"/>
        </w:rPr>
        <w:t>分</w:t>
      </w:r>
      <w:r>
        <w:rPr>
          <w:rFonts w:ascii="Times New Roman" w:hAnsi="Times New Roman" w:eastAsia="仿宋_GB2312" w:cs="Times New Roman"/>
          <w:kern w:val="0"/>
          <w:sz w:val="32"/>
          <w:szCs w:val="32"/>
        </w:rPr>
        <w:t>，评价等级为</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优秀</w:t>
      </w:r>
      <w:r>
        <w:rPr>
          <w:rFonts w:ascii="Times New Roman" w:hAnsi="Times New Roman" w:eastAsia="仿宋_GB2312" w:cs="Times New Roman"/>
          <w:sz w:val="32"/>
          <w:szCs w:val="32"/>
        </w:rPr>
        <w:t>”。绩效目标完成情况：一是</w:t>
      </w:r>
      <w:r>
        <w:rPr>
          <w:rFonts w:hint="eastAsia" w:ascii="Times New Roman" w:hAnsi="Times New Roman" w:eastAsia="仿宋_GB2312" w:cs="Times New Roman"/>
          <w:sz w:val="32"/>
          <w:szCs w:val="32"/>
          <w:lang w:eastAsia="zh-CN"/>
        </w:rPr>
        <w:t>专项资金实际使用情况与年初工作安排进度一致</w:t>
      </w:r>
      <w:r>
        <w:rPr>
          <w:rFonts w:ascii="Times New Roman" w:hAnsi="Times New Roman" w:eastAsia="仿宋_GB2312" w:cs="Times New Roman"/>
          <w:sz w:val="32"/>
          <w:szCs w:val="32"/>
        </w:rPr>
        <w:t>；二是</w:t>
      </w:r>
      <w:r>
        <w:rPr>
          <w:rFonts w:hint="eastAsia" w:ascii="Times New Roman" w:hAnsi="Times New Roman" w:eastAsia="仿宋_GB2312" w:cs="Times New Roman"/>
          <w:sz w:val="32"/>
          <w:szCs w:val="32"/>
          <w:lang w:eastAsia="zh-CN"/>
        </w:rPr>
        <w:t>经费管理严格</w:t>
      </w:r>
      <w:r>
        <w:rPr>
          <w:rFonts w:ascii="Times New Roman" w:hAnsi="Times New Roman" w:eastAsia="仿宋_GB2312" w:cs="Times New Roman"/>
          <w:sz w:val="32"/>
          <w:szCs w:val="32"/>
        </w:rPr>
        <w:t>。发现的主要问题及原因：</w:t>
      </w:r>
      <w:r>
        <w:rPr>
          <w:rFonts w:hint="eastAsia" w:ascii="Times New Roman" w:hAnsi="Times New Roman" w:eastAsia="仿宋_GB2312" w:cs="Times New Roman"/>
          <w:sz w:val="32"/>
          <w:szCs w:val="32"/>
          <w:lang w:eastAsia="zh-CN"/>
        </w:rPr>
        <w:t>预算编制与资金使用方式变化较大，进一步加强对项目资金的使用</w:t>
      </w:r>
      <w:r>
        <w:rPr>
          <w:rFonts w:ascii="Times New Roman" w:hAnsi="Times New Roman" w:eastAsia="仿宋_GB2312" w:cs="Times New Roman"/>
          <w:sz w:val="32"/>
          <w:szCs w:val="32"/>
        </w:rPr>
        <w:t>。下一步改进措施：</w:t>
      </w:r>
      <w:r>
        <w:rPr>
          <w:rFonts w:hint="eastAsia" w:ascii="Times New Roman" w:hAnsi="Times New Roman" w:eastAsia="仿宋_GB2312" w:cs="Times New Roman"/>
          <w:sz w:val="32"/>
          <w:szCs w:val="32"/>
          <w:lang w:eastAsia="zh-CN"/>
        </w:rPr>
        <w:t>争取有关专项资金及时拨付到位，提高资金使用效率</w:t>
      </w:r>
      <w:r>
        <w:rPr>
          <w:rFonts w:ascii="Times New Roman" w:hAnsi="Times New Roman" w:eastAsia="仿宋_GB2312" w:cs="Times New Roman"/>
          <w:sz w:val="32"/>
          <w:szCs w:val="32"/>
        </w:rPr>
        <w:t>。</w:t>
      </w:r>
    </w:p>
    <w:p w14:paraId="1B5B536F">
      <w:pPr>
        <w:overflowPunct w:val="0"/>
        <w:spacing w:line="60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lang w:val="en-US" w:eastAsia="zh-CN"/>
        </w:rPr>
        <w:t>2.</w:t>
      </w:r>
      <w:r>
        <w:rPr>
          <w:rFonts w:ascii="Times New Roman" w:hAnsi="Times New Roman" w:eastAsia="仿宋_GB2312" w:cs="Times New Roman"/>
          <w:b/>
          <w:bCs/>
          <w:kern w:val="0"/>
          <w:sz w:val="32"/>
          <w:szCs w:val="32"/>
        </w:rPr>
        <w:t>部门评价结果。</w:t>
      </w:r>
      <w:r>
        <w:rPr>
          <w:rFonts w:hint="eastAsia" w:ascii="Times New Roman" w:hAnsi="Times New Roman" w:eastAsia="仿宋_GB2312" w:cs="Times New Roman"/>
          <w:sz w:val="32"/>
          <w:szCs w:val="32"/>
          <w:lang w:eastAsia="zh-CN"/>
        </w:rPr>
        <w:t>岳阳市党内关怀帮扶资金</w:t>
      </w:r>
      <w:r>
        <w:rPr>
          <w:rFonts w:ascii="Times New Roman" w:hAnsi="Times New Roman" w:eastAsia="仿宋_GB2312" w:cs="Times New Roman"/>
          <w:sz w:val="32"/>
          <w:szCs w:val="32"/>
        </w:rPr>
        <w:t>项目全年预算数</w:t>
      </w:r>
      <w:r>
        <w:rPr>
          <w:rFonts w:hint="eastAsia" w:ascii="Times New Roman" w:hAnsi="Times New Roman" w:eastAsia="仿宋_GB2312" w:cs="Times New Roman"/>
          <w:sz w:val="32"/>
          <w:szCs w:val="32"/>
          <w:lang w:val="en-US" w:eastAsia="zh-CN"/>
        </w:rPr>
        <w:t>27</w:t>
      </w:r>
      <w:r>
        <w:rPr>
          <w:rFonts w:ascii="Times New Roman" w:hAnsi="Times New Roman" w:eastAsia="仿宋_GB2312" w:cs="Times New Roman"/>
          <w:sz w:val="32"/>
          <w:szCs w:val="32"/>
        </w:rPr>
        <w:t>万元，执行数</w:t>
      </w:r>
      <w:r>
        <w:rPr>
          <w:rFonts w:hint="eastAsia" w:ascii="Times New Roman" w:hAnsi="Times New Roman" w:eastAsia="仿宋_GB2312" w:cs="Times New Roman"/>
          <w:sz w:val="32"/>
          <w:szCs w:val="32"/>
          <w:lang w:val="en-US" w:eastAsia="zh-CN"/>
        </w:rPr>
        <w:t>27</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100</w:t>
      </w:r>
      <w:r>
        <w:rPr>
          <w:rFonts w:ascii="Times New Roman" w:hAnsi="Times New Roman" w:eastAsia="仿宋_GB2312" w:cs="Times New Roman"/>
          <w:sz w:val="32"/>
          <w:szCs w:val="32"/>
        </w:rPr>
        <w:t>%</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部门评价得分</w:t>
      </w:r>
      <w:r>
        <w:rPr>
          <w:rFonts w:hint="eastAsia" w:ascii="Times New Roman" w:hAnsi="Times New Roman" w:eastAsia="仿宋_GB2312" w:cs="Times New Roman"/>
          <w:sz w:val="32"/>
          <w:szCs w:val="32"/>
          <w:lang w:val="en-US" w:eastAsia="zh-CN"/>
        </w:rPr>
        <w:t>100</w:t>
      </w:r>
      <w:r>
        <w:rPr>
          <w:rFonts w:ascii="Times New Roman" w:hAnsi="Times New Roman" w:eastAsia="仿宋_GB2312" w:cs="Times New Roman"/>
          <w:sz w:val="32"/>
          <w:szCs w:val="32"/>
        </w:rPr>
        <w:t>分，评价等级为“</w:t>
      </w:r>
      <w:r>
        <w:rPr>
          <w:rFonts w:hint="eastAsia" w:ascii="Times New Roman" w:hAnsi="Times New Roman" w:eastAsia="仿宋_GB2312" w:cs="Times New Roman"/>
          <w:sz w:val="32"/>
          <w:szCs w:val="32"/>
          <w:lang w:eastAsia="zh-CN"/>
        </w:rPr>
        <w:t>优秀</w:t>
      </w:r>
      <w:r>
        <w:rPr>
          <w:rFonts w:ascii="Times New Roman" w:hAnsi="Times New Roman" w:eastAsia="仿宋_GB2312" w:cs="Times New Roman"/>
          <w:sz w:val="32"/>
          <w:szCs w:val="32"/>
        </w:rPr>
        <w:t>”。发现的主要问题及原因：一是</w:t>
      </w:r>
      <w:r>
        <w:rPr>
          <w:rFonts w:hint="eastAsia" w:ascii="Times New Roman" w:hAnsi="Times New Roman" w:eastAsia="仿宋_GB2312" w:cs="Times New Roman"/>
          <w:sz w:val="32"/>
          <w:szCs w:val="32"/>
          <w:lang w:eastAsia="zh-CN"/>
        </w:rPr>
        <w:t>资金拨付至实有资金账户，程序较为复杂</w:t>
      </w:r>
      <w:r>
        <w:rPr>
          <w:rFonts w:ascii="Times New Roman" w:hAnsi="Times New Roman" w:eastAsia="仿宋_GB2312" w:cs="Times New Roman"/>
          <w:sz w:val="32"/>
          <w:szCs w:val="32"/>
        </w:rPr>
        <w:t>；下一步改进措施：一是</w:t>
      </w:r>
      <w:r>
        <w:rPr>
          <w:rFonts w:hint="eastAsia" w:ascii="Times New Roman" w:hAnsi="Times New Roman" w:eastAsia="仿宋_GB2312" w:cs="Times New Roman"/>
          <w:sz w:val="32"/>
          <w:szCs w:val="32"/>
          <w:lang w:eastAsia="zh-CN"/>
        </w:rPr>
        <w:t>提前谋划确定关怀帮扶对象，直接拨付至末端</w:t>
      </w:r>
      <w:r>
        <w:rPr>
          <w:rFonts w:ascii="Times New Roman" w:hAnsi="Times New Roman" w:eastAsia="仿宋_GB2312" w:cs="Times New Roman"/>
          <w:sz w:val="32"/>
          <w:szCs w:val="32"/>
        </w:rPr>
        <w:t>。</w:t>
      </w:r>
    </w:p>
    <w:p w14:paraId="6C38DE94">
      <w:pPr>
        <w:overflowPunct w:val="0"/>
        <w:spacing w:line="600" w:lineRule="exact"/>
        <w:ind w:firstLine="640" w:firstLineChars="200"/>
        <w:rPr>
          <w:rFonts w:hint="eastAsia" w:ascii="Times New Roman" w:hAnsi="Times New Roman" w:eastAsia="仿宋_GB2312"/>
          <w:color w:val="FF0000"/>
          <w:sz w:val="32"/>
          <w:szCs w:val="32"/>
        </w:rPr>
      </w:pPr>
      <w:r>
        <w:rPr>
          <w:rFonts w:hint="eastAsia" w:ascii="Times New Roman" w:hAnsi="Times New Roman" w:eastAsia="仿宋_GB2312" w:cs="Times New Roman"/>
          <w:kern w:val="0"/>
          <w:sz w:val="32"/>
          <w:szCs w:val="32"/>
          <w:lang w:val="en-US" w:eastAsia="zh-CN"/>
        </w:rPr>
        <w:t>3.</w:t>
      </w:r>
      <w:r>
        <w:rPr>
          <w:rFonts w:hint="eastAsia" w:ascii="Times New Roman" w:hAnsi="Times New Roman" w:eastAsia="仿宋_GB2312" w:cs="Times New Roman"/>
          <w:b/>
          <w:bCs/>
          <w:kern w:val="0"/>
          <w:sz w:val="32"/>
          <w:szCs w:val="32"/>
          <w:highlight w:val="none"/>
          <w:lang w:val="en-US" w:eastAsia="zh-CN"/>
        </w:rPr>
        <w:t>事</w:t>
      </w:r>
      <w:r>
        <w:rPr>
          <w:rFonts w:ascii="Times New Roman" w:hAnsi="Times New Roman" w:eastAsia="仿宋_GB2312" w:cs="Times New Roman"/>
          <w:b/>
          <w:bCs/>
          <w:kern w:val="0"/>
          <w:sz w:val="32"/>
          <w:szCs w:val="32"/>
          <w:highlight w:val="none"/>
        </w:rPr>
        <w:t>前绩效评估结果。</w:t>
      </w:r>
      <w:r>
        <w:rPr>
          <w:rFonts w:hint="eastAsia" w:ascii="Times New Roman" w:hAnsi="Times New Roman" w:eastAsia="仿宋_GB2312" w:cs="Times New Roman"/>
          <w:kern w:val="0"/>
          <w:sz w:val="32"/>
          <w:szCs w:val="32"/>
          <w:lang w:val="en-US" w:eastAsia="zh-CN"/>
        </w:rPr>
        <w:t>本单位及所属单位本年度未新增重大政策和重大项目，所以无事前绩效评估开展情况。</w:t>
      </w:r>
    </w:p>
    <w:p w14:paraId="4F03763D">
      <w:pPr>
        <w:numPr>
          <w:ilvl w:val="0"/>
          <w:numId w:val="3"/>
        </w:numPr>
        <w:autoSpaceDE w:val="0"/>
        <w:autoSpaceDN w:val="0"/>
        <w:adjustRightInd w:val="0"/>
        <w:ind w:firstLine="640" w:firstLineChars="200"/>
        <w:jc w:val="left"/>
        <w:rPr>
          <w:rFonts w:ascii="Times New Roman" w:hAnsi="Times New Roman" w:eastAsia="楷体_GB2312" w:cs="Times New Roman"/>
          <w:b/>
          <w:bCs/>
          <w:color w:val="auto"/>
          <w:kern w:val="2"/>
          <w:sz w:val="32"/>
          <w:szCs w:val="32"/>
          <w:highlight w:val="none"/>
        </w:rPr>
      </w:pPr>
      <w:r>
        <w:rPr>
          <w:rFonts w:ascii="Times New Roman" w:hAnsi="Times New Roman" w:eastAsia="楷体_GB2312" w:cs="Times New Roman"/>
          <w:b/>
          <w:bCs/>
          <w:color w:val="auto"/>
          <w:kern w:val="2"/>
          <w:sz w:val="32"/>
          <w:szCs w:val="32"/>
          <w:highlight w:val="none"/>
        </w:rPr>
        <w:t>评价结果应用情况</w:t>
      </w:r>
    </w:p>
    <w:p w14:paraId="6F613816">
      <w:pPr>
        <w:overflowPunct w:val="0"/>
        <w:spacing w:line="600" w:lineRule="exact"/>
        <w:ind w:firstLine="640" w:firstLineChars="200"/>
        <w:rPr>
          <w:rFonts w:hint="eastAsia"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2024年度全年收支基本平衡，基本支出中财政政策性工资有所追加；预算资金按规定管理使用。根据2024年度绩效自评结果、部门评价结果，我部加强了2025年度的预算编制工作，强化了资金的预算管理。</w:t>
      </w:r>
    </w:p>
    <w:p w14:paraId="1600B738">
      <w:pPr>
        <w:autoSpaceDE w:val="0"/>
        <w:autoSpaceDN w:val="0"/>
        <w:adjustRightInd w:val="0"/>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预算绩效管理开展情况、绩效目标和绩效评价报告等，已在市政府部门财政预决算公开平台上向社会公开，详见附件。</w:t>
      </w:r>
    </w:p>
    <w:p w14:paraId="56FD4A53">
      <w:pPr>
        <w:pStyle w:val="2"/>
        <w:rPr>
          <w:rFonts w:hint="eastAsia"/>
          <w:lang w:val="en-US" w:eastAsia="zh-CN"/>
        </w:rPr>
      </w:pPr>
    </w:p>
    <w:p w14:paraId="6AFE3A0B">
      <w:pPr>
        <w:pStyle w:val="13"/>
        <w:jc w:val="both"/>
        <w:rPr>
          <w:rFonts w:ascii="方正小标宋_GBK" w:hAnsi="方正小标宋_GBK" w:eastAsia="方正小标宋_GBK" w:cs="方正小标宋_GBK"/>
          <w:sz w:val="72"/>
          <w:szCs w:val="72"/>
        </w:rPr>
      </w:pPr>
    </w:p>
    <w:p w14:paraId="1B713E23">
      <w:pPr>
        <w:pStyle w:val="13"/>
        <w:jc w:val="center"/>
        <w:rPr>
          <w:rFonts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t>第四部分</w:t>
      </w:r>
    </w:p>
    <w:p w14:paraId="293D7FA8">
      <w:pPr>
        <w:jc w:val="center"/>
        <w:rPr>
          <w:rFonts w:ascii="方正小标宋_GBK" w:hAnsi="方正小标宋_GBK" w:eastAsia="方正小标宋_GBK" w:cs="方正小标宋_GBK"/>
          <w:color w:val="000000"/>
          <w:kern w:val="0"/>
          <w:sz w:val="70"/>
          <w:szCs w:val="70"/>
        </w:rPr>
      </w:pPr>
    </w:p>
    <w:p w14:paraId="3010C23F">
      <w:pPr>
        <w:jc w:val="center"/>
        <w:rPr>
          <w:rFonts w:ascii="方正小标宋_GBK" w:hAnsi="方正小标宋_GBK" w:eastAsia="方正小标宋_GBK" w:cs="方正小标宋_GBK"/>
          <w:color w:val="000000"/>
          <w:kern w:val="0"/>
          <w:sz w:val="70"/>
          <w:szCs w:val="70"/>
        </w:rPr>
      </w:pPr>
      <w:r>
        <w:rPr>
          <w:rFonts w:hint="eastAsia" w:ascii="方正小标宋_GBK" w:hAnsi="方正小标宋_GBK" w:eastAsia="方正小标宋_GBK" w:cs="方正小标宋_GBK"/>
          <w:color w:val="000000"/>
          <w:kern w:val="0"/>
          <w:sz w:val="70"/>
          <w:szCs w:val="70"/>
        </w:rPr>
        <w:t>名词解释</w:t>
      </w:r>
    </w:p>
    <w:p w14:paraId="35EF627C">
      <w:pPr>
        <w:widowControl/>
        <w:jc w:val="left"/>
        <w:rPr>
          <w:rFonts w:ascii="宋体" w:hAnsi="宋体" w:cs="黑体"/>
          <w:color w:val="000000"/>
          <w:kern w:val="0"/>
          <w:sz w:val="32"/>
          <w:szCs w:val="32"/>
        </w:rPr>
      </w:pPr>
      <w:r>
        <w:rPr>
          <w:rFonts w:hint="eastAsia" w:ascii="方正小标宋_GBK" w:hAnsi="方正小标宋_GBK" w:eastAsia="方正小标宋_GBK" w:cs="方正小标宋_GBK"/>
          <w:color w:val="000000"/>
          <w:kern w:val="0"/>
          <w:sz w:val="70"/>
          <w:szCs w:val="70"/>
        </w:rPr>
        <w:br w:type="page"/>
      </w:r>
    </w:p>
    <w:p w14:paraId="577729E7">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财政拨款收入：指本级财政当年拨付的资金。</w:t>
      </w:r>
    </w:p>
    <w:p w14:paraId="571FE58F">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其他收入：指除上述“财政拨款收入”、“上级补助收入”、“事业收入”、“经营收入”、“附属单位上缴收入”等以外的收入。</w:t>
      </w:r>
    </w:p>
    <w:p w14:paraId="3864829E">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上年结转和结余：指以前年度尚未完成、结转到本年按有关规定继续使用的资金。</w:t>
      </w:r>
    </w:p>
    <w:p w14:paraId="3E956316">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年末结转和结余资金：指本年度或以前年度预算安排、因客观条件发生变化无法按原计划实施，需要延迟到以后年度按有关规定继续使用的资金。</w:t>
      </w:r>
    </w:p>
    <w:p w14:paraId="52A7A015">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服务支出（类）：是指用于人大、政协、政府办公厅（室）及相关机构事务、发展与改革事务、统计信息事务、财政事务、税收事务、审计事务、人力资源事务、纪检监察事务、商贸事务、工商行政管理事务、质量技术监督与检验检疫事务、民族事务、档案事务、民主党派及工商联事务、群众团体事务、党委办公厅（室）及相关机构事务、组织事务、宣传事务、统战事务、其他一般公共服务等方面的支出，包括保障机构正常运转、完成日常和特定的工作任务或事业发展目标的支出。</w:t>
      </w:r>
    </w:p>
    <w:p w14:paraId="66478295">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教育支出（类）：是指用于政府教育事务支出，包括保障机构正常运转、完成日常和特定的工作任务或事业发展目标的支出。</w:t>
      </w:r>
    </w:p>
    <w:p w14:paraId="147E5B97">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社会保障和就业支出（类）：是指用于社会保障和就业方面的支出，包括保障机构正常运转、完成日常和特定的工作任务或事业发展目标的支出。归口管理的行政单位离退休，指离退休人员管理机构统一管理的机关离退休人员的经费。</w:t>
      </w:r>
    </w:p>
    <w:p w14:paraId="222FB5CC">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卫生健康支出（类）：是指用于医疗卫生与计划生育方面的支出，包括保障机构正常运转、完成日常和特定的工作任务或事业发展目标的支出。</w:t>
      </w:r>
    </w:p>
    <w:p w14:paraId="76A4C306">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农林水支出（类）：是指用于农林水事务支出，包括保障机构正常运转、完成日常和特定的工作任务或事业发展目标的支出。</w:t>
      </w:r>
    </w:p>
    <w:p w14:paraId="594BE919">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其他支出（类）：是指用于反映除上述项目以外其他不能划分到具体功能科目中的支出项目，包括保障机构正常运转、完成日常和特定的工作任务或事业发展目标的支出。</w:t>
      </w:r>
    </w:p>
    <w:p w14:paraId="6611AB5C">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基本支出：指保障机构正常运转、完成支日常工作任务而发生的人员支出和公用支出。</w:t>
      </w:r>
    </w:p>
    <w:p w14:paraId="71E01E87">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项目支出：指在基本支出之外为完成特定行政任务和事业发展目标所发生的支出。</w:t>
      </w:r>
    </w:p>
    <w:p w14:paraId="130DD59D">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三公”经费：指用财政拨款安排的因公出国（境）费、公务用车购置及运行费和公务接待费。其中，因公出国（境）费反映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71497F7E">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工资福利支出：反映单位开支的在职职工和编制外长期聘用人员的各类劳动报酬，以及为上述人员缴纳的各项社会保险费等。</w:t>
      </w:r>
    </w:p>
    <w:p w14:paraId="0C5D6130">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基本工资：反映按规定发放的基本工资，包括公务员的职务工资、级别工资；机关工人的岗位工资、技术等级工资；事业单位工作人员的岗位工资、薪级工资；各类学校毕业生试用期(见习期)工资、新参加工作工人学徒期、熟练期工资；军队（武警）军官、文职干部的职务（专业技术等级）工资、军衔（级别）工资、基础工资和军龄工资；军队士官的军衔等级工资、基础工资和军龄工资等。</w:t>
      </w:r>
    </w:p>
    <w:p w14:paraId="3AAFA2AF">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津贴补贴：反映经国家批准建立的机关事业单位艰苦边远地区津贴、机关工作人员地区附加津贴、机关工作人员岗位津贴、事业单位工作人员特殊岗位津贴补贴等。</w:t>
      </w:r>
    </w:p>
    <w:p w14:paraId="01540168">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奖金：反映机关工作人员年终一次性奖金。</w:t>
      </w:r>
    </w:p>
    <w:p w14:paraId="473441C9">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伙食补助费：反映单位发给职工的伙食补助费，如误餐补助等。</w:t>
      </w:r>
    </w:p>
    <w:p w14:paraId="5E23822E">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机关事业单位基本养老保险缴费：反映机关事业单位缴纳的基本养老保险费。由单位代扣的工作人员基本养老保险缴费，不在此科目反映。</w:t>
      </w:r>
    </w:p>
    <w:p w14:paraId="3B10CDBF">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职工基本医疗保险缴费：反映单位为职工缴纳的基本医疗保险费。</w:t>
      </w:r>
    </w:p>
    <w:p w14:paraId="71829CE2">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其他社会保障缴费：反映单位为职工缴纳的基本医疗、失业、工伤、生育等社会保险费，残疾人就业保障金，军队（含武警）为军人缴纳的伤亡、退役医疗等社会保险费。</w:t>
      </w:r>
    </w:p>
    <w:p w14:paraId="4D301B7E">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住房公积金：反映行政事业单位按人力资源和社会保障部、财政部规定的基本工资和津贴补贴以及规定比例为职工缴纳的住房公积金。</w:t>
      </w:r>
    </w:p>
    <w:p w14:paraId="443E21A7">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医疗费：反映未参加医疗保险单位的医疗经费和单位按规定为职工支出的其他医疗费用。</w:t>
      </w:r>
    </w:p>
    <w:p w14:paraId="67F150B0">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工资福利支出：反映上述项目未包括的人员支出，如各种加班工资、病假两个月以上期间的人员工资、编制外长期聘用人员，公务员及参照和依照公务员制度管理的单位工作人员转入企业工作并按规定参加企业职工基本养老保险后给予的一次性补贴等。</w:t>
      </w:r>
    </w:p>
    <w:p w14:paraId="77628D80">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商品和服务支出：反映单位购买商品和服务的支出（不包括用于购置固定资产的支出、战略性和应急储备支出）。</w:t>
      </w:r>
    </w:p>
    <w:p w14:paraId="3E846FFA">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办公费：反映单位购买按财务会计制度规定不符合固定资产确认标准的日常办公用品、书报杂志等支出。</w:t>
      </w:r>
    </w:p>
    <w:p w14:paraId="4AE785BD">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印刷费：反映单位的印刷费支出。</w:t>
      </w:r>
    </w:p>
    <w:p w14:paraId="2D22BB57">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邮电费：反映单位开支的信函、包裹、货物等物品的邮寄费及电话费、电报费、传真费、网络通讯费等。</w:t>
      </w:r>
    </w:p>
    <w:p w14:paraId="2DC72E13">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差旅费：反映单位工作人员出差发生的城市间交通费、住宿费、伙食补贴费和市内交通费。</w:t>
      </w:r>
    </w:p>
    <w:p w14:paraId="43EBA1CB">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会议费：反映会议中按规定开支的住宿费、伙食费、会议室租金、交通费、文件印刷费、医药费等。</w:t>
      </w:r>
    </w:p>
    <w:p w14:paraId="3CF270C4">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劳务费：反映支付给单位和个人的劳务费用，如临时聘用人员、钟点工工资，稿费、翻译费，评审费等。</w:t>
      </w:r>
    </w:p>
    <w:p w14:paraId="47E68835">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工会经费：反映单位按规定提取的工会经费。</w:t>
      </w:r>
    </w:p>
    <w:p w14:paraId="21673B94">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公务用车运行维护费：反映单位按规定保留的公务用车燃料费、维修费、过桥过路费、保险费、安全奖励费用等支出。</w:t>
      </w:r>
    </w:p>
    <w:p w14:paraId="33FA777F">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其他交通费用：反映单位除公务用车运行维护费以外的其他交通费用。如公务交通补贴，租车费用、出租车费用，飞机、船舶等的燃料费、维修费、保险费等。</w:t>
      </w:r>
    </w:p>
    <w:p w14:paraId="6E7F68FB">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税金及附加费用：反映单位提供劳务或销售产品应负担的税金及附加费用，包括营业税、消费税、城市维护建设税、资源税和教育附加等。</w:t>
      </w:r>
    </w:p>
    <w:p w14:paraId="10F68D55">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其他商品和服务支出：反映上述科目未包括的日常公用支出。如行政赔偿费和诉讼费、国内组织的会员费、来访费、广告宣传、其他劳务费及离休人员特需费、公用经费等。</w:t>
      </w:r>
    </w:p>
    <w:p w14:paraId="37FC31D3">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对个人和家庭的补助：反映政府用于对个人和家庭的补助支出。</w:t>
      </w:r>
    </w:p>
    <w:p w14:paraId="28A3D575">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退休费：反映行政事业单位和军队移交政府安置的退休人员的退休费和其他补贴。</w:t>
      </w:r>
    </w:p>
    <w:p w14:paraId="5664B5D6">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办公设备购置：反映用于购置并按财务会计制度规定纳入固定资产核算范围的办公家具和办公设备的支出，以及按规定提取的修购基金。</w:t>
      </w:r>
    </w:p>
    <w:p w14:paraId="7915F840">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专用设备购置：反映用于购置具有专门用途、并按财务会计制度规定纳入固定资产核算范围的各类专用设备的支出。如通信设备、发电设备、交通监控设备、卫星转发器、气象设备、进出口监管设备等，以及按规定提取的修购基金。</w:t>
      </w:r>
    </w:p>
    <w:p w14:paraId="0EAE6123">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机关运行经费：指为保障行政单位（包括参照公务员法管理的事业单位）运行用于购买货物和服务的各项资金，包括办公及印刷费、邮电费、差旅费、会议费、福利费、日常维修费、专用材料及一般设备购置费、办公用房水电费、办公用房取暖费、 办公用房物业管理费、 公务用车运行维护费以及其他费用。</w:t>
      </w:r>
    </w:p>
    <w:p w14:paraId="5C48D6BE">
      <w:pPr>
        <w:pStyle w:val="13"/>
        <w:jc w:val="center"/>
        <w:rPr>
          <w:sz w:val="84"/>
          <w:szCs w:val="84"/>
        </w:rPr>
      </w:pPr>
    </w:p>
    <w:p w14:paraId="13A25C2F">
      <w:pPr>
        <w:pStyle w:val="13"/>
        <w:jc w:val="center"/>
        <w:rPr>
          <w:sz w:val="84"/>
          <w:szCs w:val="84"/>
        </w:rPr>
      </w:pPr>
    </w:p>
    <w:p w14:paraId="13747C65">
      <w:pPr>
        <w:pStyle w:val="13"/>
        <w:jc w:val="center"/>
        <w:rPr>
          <w:sz w:val="84"/>
          <w:szCs w:val="84"/>
        </w:rPr>
      </w:pPr>
    </w:p>
    <w:p w14:paraId="1611AF73">
      <w:pPr>
        <w:pStyle w:val="13"/>
        <w:jc w:val="center"/>
        <w:rPr>
          <w:sz w:val="84"/>
          <w:szCs w:val="84"/>
        </w:rPr>
      </w:pPr>
    </w:p>
    <w:p w14:paraId="282C7E68">
      <w:pPr>
        <w:pStyle w:val="13"/>
        <w:jc w:val="center"/>
        <w:rPr>
          <w:sz w:val="84"/>
          <w:szCs w:val="84"/>
        </w:rPr>
      </w:pPr>
    </w:p>
    <w:p w14:paraId="625CB62A">
      <w:pPr>
        <w:pStyle w:val="13"/>
        <w:jc w:val="center"/>
        <w:rPr>
          <w:sz w:val="84"/>
          <w:szCs w:val="84"/>
        </w:rPr>
      </w:pPr>
    </w:p>
    <w:p w14:paraId="380639C6">
      <w:pPr>
        <w:pStyle w:val="13"/>
        <w:jc w:val="center"/>
        <w:rPr>
          <w:sz w:val="84"/>
          <w:szCs w:val="84"/>
        </w:rPr>
      </w:pPr>
    </w:p>
    <w:p w14:paraId="645B8216">
      <w:pPr>
        <w:pStyle w:val="13"/>
        <w:jc w:val="center"/>
        <w:rPr>
          <w:sz w:val="84"/>
          <w:szCs w:val="84"/>
        </w:rPr>
      </w:pPr>
    </w:p>
    <w:p w14:paraId="4E4D493C">
      <w:pPr>
        <w:pStyle w:val="13"/>
        <w:jc w:val="center"/>
        <w:rPr>
          <w:sz w:val="84"/>
          <w:szCs w:val="84"/>
        </w:rPr>
      </w:pPr>
    </w:p>
    <w:p w14:paraId="12DA0040">
      <w:pPr>
        <w:pStyle w:val="13"/>
        <w:jc w:val="center"/>
        <w:rPr>
          <w:sz w:val="84"/>
          <w:szCs w:val="84"/>
        </w:rPr>
      </w:pPr>
    </w:p>
    <w:p w14:paraId="7916110E">
      <w:pPr>
        <w:pStyle w:val="13"/>
        <w:jc w:val="center"/>
        <w:rPr>
          <w:sz w:val="84"/>
          <w:szCs w:val="84"/>
        </w:rPr>
      </w:pPr>
    </w:p>
    <w:p w14:paraId="3F971707">
      <w:pPr>
        <w:pStyle w:val="13"/>
        <w:jc w:val="center"/>
        <w:rPr>
          <w:sz w:val="84"/>
          <w:szCs w:val="84"/>
        </w:rPr>
      </w:pPr>
      <w:r>
        <w:rPr>
          <w:rFonts w:hint="eastAsia"/>
          <w:sz w:val="84"/>
          <w:szCs w:val="84"/>
        </w:rPr>
        <w:t>第五部分</w:t>
      </w:r>
    </w:p>
    <w:p w14:paraId="18BDA5E5">
      <w:pPr>
        <w:pStyle w:val="13"/>
        <w:jc w:val="center"/>
        <w:rPr>
          <w:sz w:val="84"/>
          <w:szCs w:val="84"/>
        </w:rPr>
      </w:pPr>
      <w:r>
        <w:rPr>
          <w:rFonts w:hint="eastAsia"/>
          <w:sz w:val="84"/>
          <w:szCs w:val="84"/>
        </w:rPr>
        <w:t>附件</w:t>
      </w:r>
    </w:p>
    <w:p w14:paraId="480AB568">
      <w:pPr>
        <w:pStyle w:val="13"/>
        <w:spacing w:line="600" w:lineRule="exact"/>
        <w:ind w:firstLine="640" w:firstLineChars="200"/>
        <w:jc w:val="both"/>
        <w:rPr>
          <w:rFonts w:ascii="仿宋_GB2312" w:hAnsi="仿宋_GB2312" w:eastAsia="仿宋_GB2312" w:cs="仿宋_GB2312"/>
          <w:sz w:val="32"/>
          <w:szCs w:val="32"/>
        </w:rPr>
      </w:pPr>
    </w:p>
    <w:p w14:paraId="02DFBB86">
      <w:pPr>
        <w:pStyle w:val="13"/>
        <w:spacing w:line="600" w:lineRule="exact"/>
        <w:ind w:firstLine="640" w:firstLineChars="200"/>
        <w:jc w:val="both"/>
        <w:rPr>
          <w:rFonts w:ascii="仿宋_GB2312" w:hAnsi="仿宋_GB2312" w:eastAsia="仿宋_GB2312" w:cs="仿宋_GB2312"/>
          <w:sz w:val="32"/>
          <w:szCs w:val="32"/>
        </w:rPr>
      </w:pPr>
    </w:p>
    <w:p w14:paraId="705BCC09">
      <w:pPr>
        <w:pStyle w:val="13"/>
        <w:spacing w:line="600" w:lineRule="exact"/>
        <w:ind w:firstLine="640" w:firstLineChars="200"/>
        <w:jc w:val="both"/>
        <w:rPr>
          <w:rFonts w:ascii="仿宋_GB2312" w:hAnsi="仿宋_GB2312" w:eastAsia="仿宋_GB2312" w:cs="仿宋_GB2312"/>
          <w:sz w:val="32"/>
          <w:szCs w:val="32"/>
        </w:rPr>
      </w:pPr>
    </w:p>
    <w:p w14:paraId="20EFE266">
      <w:pPr>
        <w:pStyle w:val="13"/>
        <w:spacing w:line="600" w:lineRule="exact"/>
        <w:ind w:firstLine="640" w:firstLineChars="200"/>
        <w:jc w:val="both"/>
        <w:rPr>
          <w:rFonts w:ascii="仿宋_GB2312" w:hAnsi="仿宋_GB2312" w:eastAsia="仿宋_GB2312" w:cs="仿宋_GB2312"/>
          <w:sz w:val="32"/>
          <w:szCs w:val="32"/>
        </w:rPr>
      </w:pPr>
    </w:p>
    <w:p w14:paraId="7FD55B0E">
      <w:pPr>
        <w:pStyle w:val="13"/>
        <w:spacing w:line="600" w:lineRule="exact"/>
        <w:ind w:firstLine="640" w:firstLineChars="200"/>
        <w:jc w:val="both"/>
        <w:rPr>
          <w:rFonts w:ascii="仿宋_GB2312" w:hAnsi="仿宋_GB2312" w:eastAsia="仿宋_GB2312" w:cs="仿宋_GB2312"/>
          <w:sz w:val="32"/>
          <w:szCs w:val="32"/>
        </w:rPr>
      </w:pPr>
    </w:p>
    <w:p w14:paraId="112DD6A9">
      <w:pPr>
        <w:pStyle w:val="13"/>
        <w:spacing w:line="600" w:lineRule="exact"/>
        <w:ind w:firstLine="640" w:firstLineChars="200"/>
        <w:jc w:val="both"/>
        <w:rPr>
          <w:rFonts w:ascii="仿宋_GB2312" w:hAnsi="仿宋_GB2312" w:eastAsia="仿宋_GB2312" w:cs="仿宋_GB2312"/>
          <w:sz w:val="32"/>
          <w:szCs w:val="32"/>
        </w:rPr>
      </w:pPr>
    </w:p>
    <w:p w14:paraId="16608EB2">
      <w:pPr>
        <w:pStyle w:val="13"/>
        <w:spacing w:line="600" w:lineRule="exact"/>
        <w:ind w:firstLine="640" w:firstLineChars="200"/>
        <w:jc w:val="both"/>
        <w:rPr>
          <w:rFonts w:ascii="仿宋_GB2312" w:hAnsi="仿宋_GB2312" w:eastAsia="仿宋_GB2312" w:cs="仿宋_GB2312"/>
          <w:sz w:val="32"/>
          <w:szCs w:val="32"/>
        </w:rPr>
      </w:pPr>
    </w:p>
    <w:p w14:paraId="2689D18F">
      <w:pPr>
        <w:pStyle w:val="13"/>
        <w:spacing w:line="600" w:lineRule="exact"/>
        <w:ind w:firstLine="640" w:firstLineChars="200"/>
        <w:jc w:val="both"/>
        <w:rPr>
          <w:rFonts w:ascii="仿宋_GB2312" w:hAnsi="仿宋_GB2312" w:eastAsia="仿宋_GB2312" w:cs="仿宋_GB2312"/>
          <w:sz w:val="32"/>
          <w:szCs w:val="32"/>
        </w:rPr>
      </w:pPr>
    </w:p>
    <w:p w14:paraId="01812264">
      <w:pPr>
        <w:pStyle w:val="13"/>
        <w:spacing w:line="600" w:lineRule="exact"/>
        <w:ind w:firstLine="640" w:firstLineChars="200"/>
        <w:jc w:val="both"/>
        <w:rPr>
          <w:rFonts w:ascii="仿宋_GB2312" w:hAnsi="仿宋_GB2312" w:eastAsia="仿宋_GB2312" w:cs="仿宋_GB2312"/>
          <w:sz w:val="32"/>
          <w:szCs w:val="32"/>
        </w:rPr>
      </w:pPr>
    </w:p>
    <w:p w14:paraId="5B37D1C4">
      <w:pPr>
        <w:pStyle w:val="13"/>
        <w:spacing w:line="600" w:lineRule="exact"/>
        <w:ind w:firstLine="640" w:firstLineChars="200"/>
        <w:jc w:val="both"/>
        <w:rPr>
          <w:rFonts w:ascii="仿宋_GB2312" w:hAnsi="仿宋_GB2312" w:eastAsia="仿宋_GB2312" w:cs="仿宋_GB2312"/>
          <w:sz w:val="32"/>
          <w:szCs w:val="32"/>
        </w:rPr>
      </w:pPr>
    </w:p>
    <w:p w14:paraId="3A3E0934">
      <w:pPr>
        <w:pStyle w:val="13"/>
        <w:spacing w:line="600" w:lineRule="exact"/>
        <w:ind w:firstLine="640" w:firstLineChars="200"/>
        <w:jc w:val="both"/>
        <w:rPr>
          <w:rFonts w:ascii="仿宋_GB2312" w:hAnsi="仿宋_GB2312" w:eastAsia="仿宋_GB2312" w:cs="仿宋_GB2312"/>
          <w:sz w:val="32"/>
          <w:szCs w:val="32"/>
        </w:rPr>
      </w:pPr>
    </w:p>
    <w:p w14:paraId="218195AF">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年度中共岳阳市委组织部部门决算公开表格</w:t>
      </w:r>
    </w:p>
    <w:p w14:paraId="38747A6D">
      <w:pPr>
        <w:pStyle w:val="13"/>
        <w:spacing w:line="60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2.202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年度部门绩效评价自评汇总资料</w:t>
      </w:r>
    </w:p>
    <w:p w14:paraId="3F2966A6">
      <w:pPr>
        <w:pStyle w:val="13"/>
        <w:spacing w:line="600" w:lineRule="exact"/>
        <w:ind w:firstLine="640" w:firstLineChars="200"/>
        <w:jc w:val="both"/>
        <w:rPr>
          <w:rFonts w:ascii="仿宋_GB2312" w:hAnsi="仿宋_GB2312" w:eastAsia="仿宋_GB2312" w:cs="仿宋_GB2312"/>
          <w:sz w:val="32"/>
          <w:szCs w:val="32"/>
        </w:rPr>
      </w:pPr>
    </w:p>
    <w:p w14:paraId="67CEA975">
      <w:pPr>
        <w:ind w:firstLine="640" w:firstLineChars="200"/>
        <w:jc w:val="left"/>
        <w:rPr>
          <w:rFonts w:ascii="宋体" w:hAnsi="宋体" w:cs="黑体"/>
          <w:color w:val="000000"/>
          <w:kern w:val="0"/>
          <w:sz w:val="32"/>
          <w:szCs w:val="32"/>
        </w:rPr>
      </w:pPr>
    </w:p>
    <w:sectPr>
      <w:footerReference r:id="rId3" w:type="default"/>
      <w:pgSz w:w="11906" w:h="16838"/>
      <w:pgMar w:top="1440" w:right="1800" w:bottom="1440" w:left="1800"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3FF8">
    <w:pPr>
      <w:pStyle w:val="6"/>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135D55A">
                <w:pPr>
                  <w:pStyle w:val="6"/>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DECFD4"/>
    <w:multiLevelType w:val="singleLevel"/>
    <w:tmpl w:val="8EDECFD4"/>
    <w:lvl w:ilvl="0" w:tentative="0">
      <w:start w:val="3"/>
      <w:numFmt w:val="chineseCounting"/>
      <w:suff w:val="nothing"/>
      <w:lvlText w:val="（%1）"/>
      <w:lvlJc w:val="left"/>
      <w:rPr>
        <w:rFonts w:hint="eastAsia"/>
      </w:rPr>
    </w:lvl>
  </w:abstractNum>
  <w:abstractNum w:abstractNumId="1">
    <w:nsid w:val="0A68D03F"/>
    <w:multiLevelType w:val="singleLevel"/>
    <w:tmpl w:val="0A68D03F"/>
    <w:lvl w:ilvl="0" w:tentative="0">
      <w:start w:val="1"/>
      <w:numFmt w:val="chineseCounting"/>
      <w:suff w:val="nothing"/>
      <w:lvlText w:val="（%1）"/>
      <w:lvlJc w:val="left"/>
      <w:rPr>
        <w:rFonts w:hint="eastAsia"/>
      </w:rPr>
    </w:lvl>
  </w:abstractNum>
  <w:abstractNum w:abstractNumId="2">
    <w:nsid w:val="373518C1"/>
    <w:multiLevelType w:val="multilevel"/>
    <w:tmpl w:val="373518C1"/>
    <w:lvl w:ilvl="0" w:tentative="0">
      <w:start w:val="1"/>
      <w:numFmt w:val="none"/>
      <w:lvlText w:val="一、"/>
      <w:lvlJc w:val="left"/>
      <w:pPr>
        <w:ind w:left="720" w:hanging="7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ZmNGE1NDQ0NzI0OTg4N2FlODNiOGEyMmNlZjE5OTQifQ=="/>
  </w:docVars>
  <w:rsids>
    <w:rsidRoot w:val="004506F9"/>
    <w:rsid w:val="0000565A"/>
    <w:rsid w:val="00020157"/>
    <w:rsid w:val="0002229B"/>
    <w:rsid w:val="000273BD"/>
    <w:rsid w:val="00040CBC"/>
    <w:rsid w:val="000415B7"/>
    <w:rsid w:val="00041E3F"/>
    <w:rsid w:val="00055DAA"/>
    <w:rsid w:val="00061F7B"/>
    <w:rsid w:val="000658A3"/>
    <w:rsid w:val="00074155"/>
    <w:rsid w:val="000A3F69"/>
    <w:rsid w:val="000D702D"/>
    <w:rsid w:val="000E1F66"/>
    <w:rsid w:val="00103957"/>
    <w:rsid w:val="00107948"/>
    <w:rsid w:val="00113C0F"/>
    <w:rsid w:val="00150447"/>
    <w:rsid w:val="00152C6D"/>
    <w:rsid w:val="00154471"/>
    <w:rsid w:val="00162D39"/>
    <w:rsid w:val="0016441D"/>
    <w:rsid w:val="001678BD"/>
    <w:rsid w:val="0017574A"/>
    <w:rsid w:val="00176CAC"/>
    <w:rsid w:val="00182373"/>
    <w:rsid w:val="0019510C"/>
    <w:rsid w:val="001A67DB"/>
    <w:rsid w:val="001A7934"/>
    <w:rsid w:val="001C3C29"/>
    <w:rsid w:val="001D51E5"/>
    <w:rsid w:val="001E080D"/>
    <w:rsid w:val="001E53D0"/>
    <w:rsid w:val="001F0C3B"/>
    <w:rsid w:val="00202C82"/>
    <w:rsid w:val="00214427"/>
    <w:rsid w:val="00215B4E"/>
    <w:rsid w:val="00226CB7"/>
    <w:rsid w:val="00264552"/>
    <w:rsid w:val="00264EF9"/>
    <w:rsid w:val="00265724"/>
    <w:rsid w:val="0027426B"/>
    <w:rsid w:val="002A76F3"/>
    <w:rsid w:val="002B0C86"/>
    <w:rsid w:val="002E0A30"/>
    <w:rsid w:val="00307C81"/>
    <w:rsid w:val="003130C4"/>
    <w:rsid w:val="00316C4B"/>
    <w:rsid w:val="0032192B"/>
    <w:rsid w:val="003479BD"/>
    <w:rsid w:val="0037197D"/>
    <w:rsid w:val="003768D5"/>
    <w:rsid w:val="0039264E"/>
    <w:rsid w:val="003926B9"/>
    <w:rsid w:val="003A6311"/>
    <w:rsid w:val="003C47E6"/>
    <w:rsid w:val="003C4FC2"/>
    <w:rsid w:val="003E2D20"/>
    <w:rsid w:val="003E5781"/>
    <w:rsid w:val="00411146"/>
    <w:rsid w:val="00416E61"/>
    <w:rsid w:val="0042790C"/>
    <w:rsid w:val="00433962"/>
    <w:rsid w:val="00436BC7"/>
    <w:rsid w:val="004506F9"/>
    <w:rsid w:val="004717A2"/>
    <w:rsid w:val="00473DF3"/>
    <w:rsid w:val="00487124"/>
    <w:rsid w:val="00487911"/>
    <w:rsid w:val="00491741"/>
    <w:rsid w:val="004B0CEE"/>
    <w:rsid w:val="00500E5F"/>
    <w:rsid w:val="005122EF"/>
    <w:rsid w:val="0051441A"/>
    <w:rsid w:val="00514E22"/>
    <w:rsid w:val="00517C33"/>
    <w:rsid w:val="00517D5F"/>
    <w:rsid w:val="00523644"/>
    <w:rsid w:val="0054069E"/>
    <w:rsid w:val="00544866"/>
    <w:rsid w:val="00544C73"/>
    <w:rsid w:val="00575800"/>
    <w:rsid w:val="005767CC"/>
    <w:rsid w:val="00581C54"/>
    <w:rsid w:val="00586D2B"/>
    <w:rsid w:val="00590D9F"/>
    <w:rsid w:val="00595D26"/>
    <w:rsid w:val="005A74E6"/>
    <w:rsid w:val="005B404E"/>
    <w:rsid w:val="005D4D55"/>
    <w:rsid w:val="005E2CFB"/>
    <w:rsid w:val="005F04A0"/>
    <w:rsid w:val="005F2103"/>
    <w:rsid w:val="005F3D1C"/>
    <w:rsid w:val="0062378F"/>
    <w:rsid w:val="00641842"/>
    <w:rsid w:val="00647959"/>
    <w:rsid w:val="00651EEC"/>
    <w:rsid w:val="006738FA"/>
    <w:rsid w:val="00686673"/>
    <w:rsid w:val="00691E8C"/>
    <w:rsid w:val="006A22C4"/>
    <w:rsid w:val="006A351B"/>
    <w:rsid w:val="006B0422"/>
    <w:rsid w:val="006C1B53"/>
    <w:rsid w:val="006C4481"/>
    <w:rsid w:val="006D7730"/>
    <w:rsid w:val="006E5284"/>
    <w:rsid w:val="006F3EB5"/>
    <w:rsid w:val="00702E34"/>
    <w:rsid w:val="00704395"/>
    <w:rsid w:val="00710FE7"/>
    <w:rsid w:val="00716FDA"/>
    <w:rsid w:val="00717621"/>
    <w:rsid w:val="00720871"/>
    <w:rsid w:val="00720FF1"/>
    <w:rsid w:val="00725C98"/>
    <w:rsid w:val="0072727A"/>
    <w:rsid w:val="00727A53"/>
    <w:rsid w:val="0076083D"/>
    <w:rsid w:val="00786FB0"/>
    <w:rsid w:val="00787B42"/>
    <w:rsid w:val="007C4539"/>
    <w:rsid w:val="007D7975"/>
    <w:rsid w:val="007F3657"/>
    <w:rsid w:val="00812ED5"/>
    <w:rsid w:val="00820101"/>
    <w:rsid w:val="008277D9"/>
    <w:rsid w:val="00834C95"/>
    <w:rsid w:val="0084478C"/>
    <w:rsid w:val="0086638C"/>
    <w:rsid w:val="00876DFC"/>
    <w:rsid w:val="00886E44"/>
    <w:rsid w:val="00886E85"/>
    <w:rsid w:val="00887CA1"/>
    <w:rsid w:val="008A00EF"/>
    <w:rsid w:val="008A3E8D"/>
    <w:rsid w:val="008B0CDE"/>
    <w:rsid w:val="00907F23"/>
    <w:rsid w:val="009167EE"/>
    <w:rsid w:val="00920915"/>
    <w:rsid w:val="00921914"/>
    <w:rsid w:val="009237C4"/>
    <w:rsid w:val="009254B7"/>
    <w:rsid w:val="00944C48"/>
    <w:rsid w:val="00950252"/>
    <w:rsid w:val="009617FF"/>
    <w:rsid w:val="00967F5D"/>
    <w:rsid w:val="00974CF2"/>
    <w:rsid w:val="00984B68"/>
    <w:rsid w:val="00984C99"/>
    <w:rsid w:val="009A0F95"/>
    <w:rsid w:val="009A30C7"/>
    <w:rsid w:val="009A4236"/>
    <w:rsid w:val="009B3ADF"/>
    <w:rsid w:val="009C36ED"/>
    <w:rsid w:val="009C3B52"/>
    <w:rsid w:val="009E58F2"/>
    <w:rsid w:val="009E6817"/>
    <w:rsid w:val="009E6E9A"/>
    <w:rsid w:val="00A01D2B"/>
    <w:rsid w:val="00A061AD"/>
    <w:rsid w:val="00A42218"/>
    <w:rsid w:val="00A4229D"/>
    <w:rsid w:val="00A60FD4"/>
    <w:rsid w:val="00A70036"/>
    <w:rsid w:val="00A70249"/>
    <w:rsid w:val="00A70B02"/>
    <w:rsid w:val="00A71D9F"/>
    <w:rsid w:val="00A92E9F"/>
    <w:rsid w:val="00AB18FF"/>
    <w:rsid w:val="00AE045F"/>
    <w:rsid w:val="00B027E5"/>
    <w:rsid w:val="00B04043"/>
    <w:rsid w:val="00B33BEA"/>
    <w:rsid w:val="00B51F97"/>
    <w:rsid w:val="00B57C9F"/>
    <w:rsid w:val="00B63572"/>
    <w:rsid w:val="00B66687"/>
    <w:rsid w:val="00B77E38"/>
    <w:rsid w:val="00B845B3"/>
    <w:rsid w:val="00B85D8B"/>
    <w:rsid w:val="00B921DB"/>
    <w:rsid w:val="00BB4A40"/>
    <w:rsid w:val="00BD6C3E"/>
    <w:rsid w:val="00BE3674"/>
    <w:rsid w:val="00C012DB"/>
    <w:rsid w:val="00C10681"/>
    <w:rsid w:val="00C106E7"/>
    <w:rsid w:val="00C17E7D"/>
    <w:rsid w:val="00C3049A"/>
    <w:rsid w:val="00C31B1E"/>
    <w:rsid w:val="00C410B7"/>
    <w:rsid w:val="00C77645"/>
    <w:rsid w:val="00CC15B8"/>
    <w:rsid w:val="00CE04C3"/>
    <w:rsid w:val="00CE5DE7"/>
    <w:rsid w:val="00CE76A0"/>
    <w:rsid w:val="00D148C6"/>
    <w:rsid w:val="00D14AC2"/>
    <w:rsid w:val="00D17A8A"/>
    <w:rsid w:val="00D258C9"/>
    <w:rsid w:val="00D415BA"/>
    <w:rsid w:val="00D63780"/>
    <w:rsid w:val="00D644EE"/>
    <w:rsid w:val="00D73A0D"/>
    <w:rsid w:val="00D97D3B"/>
    <w:rsid w:val="00DA3784"/>
    <w:rsid w:val="00DA6182"/>
    <w:rsid w:val="00DD06FF"/>
    <w:rsid w:val="00DD5FE9"/>
    <w:rsid w:val="00DD66B2"/>
    <w:rsid w:val="00E00C7A"/>
    <w:rsid w:val="00E37D6C"/>
    <w:rsid w:val="00E55B68"/>
    <w:rsid w:val="00E561AE"/>
    <w:rsid w:val="00E65552"/>
    <w:rsid w:val="00E67BE6"/>
    <w:rsid w:val="00E8683C"/>
    <w:rsid w:val="00EA2B72"/>
    <w:rsid w:val="00EC6ACB"/>
    <w:rsid w:val="00EE4A40"/>
    <w:rsid w:val="00EF693C"/>
    <w:rsid w:val="00F24C25"/>
    <w:rsid w:val="00F35177"/>
    <w:rsid w:val="00F64990"/>
    <w:rsid w:val="00F71E47"/>
    <w:rsid w:val="00F74360"/>
    <w:rsid w:val="00FB462F"/>
    <w:rsid w:val="00FB6FC0"/>
    <w:rsid w:val="00FE16FA"/>
    <w:rsid w:val="00FE328A"/>
    <w:rsid w:val="00FE6269"/>
    <w:rsid w:val="00FF5CD6"/>
    <w:rsid w:val="01502DA8"/>
    <w:rsid w:val="029C29FA"/>
    <w:rsid w:val="051B62E6"/>
    <w:rsid w:val="08A301C5"/>
    <w:rsid w:val="0DEB3B66"/>
    <w:rsid w:val="0E6507AC"/>
    <w:rsid w:val="0FE87D3D"/>
    <w:rsid w:val="11A63AC3"/>
    <w:rsid w:val="12980212"/>
    <w:rsid w:val="15986B0A"/>
    <w:rsid w:val="17D85E72"/>
    <w:rsid w:val="1A9010DE"/>
    <w:rsid w:val="1D040BF2"/>
    <w:rsid w:val="21AB1536"/>
    <w:rsid w:val="23953BD5"/>
    <w:rsid w:val="269060C0"/>
    <w:rsid w:val="29A77266"/>
    <w:rsid w:val="2CA872A3"/>
    <w:rsid w:val="2F026361"/>
    <w:rsid w:val="306F0E15"/>
    <w:rsid w:val="31C3379C"/>
    <w:rsid w:val="331C0652"/>
    <w:rsid w:val="34B20B82"/>
    <w:rsid w:val="34D11495"/>
    <w:rsid w:val="383B6A03"/>
    <w:rsid w:val="3A005BF9"/>
    <w:rsid w:val="3E900B33"/>
    <w:rsid w:val="40FD201B"/>
    <w:rsid w:val="4B816DED"/>
    <w:rsid w:val="4D547F53"/>
    <w:rsid w:val="51E51FEA"/>
    <w:rsid w:val="521C3BAD"/>
    <w:rsid w:val="528C5106"/>
    <w:rsid w:val="54200D4F"/>
    <w:rsid w:val="54857ED4"/>
    <w:rsid w:val="55C63EE6"/>
    <w:rsid w:val="56252ADC"/>
    <w:rsid w:val="5777D4F5"/>
    <w:rsid w:val="58C47CC8"/>
    <w:rsid w:val="59151E56"/>
    <w:rsid w:val="5B4F3FC2"/>
    <w:rsid w:val="5FC6BB1E"/>
    <w:rsid w:val="5FF720F1"/>
    <w:rsid w:val="62F12662"/>
    <w:rsid w:val="63930AB7"/>
    <w:rsid w:val="65FD3370"/>
    <w:rsid w:val="6BBF20FF"/>
    <w:rsid w:val="6C8F0D21"/>
    <w:rsid w:val="6D1D2BA3"/>
    <w:rsid w:val="6E1B6DB2"/>
    <w:rsid w:val="6E5F75F0"/>
    <w:rsid w:val="737D59BA"/>
    <w:rsid w:val="776B5ABC"/>
    <w:rsid w:val="77C37683"/>
    <w:rsid w:val="77DE0B76"/>
    <w:rsid w:val="78B654E3"/>
    <w:rsid w:val="79FF515B"/>
    <w:rsid w:val="79FF6DAC"/>
    <w:rsid w:val="7B1B1801"/>
    <w:rsid w:val="7B862F74"/>
    <w:rsid w:val="7C501E80"/>
    <w:rsid w:val="7D661C0D"/>
    <w:rsid w:val="7E9F11B4"/>
    <w:rsid w:val="7FC69637"/>
    <w:rsid w:val="7FFDB408"/>
    <w:rsid w:val="CBFF70E0"/>
    <w:rsid w:val="EEABED75"/>
    <w:rsid w:val="FB36E1A6"/>
    <w:rsid w:val="FFFF1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unhideWhenUsed/>
    <w:qFormat/>
    <w:uiPriority w:val="99"/>
    <w:pPr>
      <w:widowControl/>
      <w:spacing w:after="120"/>
      <w:ind w:left="420" w:leftChars="200"/>
      <w:jc w:val="left"/>
    </w:pPr>
    <w:rPr>
      <w:rFonts w:ascii="宋体" w:hAnsi="宋体" w:eastAsia="宋体" w:cs="宋体"/>
      <w:kern w:val="0"/>
      <w:sz w:val="24"/>
    </w:rPr>
  </w:style>
  <w:style w:type="paragraph" w:styleId="5">
    <w:name w:val="Balloon Text"/>
    <w:basedOn w:val="1"/>
    <w:link w:val="10"/>
    <w:unhideWhenUsed/>
    <w:qFormat/>
    <w:uiPriority w:val="99"/>
    <w:rPr>
      <w:sz w:val="18"/>
      <w:szCs w:val="18"/>
    </w:rPr>
  </w:style>
  <w:style w:type="paragraph" w:styleId="6">
    <w:name w:val="footer"/>
    <w:basedOn w:val="1"/>
    <w:link w:val="11"/>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批注框文本 Char"/>
    <w:basedOn w:val="9"/>
    <w:link w:val="5"/>
    <w:semiHidden/>
    <w:qFormat/>
    <w:uiPriority w:val="99"/>
    <w:rPr>
      <w:sz w:val="18"/>
      <w:szCs w:val="18"/>
    </w:rPr>
  </w:style>
  <w:style w:type="character" w:customStyle="1" w:styleId="11">
    <w:name w:val="页脚 Char"/>
    <w:basedOn w:val="9"/>
    <w:link w:val="6"/>
    <w:qFormat/>
    <w:uiPriority w:val="99"/>
    <w:rPr>
      <w:sz w:val="18"/>
      <w:szCs w:val="18"/>
    </w:rPr>
  </w:style>
  <w:style w:type="character" w:customStyle="1" w:styleId="12">
    <w:name w:val="页眉 Char"/>
    <w:basedOn w:val="9"/>
    <w:link w:val="7"/>
    <w:qFormat/>
    <w:uiPriority w:val="99"/>
    <w:rPr>
      <w:sz w:val="18"/>
      <w:szCs w:val="18"/>
    </w:rPr>
  </w:style>
  <w:style w:type="paragraph" w:customStyle="1" w:styleId="13">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14">
    <w:name w:val="List Paragraph"/>
    <w:basedOn w:val="1"/>
    <w:qFormat/>
    <w:uiPriority w:val="34"/>
    <w:pPr>
      <w:ind w:firstLine="420" w:firstLineChars="200"/>
    </w:pPr>
  </w:style>
  <w:style w:type="character" w:customStyle="1" w:styleId="15">
    <w:name w:val="font01"/>
    <w:basedOn w:val="9"/>
    <w:qFormat/>
    <w:uiPriority w:val="0"/>
    <w:rPr>
      <w:rFonts w:hint="eastAsia" w:ascii="宋体" w:hAnsi="宋体" w:eastAsia="宋体" w:cs="宋体"/>
      <w:color w:val="000000"/>
      <w:sz w:val="22"/>
      <w:szCs w:val="22"/>
      <w:u w:val="none"/>
    </w:rPr>
  </w:style>
  <w:style w:type="character" w:customStyle="1" w:styleId="16">
    <w:name w:val="font21"/>
    <w:basedOn w:val="9"/>
    <w:qFormat/>
    <w:uiPriority w:val="0"/>
    <w:rPr>
      <w:rFonts w:hint="eastAsia" w:ascii="宋体" w:hAnsi="宋体" w:eastAsia="宋体" w:cs="宋体"/>
      <w:color w:val="000000"/>
      <w:sz w:val="24"/>
      <w:szCs w:val="24"/>
      <w:u w:val="none"/>
    </w:rPr>
  </w:style>
  <w:style w:type="character" w:customStyle="1" w:styleId="17">
    <w:name w:val="font1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25</Pages>
  <Words>696</Words>
  <Characters>706</Characters>
  <Lines>70</Lines>
  <Paragraphs>19</Paragraphs>
  <TotalTime>221</TotalTime>
  <ScaleCrop>false</ScaleCrop>
  <LinksUpToDate>false</LinksUpToDate>
  <CharactersWithSpaces>715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2020-07-05T02:32:00Z</dcterms:created>
  <dc:creator>李航 null</dc:creator>
  <cp:lastModifiedBy>lg凌</cp:lastModifiedBy>
  <cp:lastPrinted>2025-07-30T11:15:00Z</cp:lastPrinted>
  <dcterms:modified xsi:type="dcterms:W3CDTF">2025-10-20T09:57:13Z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7A1C3578E228441B8071CE7AAE66514C</vt:lpwstr>
  </property>
  <property fmtid="{D5CDD505-2E9C-101B-9397-08002B2CF9AE}" pid="4" name="KSOTemplateDocerSaveRecord">
    <vt:lpwstr>eyJoZGlkIjoiZjZmNGE1NDQ0NzI0OTg4N2FlODNiOGEyMmNlZjE5OTQiLCJ1c2VySWQiOiI2ODQ5ODQxNzkifQ==</vt:lpwstr>
  </property>
</Properties>
</file>