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2"/>
        <w:jc w:val="center"/>
        <w:rPr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3BDF5AB8">
      <w:pPr>
        <w:pStyle w:val="12"/>
        <w:jc w:val="center"/>
        <w:rPr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60CA4575">
      <w:pPr>
        <w:pStyle w:val="12"/>
        <w:jc w:val="center"/>
        <w:rPr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15EB31D">
      <w:pPr>
        <w:pStyle w:val="12"/>
        <w:jc w:val="center"/>
        <w:rPr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376C8602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年度</w:t>
      </w:r>
    </w:p>
    <w:p w14:paraId="6934EBE9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岳阳市纪委监委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部门决算</w:t>
      </w:r>
    </w:p>
    <w:p w14:paraId="3A699C16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72C8FB58">
      <w:pPr>
        <w:pStyle w:val="12"/>
        <w:jc w:val="center"/>
        <w:rPr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25018D25">
      <w:pPr>
        <w:pStyle w:val="12"/>
        <w:jc w:val="center"/>
        <w:rPr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6311DFC7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59C483D">
      <w:pPr>
        <w:pStyle w:val="12"/>
        <w:spacing w:line="500" w:lineRule="exact"/>
        <w:jc w:val="both"/>
        <w:rPr>
          <w:b/>
          <w:bCs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</w:p>
    <w:p w14:paraId="24F3309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录</w:t>
      </w:r>
    </w:p>
    <w:p w14:paraId="62E131FC">
      <w:pPr>
        <w:pStyle w:val="12"/>
        <w:spacing w:line="500" w:lineRule="exact"/>
        <w:jc w:val="center"/>
        <w:rPr>
          <w:rFonts w:hint="eastAsia"/>
          <w:b/>
          <w:bCs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</w:p>
    <w:p w14:paraId="6CBD0C22">
      <w:pPr>
        <w:pStyle w:val="12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概况</w:t>
      </w:r>
    </w:p>
    <w:p w14:paraId="060CB1DC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一、部门职责</w:t>
      </w:r>
    </w:p>
    <w:p w14:paraId="315E49DA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二、机构设置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及决算单位构成</w:t>
      </w:r>
    </w:p>
    <w:p w14:paraId="3CE431DD">
      <w:pPr>
        <w:pStyle w:val="12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部门决算表</w:t>
      </w:r>
    </w:p>
    <w:p w14:paraId="4B1DE222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一、收入支出决算总表</w:t>
      </w:r>
    </w:p>
    <w:p w14:paraId="28DAEA9B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二、收入决算表</w:t>
      </w:r>
    </w:p>
    <w:p w14:paraId="4189E141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三、支出决算表</w:t>
      </w:r>
    </w:p>
    <w:p w14:paraId="0621647E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四、财政拨款收入支出决算总表</w:t>
      </w:r>
    </w:p>
    <w:p w14:paraId="28E0B171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五、一般公共预算财政拨款支出决算表</w:t>
      </w:r>
    </w:p>
    <w:p w14:paraId="0A1DA969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六、一般公共预算财政拨款基本支出决算明细表</w:t>
      </w:r>
    </w:p>
    <w:p w14:paraId="62E9A333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七、政府性基金预算财政拨款收入支出决算表</w:t>
      </w:r>
    </w:p>
    <w:p w14:paraId="316661B6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八、国有资本经营预算财政拨款支出决算表</w:t>
      </w:r>
    </w:p>
    <w:p w14:paraId="23827588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九、财政拨款“三公”经费支出决算表</w:t>
      </w:r>
    </w:p>
    <w:p w14:paraId="69B4707F">
      <w:pPr>
        <w:pStyle w:val="12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部门决算情况说明</w:t>
      </w:r>
    </w:p>
    <w:p w14:paraId="30D2819C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国有资本经营预算财政拨款支出决算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十三、关于国有资产占用情况说明</w:t>
      </w:r>
    </w:p>
    <w:p w14:paraId="5BD7D26C">
      <w:pPr>
        <w:pStyle w:val="12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十四、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绩效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情况的说明</w:t>
      </w:r>
    </w:p>
    <w:p w14:paraId="51852483">
      <w:pPr>
        <w:pStyle w:val="12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名词解释</w:t>
      </w:r>
    </w:p>
    <w:p w14:paraId="7D866A9C">
      <w:pPr>
        <w:pStyle w:val="12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2E7F14A9">
      <w:pP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br w:type="page"/>
      </w:r>
    </w:p>
    <w:p w14:paraId="63F58042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1696BB57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1095DEAB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0DEEC249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第一部分</w:t>
      </w:r>
    </w:p>
    <w:p w14:paraId="5C6A94F8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EF69A9D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岳阳市纪委监委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概况</w:t>
      </w:r>
    </w:p>
    <w:p w14:paraId="77A0C778">
      <w:pPr>
        <w:pStyle w:val="2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397AC3FB">
      <w:pPr>
        <w:pStyle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1469560B">
      <w:pP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br w:type="page"/>
      </w:r>
    </w:p>
    <w:p w14:paraId="311ABA5E">
      <w:pP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5E857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部门职责</w:t>
      </w:r>
    </w:p>
    <w:p w14:paraId="30307305">
      <w:pPr>
        <w:keepNext/>
        <w:keepLines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根据《中共岳阳市纪律检查委员会、岳阳市监察委员会机关职能配置、内设机构和人员编制规定》，市纪委与市监委合署办公，实行一套工作机构、两个机关名称，履行党的纪律检查和国家监察两项职责。</w:t>
      </w:r>
    </w:p>
    <w:p w14:paraId="2DC82B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二、机构设置及决算单位构成</w:t>
      </w:r>
    </w:p>
    <w:p w14:paraId="1D40BB4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（一）内设机构设置。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岳阳市纪委监委设置24个副处级内设机构和2个正科级内设机构。24个副处级机构：综合部门4个，即办公室、组织部、宣传部、调研法规室；监督执纪部门20个，即党风政风监督室、信访室、案件监督管理室、第一至第十五纪检监察室、案件审理室、纪检监察干部监督室。2个正科级内设机构：信息技术保障室、财务科。机关党委、机关纪委按照章程设置，机关工会、离退休人员管理服务科按相关规定设置。</w:t>
      </w:r>
    </w:p>
    <w:p w14:paraId="4E70FDC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委巡察办是中共岳阳市委巡察工作领导小组的日常办事机构，作为市委工作机关，为正处级，设在中共岳阳市纪律检查委员会。主要负责：传达贯彻中央、省委、市委、市委巡察工作领导小组的决策和部署；承担巡察工作有关的政策研究、制度建设等工作；统筹协调指导市委巡察组开展工作；协调指导县市区党委开展巡察等工作。设置3个正科级内设机构：综合联络科、巡察科、督办科。市委巡察办下设巡察事务中心，为正科级公益一类事业单位。负责全市巡查机构信息化建设工作，巡察信息资料的全面收集、统计分析、结果运用，以及参与集中巡察、调研等工作。</w:t>
      </w:r>
    </w:p>
    <w:p w14:paraId="227067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岳阳市纪委监委下设案件管理中心，为正科级公益一类事业单位。负责为监督执纪问责和监督调查处置提供必要的场所和安全管理、后勤保障服务等。</w:t>
      </w:r>
    </w:p>
    <w:p w14:paraId="56D305C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岳阳市纪委监委下设市纪委监委事务中心，为正科级公益一类事业单位。负责市纪委市监委网站的管理维护与日常运行，权威发布重大案例及重要信息，承接市纪委监委其他政事分开的辅助性、服务性等事务性工作等。</w:t>
      </w:r>
    </w:p>
    <w:p w14:paraId="0B10FA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岳阳市纪委监委设置21个派驻纪检监察组：驻市委办公室纪检监察组、驻市委组织部纪检监察组、驻市委宣传部纪检监察组、驻市委政法委员会纪检监察组、驻市人大机关纪检监察组、驻市人民政府办公室纪检监察组、驻市政协机关纪检监察组、驻市发展和改革委员会纪检监察组、驻市农业农村局纪检监察组、驻市生态环境局纪检监察组、驻市交通运输局纪检监察组、驻市住房和城乡建设局纪检监察组、驻市城市管理和综合执法局纪检监察组、驻市卫生健康委员会纪检监察组、驻市财政局纪检监察组、驻市市场监督管理局纪检监察组、驻市自然资源和规划局纪检监察组、驻市人民政府国有资产监督管理委员会纪检监察组、驻市人力资源和社会保障局纪检监察组、驻市教育体育局纪检监察组、驻市公安局纪检监察组。派驻纪检监察组均设置内设机构综合科。</w:t>
      </w:r>
    </w:p>
    <w:p w14:paraId="5B2EEC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纪委市监委派驻纪检监察组履行纪检、监察两项职能。派驻机构对派驻它的机关负责，接受其直接领导。派驻机构按照干部管理权限和派驻它的机关的授权履行监督、执纪、问责和监督、调查、处置职责。驻在部门具有行业管理职能的，派驻机构可以根据授权对驻在单位管理的行业、系统实施党内监督和国家监察。</w:t>
      </w:r>
    </w:p>
    <w:p w14:paraId="38F8B7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（二）决算单位构成。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中共岳阳市纪律检查委员会202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年部门决算汇总公开单位构成包括：中共岳阳市纪律检查委员会单位本级（含市纪委监委事务中心及市委巡察办及其事务中心）以及市纪委监委案件管理中心。</w:t>
      </w:r>
    </w:p>
    <w:p w14:paraId="381527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E56614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0B4D569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B1D6CBC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D6C31E4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8828498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1DCBA47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43C3A1E8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3406D5B6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661BBFC8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第二部分</w:t>
      </w:r>
    </w:p>
    <w:p w14:paraId="5FB02ED5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3860F185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部门决算表</w:t>
      </w:r>
    </w:p>
    <w:p w14:paraId="50A5962C">
      <w:pPr>
        <w:pStyle w:val="12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（见附件）</w:t>
      </w:r>
    </w:p>
    <w:p w14:paraId="325AF5B5">
      <w:pPr>
        <w:pStyle w:val="12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</w:p>
    <w:p w14:paraId="0568D1B8">
      <w:pPr>
        <w:pStyle w:val="12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</w:p>
    <w:p w14:paraId="6EEAB3EF"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4BC20D28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7245D2B2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42182909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7804FBAA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第三部分</w:t>
      </w:r>
    </w:p>
    <w:p w14:paraId="7D53C949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F77A5A6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2024年度部门决算情况说明</w:t>
      </w:r>
    </w:p>
    <w:p w14:paraId="17862F93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</w:pPr>
    </w:p>
    <w:p w14:paraId="6EEC30AB">
      <w:pP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  <w:br w:type="page"/>
      </w:r>
    </w:p>
    <w:p w14:paraId="0C3925AC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</w:pPr>
    </w:p>
    <w:p w14:paraId="111D7AB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决算编制时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至“金额单位：元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本套部门决算文字说明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和公开表格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转换为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金额单位：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万元”，可能导致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以下文字说明中的各项数据取数以及公开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表格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中的各项数据取数之间存在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0.01的尾数差异。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2、以下文字说明中，部分科目由于预算数为0，无法计算完成年初预算的百分比，故未描述“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完成年初预算的XX%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411C0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一、收入支出决算总体情况说明</w:t>
      </w:r>
    </w:p>
    <w:p w14:paraId="0E0052D8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/>
          <w:i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年度收、支总计12971.31万元。与上年相比，增加3567.4万元，增长37.94%，主要是因为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留置场所系全市统管统用，我委承担了县市区纪委监委办理留置案件的大部分成本，因留置案件较上年增长118%，相关费用大幅增加；②随着全面从严治党向纵深推进，办案数量大幅上升，全年结案数同比增长20.6%，处分人数同比增长16.6%，导致相关办案费用涨幅较大；③因2023年年终关账规则变更，导致2024年支付了一批本该在上年度结算的费用；④纪检监察干部总人数净增加23人，而且实行减组增室后由派驻机构转入机关办公人数增加41人，相关费用相应增加；⑤加强廉洁文化建设，新增专项经费支出；⑥2024年系外查点全面运行第一年，工作经费增加。</w:t>
      </w:r>
    </w:p>
    <w:p w14:paraId="07DA9E3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二、收入决算情况说明</w:t>
      </w:r>
    </w:p>
    <w:p w14:paraId="2A53B2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年度收入合计12929.43万元，其中：财政拨款收入12913.41万元，占99.88%；上级补助收入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万元；事业收入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万元；经营收入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万元；附属单位上缴收入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万元；其他收入16.03万元，占0.12%。</w:t>
      </w:r>
    </w:p>
    <w:p w14:paraId="2D1A2B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三、支出决算情况说明</w:t>
      </w:r>
    </w:p>
    <w:p w14:paraId="2822293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年度支出合计12946.00万元，其中：基本支出4723.99万元，占36.49%；项目支出8222.01万元，占63.51%；上缴上级支出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万元；经营支出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万元；对附属单位补助支出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698575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四、财政拨款收入支出决算总体情况说明</w:t>
      </w:r>
    </w:p>
    <w:p w14:paraId="6C944F09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/>
          <w:i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年度财政拨款收、支总计12913.41万元，与上年相比，增加3729.34万元,增长40.61%，主要是因为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留置场所系全市统管统用，我委承担了县市区纪委监委办理留置案件的大部分成本，因留置案件较上年增长118%，相关费用大幅增加；②随着全面从严治党向纵深推进，办案数量大幅上升，全年结案数同比增长20.6%，处分人数同比增长16.6%，导致相关办案费用涨幅较大；③因2023年年终关账规则变更，导致2024年支付了一批本该在上年度结算的费用；④纪检监察干部总人数净增加23人，而且实行减组增室后由派驻机构转入机关办公人数增加41人，相关费用相应增加；⑤加强廉洁文化建设，新增专项经费支出；⑥2024年系外查点全面运行第一年，工作经费增加。</w:t>
      </w:r>
    </w:p>
    <w:p w14:paraId="4BB30A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五、一般公共预算财政拨款支出决算情况说明</w:t>
      </w:r>
    </w:p>
    <w:p w14:paraId="60232831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（一）一般公共预算财政拨款支出决算总体情况</w:t>
      </w:r>
    </w:p>
    <w:p w14:paraId="59401C8C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/>
          <w:i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年度财政拨款支出12913.41万元，占本年支出合计的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%，与上年相比，增加3729.34万元,增长40.61%，主要是因为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留置场所系全市统管统用，我委承担了县市区纪委监委办理留置案件的大部分成本，因留置案件较上年增长118%，相关费用大幅增加；②随着全面从严治党向纵深推进，办案数量大幅上升，全年结案数同比增长20.6%，处分人数同比增长16.6%，导致相关办案费用涨幅较大；③因2023年年终关账规则变更，导致2024年支付了一批本该在上年度结算的费用；④纪检监察干部总人数净增加23人，而且实行减组增室后由派驻机构转入机关办公人数增加41人，相关费用相应增加；⑤加强廉洁文化建设，新增专项经费支出；⑥2024年系外查点全面运行第一年，工作经费增加。</w:t>
      </w:r>
    </w:p>
    <w:p w14:paraId="66C54C85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（二）一般公共预算财政拨款支出决算结构情况</w:t>
      </w:r>
    </w:p>
    <w:p w14:paraId="100B56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政拨款支出12913.41万元，主要用于以下方面：一般公共服务（类）支出11793.26万元，占91.33%；社会保障和就业（类）支出569.69万元，占4.41%；卫生健康（类）支出254.96万元，占1.97%；住房保障（类）支出295.49万元，占2.29%。</w:t>
      </w:r>
    </w:p>
    <w:p w14:paraId="5CDBADF9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（三）一般公共预算财政拨款支出决算具体情况</w:t>
      </w:r>
    </w:p>
    <w:p w14:paraId="1BD9535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年度财政拨款支出年初预算数为11474.28万元，支出决算数为12913.41万元，完成年初预算的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%，其中：</w:t>
      </w:r>
    </w:p>
    <w:p w14:paraId="2C3F80A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一般公共服务支出（类）纪检监察事务（款）行政运行（项）</w:t>
      </w:r>
    </w:p>
    <w:p w14:paraId="3712CBB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年初预算为9855.8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万元，支出决算为9549.38万元，完成年初预算的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96.89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%，决算数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年初预算数的主要原因是：年末时相关科目余额不足，进行指标调剂。</w:t>
      </w:r>
    </w:p>
    <w:p w14:paraId="4491CA9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一般公共服务支出（类）纪检监察事务（款）一般行政管理事务（项）</w:t>
      </w:r>
    </w:p>
    <w:p w14:paraId="558DB1F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万元，支出决算为1819.53万元，完成年初预算的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466.55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%，决算数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于年初预算数的主要原因是：年末时相关科目余额不足，进行指标调剂。</w:t>
      </w:r>
    </w:p>
    <w:p w14:paraId="1DFE9B7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一般公共服务支出（类）纪检监察事务（款）其他纪检监察事务支出（项）</w:t>
      </w:r>
    </w:p>
    <w:p w14:paraId="2E4136C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年初预算为0万元，支出决算为424.35万元，决算数大于年初预算数的主要原因是：年末时相关科目余额不足，进行指标调剂。</w:t>
      </w:r>
    </w:p>
    <w:p w14:paraId="1DA6AD0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社会保障和就业支出（类）行政事业单位养老支出（款）行政单位离退休（项）。</w:t>
      </w:r>
    </w:p>
    <w:p w14:paraId="4291F39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年初预算为174.42万元，支出决算为169.85万元，完成年初预算的9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7.38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%，决算数与年初预算数基本一致，一致的主要原因是：严格按照预算金额安排支出。</w:t>
      </w:r>
    </w:p>
    <w:p w14:paraId="7C09934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社会保障和就业支出（类）行政事业单位养老支出（款）机关事业单位基本养老保险缴费支出（项）</w:t>
      </w:r>
    </w:p>
    <w:p w14:paraId="584D18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年初预算为404.5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万元，支出决算为370.52万元，完成年初预算的9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%，决算数大于年初预算数的主要原因是：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人员经费经过年底补差后略有结余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95B3A9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社会保障和就业支出（类）抚恤支出（款）其他优抚支出（项）</w:t>
      </w:r>
    </w:p>
    <w:p w14:paraId="7168B54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年初预算为0万元，支出决算为0.41万元，决算数大于年初预算数的主要原因是：支出退休干部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遗属生活补助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该补助一般在年中下至单位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7DF7C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社会保障和就业支出（类）残疾人事业（款）其他残疾人事业支出（项）</w:t>
      </w:r>
    </w:p>
    <w:p w14:paraId="7B63EEC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年初预算为28.74万元，支出决算为28.74万元，决算数与年初预算数基本一致，一致的主要原因是：严格按照预算金额安排支出。</w:t>
      </w:r>
    </w:p>
    <w:p w14:paraId="13013B8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卫生健康支出（类）行政事业单位医疗（款）行政单位医疗（项）</w:t>
      </w:r>
    </w:p>
    <w:p w14:paraId="6C1F13F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年初预算为158.8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万元，支出决算为158.88万元，完成年初预算的100%，决算数与年初预算数一致，一致的主要原因是：严格按照预算金额安排支出。</w:t>
      </w:r>
    </w:p>
    <w:p w14:paraId="2E53C3C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卫生健康支出（类）行政事业单位医疗（款）公务员医疗补助（项）</w:t>
      </w:r>
    </w:p>
    <w:p w14:paraId="53AB915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年初预算为150.74万元，支出决算为76.90万元，完成年初预算的5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%，决算数小于年初预算数的主要原因是：年末时相关科目余额不足，进行指标调剂。</w:t>
      </w:r>
    </w:p>
    <w:p w14:paraId="7F4A08E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卫生健康支出（类）医疗保障管理事务（款）其他医疗保障管理事务支出（项）</w:t>
      </w:r>
    </w:p>
    <w:p w14:paraId="4E1E4C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年初预算为19.1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万元，支出决算为19.18万元，完成年初预算的100%，决算数与年初预算数一致，一致的主要原因是：严格按照预算金额安排支出。</w:t>
      </w:r>
    </w:p>
    <w:p w14:paraId="466C11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住房保障支出（类）住房改革支出（款）住房公积金（项）</w:t>
      </w:r>
    </w:p>
    <w:p w14:paraId="5B07DAE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年初预算为291.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万元，支出决算为295.49万元，完成年初预算的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101.26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%，决算数与年初预算数基本一致，主要原因是：严格按照预算金额安排支出。</w:t>
      </w:r>
    </w:p>
    <w:p w14:paraId="373E8B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六、一般公共预算财政拨款基本支出决算情况说明</w:t>
      </w:r>
    </w:p>
    <w:p w14:paraId="293AEB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96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一般公共预算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财政拨款基本支出4691.39万元，其中：</w:t>
      </w:r>
    </w:p>
    <w:p w14:paraId="66E44D1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人员经费4107.40万元，占基本支出的87.55%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主要包括基本工资、津贴补贴、奖金、伙食补助费及社保缴费等。</w:t>
      </w:r>
    </w:p>
    <w:p w14:paraId="48A9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公用经费583.99万元，占基本支出的12.45%，主要包括办公费、印刷费、邮电费、劳务费、工会经费等。</w:t>
      </w:r>
    </w:p>
    <w:p w14:paraId="238B27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七、政府性基金预算收入支出决算情况</w:t>
      </w:r>
    </w:p>
    <w:p w14:paraId="7B96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2024年度政府性基金预算财政拨款收入0万元；年初结转和结余0万元；支出0万元，其中基本支出0万元，项目支出0万元；年末结转和结余0万元。</w:t>
      </w:r>
    </w:p>
    <w:p w14:paraId="28BDC77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八、国有资本经营预算财政拨款支出决算情况</w:t>
      </w:r>
    </w:p>
    <w:p w14:paraId="64D1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2024年度国有资本经营预算财政拨款收入0万元；年初结转和结余0万；支出0万元，其中：基本支出0万元，项目支出0万元；年末结转和结余0万元。</w:t>
      </w:r>
    </w:p>
    <w:p w14:paraId="5876C25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财政拨款三公经费支出决算情况说明</w:t>
      </w:r>
    </w:p>
    <w:p w14:paraId="6298EF1D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（一）“三公”经费财政拨款支出决算总体情况说明</w:t>
      </w:r>
    </w:p>
    <w:p w14:paraId="730E9443">
      <w:pPr>
        <w:pStyle w:val="1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2024年度“三公”经费财政拨款支出预算为107.00万元，支出决算为101.46万元，完成预算的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94.82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%；与上年相比增加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%。决算数小于预算数的主要原因是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例行节约，落实过紧日子要求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。决算数大于上年数的主要原因是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①本年支付了上年度部分费用；②办案数量大幅上升，导致公务用车与维护费用增幅较大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352D03A7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（二）“三公”经费财政拨款支出决算具体情况说明</w:t>
      </w:r>
    </w:p>
    <w:p w14:paraId="1CF083E8">
      <w:pPr>
        <w:pStyle w:val="1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因公出国（境）费支出预算为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万元，与上年相比减少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万元。决算数等于预算数，主要原因是我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严格按预算执行决算。决算数小于上年数的主要原因是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未安排因公出国（境）活动。2024年度安排因公出国（境）团组0个，累计0人次。</w:t>
      </w:r>
    </w:p>
    <w:p w14:paraId="65978CAB">
      <w:pPr>
        <w:pStyle w:val="1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公务用车购置费及运行维护费支出预算为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万元，支出决算为94.65万元，完成预算的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94.65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%；与上年相比增加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30.57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47.71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0C76E6C3">
      <w:pPr>
        <w:pStyle w:val="1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公务用车购置费支出预算为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万元，决算数等于预算数，主要原因是我单位严格按预算执行决算；与上年一致，无增减变动，主要原因是两年均未购置公务用车。本单位更新公务用车0辆。</w:t>
      </w:r>
    </w:p>
    <w:p w14:paraId="75A272CE">
      <w:pPr>
        <w:pStyle w:val="1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公务用车运行维护费支出预算为100万元，支出决算为94.65万元，主要是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油费、过路费、维修及维护等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支出，完成预算的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94.65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%；与上年相比增加30.57万元，增长47.71%。决算数小于预算数的主要原因是严格按预算执行决算。决算数大于上年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数的主要原因是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①本年支付了上年度部分费用；②因开展防汛督查，导致公务用车与维护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费用大幅增加。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2024年12月31日，我单位开支财政拨款的公务用车保有量为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辆。</w:t>
      </w:r>
    </w:p>
    <w:p w14:paraId="03932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公务接待费支出预算为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6.82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万元，完成预算的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97.43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%；与上年相比减少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9.56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58.36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%。决算数小于预算数的主要原因是严格按预算执行决算。决算数小于上年数的主要原因是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从严控制“三公”经费支出，加强公务接待管理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。2024年度共接待来访团组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个、来宾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人次，主要是纪检监察系统业务督导调研考察发生的接待支出。</w:t>
      </w:r>
    </w:p>
    <w:p w14:paraId="3D06AC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、关于机关运行经费支出说明</w:t>
      </w:r>
    </w:p>
    <w:p w14:paraId="38BA3ACD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本部门202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年度机关运行经费支出583.99万元，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比上年决算数减少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25.04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厉行节约，进一步落实过紧日子要求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684E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、一般性支出情况说明</w:t>
      </w:r>
    </w:p>
    <w:p w14:paraId="5E588319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年度，会议费年初预算5万元，支出决算为5万元，完成年初预算的100%。用于召开市纪委全会、市委巡察工作会议、信访工作等会议，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，内容为市纪委全会、市委巡察工作、信访工作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F19328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培训费年初预算5万元，支出决算为0万元。</w:t>
      </w:r>
    </w:p>
    <w:p w14:paraId="54FBCC49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本单位无举办节庆、晚会、论坛、赛事等活动的预算和支出决算数。</w:t>
      </w:r>
    </w:p>
    <w:p w14:paraId="252D0B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、关于政府采购支出说明</w:t>
      </w:r>
    </w:p>
    <w:p w14:paraId="4120C9C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本部门202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年度政府采购支出总额1385.0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万元，其中：政府采购货物支出250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69万元、政府采购工程支出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万元、政府采购服务支出1115.78万元。授予中小企业合同金额1385.0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万元，占政府采购支出总额的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%，其中：授予小微企业合同金额1357.31万元，占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授予中小企业合同金额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%。货物采购授予中小企业合同金额占货物支出金额的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%，工程采购授予中小企业合同金额占工程支出金额的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%，服务采购授予中小企业合同金额占服务支出金额的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246A0D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、关于国有资产占用情况说明</w:t>
      </w:r>
    </w:p>
    <w:p w14:paraId="0044E3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共有车辆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辆，其中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，副部（省）级及以上领导用车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机要通信用车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辆、特种专业技术用车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离退休干部服务用车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辆、其他用车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辆；单位价值100万元以上设备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（不含车辆）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台（套）。</w:t>
      </w:r>
    </w:p>
    <w:p w14:paraId="0A8224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、关于202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情况的说明</w:t>
      </w:r>
    </w:p>
    <w:p w14:paraId="0EB60D67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（一）绩效评价工作开展情况</w:t>
      </w:r>
    </w:p>
    <w:p w14:paraId="2559DDC6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绩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效自评开展情况。组织对2024年度本部门整体支出开展绩效自评，涉及项目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个，共涉及资金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6814.6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万元。其中，一般公共预算项目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6814.6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万元，占一般公共预算支出总额的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%；政府性基金预算项目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万元；国有资本经营预算项目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社会保险基金预算项目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66360B36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部门评价开展情况。组织对所属单位2024年度“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市纪委办案经费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廉洁文化经费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个项目开展了部门评价，涉及一般公共预算支出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6814.6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万元，政府性基金预算支出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万元，国有资本经营预算支出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万元，社会保险基金预算支出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004D01B3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事前绩效评估开展情况。本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及所属单位本年度未新增重大政策和重大项目，所以无事前绩效评估开展情况。</w:t>
      </w:r>
    </w:p>
    <w:p w14:paraId="6FC8205B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（二）绩效评价结果</w:t>
      </w:r>
    </w:p>
    <w:p w14:paraId="3F32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绩效自评结果。2024年度本部门整体支出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全年预算数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12445.71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万元，执行数12929.43万元，完成预算的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，绩效自评得分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96.81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，评价等级为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。绩效目标完成情况：2024年，我委严格按市财政局的批复执行预算，“三公”经费、会议费等一般公务支出严格控制在预算标准内，增强了职能履行和重点工作经费保障能力；加快预算执行进度，提高资金使用绩效；持续推进预决算和“三公”经费公开，按照市财政局统一部署，按时按质完成我委及其下属机构预决算公开，规范财务管理；持续推进预算绩效管理，提高资金使用绩效；加强财务监督检查，财务管理水平稳步提高。</w:t>
      </w:r>
    </w:p>
    <w:p w14:paraId="5DC4775D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前绩效评估结果。本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及所属单位本年度未开展事前绩效评估，所以无事前绩效评估结果。</w:t>
      </w:r>
    </w:p>
    <w:p w14:paraId="2C89E516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评价结果应用情况</w:t>
      </w:r>
    </w:p>
    <w:p w14:paraId="58AA58BD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预算绩效管理开展情况、绩效目标和绩效评价报告等，已在市政府部门财政预决算公开平台上向社会公开，详见附件。</w:t>
      </w:r>
    </w:p>
    <w:p w14:paraId="3A01B6B0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/>
        <w:ind w:firstLine="14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br w:type="page"/>
      </w:r>
    </w:p>
    <w:p w14:paraId="6C4B466D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1616C0D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6877CF1C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6A5A782C">
      <w:pPr>
        <w:pStyle w:val="12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70"/>
          <w:szCs w:val="70"/>
          <w14:textFill>
            <w14:solidFill>
              <w14:schemeClr w14:val="tx1"/>
            </w14:solidFill>
          </w14:textFill>
        </w:rPr>
      </w:pPr>
    </w:p>
    <w:p w14:paraId="41992F86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名词解释</w:t>
      </w:r>
    </w:p>
    <w:p w14:paraId="571298D0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331F884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CCAD852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74FE3C9"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93F6BC2">
      <w:p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4BC716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一、“三公”经费：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二、机关运行经费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指为保障行政单位（包括参照公务员法管理的事业单位）运行用于购买货物和服务的各项资金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，包括办公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费、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2AE81CE8">
      <w:pPr>
        <w:pStyle w:val="12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47518A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80CF8E4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C17744C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B8BABF4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942C0DC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E2D1EEF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F6ABC3B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1BE6437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5344CBA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C9170AD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9D3A91E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D2A994E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9CBCCA7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7806EBD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C18BB03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9230CAD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24E0A54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96F732E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54ECFD8">
      <w:pPr>
        <w:pStyle w:val="3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1C67B38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D131F3E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CFBCE3C">
      <w:pPr>
        <w:pStyle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C3DE094">
      <w:pPr>
        <w:pStyle w:val="12"/>
        <w:jc w:val="both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C1858E3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部分</w:t>
      </w:r>
    </w:p>
    <w:p w14:paraId="592BF6CA">
      <w:pPr>
        <w:pStyle w:val="12"/>
        <w:jc w:val="both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:lang w:eastAsia="zh-CN"/>
          <w14:textFill>
            <w14:solidFill>
              <w14:schemeClr w14:val="tx1"/>
            </w14:solidFill>
          </w14:textFill>
        </w:rPr>
      </w:pPr>
    </w:p>
    <w:p w14:paraId="490142D3">
      <w:pPr>
        <w:pStyle w:val="12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0"/>
          <w:szCs w:val="70"/>
          <w:lang w:eastAsia="zh-CN"/>
          <w14:textFill>
            <w14:solidFill>
              <w14:schemeClr w14:val="tx1"/>
            </w14:solidFill>
          </w14:textFill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年度部门整体支出绩效评价报告</w:t>
      </w:r>
    </w:p>
    <w:p w14:paraId="045AD96C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814" w:right="1587" w:bottom="181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791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3FAB6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3FAB6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4D0D16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064139"/>
    <w:rsid w:val="04237C86"/>
    <w:rsid w:val="059958AD"/>
    <w:rsid w:val="06C857E7"/>
    <w:rsid w:val="08C24A73"/>
    <w:rsid w:val="0CE66A80"/>
    <w:rsid w:val="0E674319"/>
    <w:rsid w:val="10E23DBB"/>
    <w:rsid w:val="11944E2C"/>
    <w:rsid w:val="12583BA5"/>
    <w:rsid w:val="13BA5B9C"/>
    <w:rsid w:val="1CBD3165"/>
    <w:rsid w:val="1D266050"/>
    <w:rsid w:val="1D97DEFF"/>
    <w:rsid w:val="1DFF72E5"/>
    <w:rsid w:val="1EFC6F07"/>
    <w:rsid w:val="1F0527A6"/>
    <w:rsid w:val="20DB6E35"/>
    <w:rsid w:val="21134B3E"/>
    <w:rsid w:val="214831CD"/>
    <w:rsid w:val="22AC03C2"/>
    <w:rsid w:val="22BB4AAE"/>
    <w:rsid w:val="27A110F5"/>
    <w:rsid w:val="283B15FE"/>
    <w:rsid w:val="2AF855C0"/>
    <w:rsid w:val="2B1113DD"/>
    <w:rsid w:val="2C187524"/>
    <w:rsid w:val="2FDF85B8"/>
    <w:rsid w:val="2FFFEE04"/>
    <w:rsid w:val="303A2892"/>
    <w:rsid w:val="31C95635"/>
    <w:rsid w:val="32F10162"/>
    <w:rsid w:val="34DF85B0"/>
    <w:rsid w:val="37A558DC"/>
    <w:rsid w:val="387F1F2D"/>
    <w:rsid w:val="39564761"/>
    <w:rsid w:val="3B8F36BC"/>
    <w:rsid w:val="3C29300F"/>
    <w:rsid w:val="3D7F55DD"/>
    <w:rsid w:val="41D852BC"/>
    <w:rsid w:val="41E06866"/>
    <w:rsid w:val="43EB5BA5"/>
    <w:rsid w:val="48945CB4"/>
    <w:rsid w:val="48E23A0F"/>
    <w:rsid w:val="491FF225"/>
    <w:rsid w:val="4B2A11D3"/>
    <w:rsid w:val="4EC310A1"/>
    <w:rsid w:val="4FFD214C"/>
    <w:rsid w:val="5133250E"/>
    <w:rsid w:val="52E64C29"/>
    <w:rsid w:val="5352765A"/>
    <w:rsid w:val="54256E91"/>
    <w:rsid w:val="552C30CC"/>
    <w:rsid w:val="5777D4F5"/>
    <w:rsid w:val="57F22B6F"/>
    <w:rsid w:val="59DD8326"/>
    <w:rsid w:val="5DEF592A"/>
    <w:rsid w:val="5E912F6A"/>
    <w:rsid w:val="5FC6BB1E"/>
    <w:rsid w:val="5FF720F1"/>
    <w:rsid w:val="622964C1"/>
    <w:rsid w:val="62F3116D"/>
    <w:rsid w:val="64462101"/>
    <w:rsid w:val="65D71D66"/>
    <w:rsid w:val="67FF5C0B"/>
    <w:rsid w:val="69236EB5"/>
    <w:rsid w:val="6BAA4A2F"/>
    <w:rsid w:val="6D5276D7"/>
    <w:rsid w:val="6DDEC5C0"/>
    <w:rsid w:val="6EFC0924"/>
    <w:rsid w:val="6FB74722"/>
    <w:rsid w:val="6FEF8B7E"/>
    <w:rsid w:val="717FE77F"/>
    <w:rsid w:val="71A6591B"/>
    <w:rsid w:val="727A02F8"/>
    <w:rsid w:val="737D59BA"/>
    <w:rsid w:val="737F32B1"/>
    <w:rsid w:val="73BD3FCA"/>
    <w:rsid w:val="75D31519"/>
    <w:rsid w:val="776BDA01"/>
    <w:rsid w:val="77C37683"/>
    <w:rsid w:val="78402C6D"/>
    <w:rsid w:val="79FF515B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E00FD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7122</Words>
  <Characters>7844</Characters>
  <Lines>63</Lines>
  <Paragraphs>18</Paragraphs>
  <TotalTime>3</TotalTime>
  <ScaleCrop>false</ScaleCrop>
  <LinksUpToDate>false</LinksUpToDate>
  <CharactersWithSpaces>7872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付敏</cp:lastModifiedBy>
  <cp:lastPrinted>2024-08-11T02:20:00Z</cp:lastPrinted>
  <dcterms:modified xsi:type="dcterms:W3CDTF">2025-10-15T03:42:32Z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7BF1D86E8E494D7EA37D17934DF10326_13</vt:lpwstr>
  </property>
  <property fmtid="{D5CDD505-2E9C-101B-9397-08002B2CF9AE}" pid="4" name="KSOTemplateDocerSaveRecord">
    <vt:lpwstr>eyJoZGlkIjoiMzEwNTM5NzYwMDRjMzkwZTVkZjY2ODkwMGIxNGU0OTUiLCJ1c2VySWQiOiIxNDU4NTk3MTA1In0=</vt:lpwstr>
  </property>
</Properties>
</file>