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624E6">
      <w:pPr>
        <w:pStyle w:val="13"/>
        <w:jc w:val="center"/>
        <w:rPr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7519FBAE">
      <w:pPr>
        <w:pStyle w:val="13"/>
        <w:jc w:val="center"/>
        <w:rPr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6AB5E7BA">
      <w:pPr>
        <w:pStyle w:val="13"/>
        <w:jc w:val="center"/>
        <w:rPr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5EFA3417">
      <w:pPr>
        <w:pStyle w:val="13"/>
        <w:jc w:val="center"/>
        <w:rPr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39474989">
      <w:pPr>
        <w:pStyle w:val="13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2024年度</w:t>
      </w:r>
    </w:p>
    <w:p w14:paraId="1A77E579">
      <w:pPr>
        <w:pStyle w:val="13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岳阳市纪委市监委</w:t>
      </w:r>
    </w:p>
    <w:p w14:paraId="07AE0626">
      <w:pPr>
        <w:pStyle w:val="13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案件管理中心单位决算</w:t>
      </w:r>
    </w:p>
    <w:p w14:paraId="056C6C77">
      <w:pPr>
        <w:pStyle w:val="13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79A0E9EF">
      <w:pPr>
        <w:pStyle w:val="13"/>
        <w:jc w:val="center"/>
        <w:rPr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57935ED3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31ACF2D4">
      <w:pPr>
        <w:pStyle w:val="13"/>
        <w:spacing w:line="540" w:lineRule="exact"/>
        <w:jc w:val="center"/>
        <w:rPr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4F8E992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录</w:t>
      </w:r>
    </w:p>
    <w:p w14:paraId="53080367">
      <w:pPr>
        <w:pStyle w:val="13"/>
        <w:spacing w:line="500" w:lineRule="exact"/>
        <w:jc w:val="center"/>
        <w:rPr>
          <w:rFonts w:hint="eastAsia"/>
          <w:b/>
          <w:bCs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</w:pPr>
    </w:p>
    <w:p w14:paraId="2A4C9683">
      <w:pPr>
        <w:pStyle w:val="13"/>
        <w:spacing w:line="500" w:lineRule="exact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第一部分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岳阳市纪委市监委案件管理中心单位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概况</w:t>
      </w:r>
    </w:p>
    <w:p w14:paraId="67CE44D6">
      <w:pPr>
        <w:pStyle w:val="13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职责</w:t>
      </w:r>
    </w:p>
    <w:p w14:paraId="0A784760">
      <w:pPr>
        <w:pStyle w:val="13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二、机构设置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及决算单位构成</w:t>
      </w:r>
    </w:p>
    <w:p w14:paraId="2319A574">
      <w:pPr>
        <w:pStyle w:val="13"/>
        <w:spacing w:line="500" w:lineRule="exact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第二部分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单位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决算表</w:t>
      </w:r>
    </w:p>
    <w:p w14:paraId="19A4A2AB">
      <w:pPr>
        <w:pStyle w:val="13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一、收入支出决算总表</w:t>
      </w:r>
    </w:p>
    <w:p w14:paraId="3227A5C1">
      <w:pPr>
        <w:pStyle w:val="13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二、收入决算表</w:t>
      </w:r>
    </w:p>
    <w:p w14:paraId="4BBFC95E">
      <w:pPr>
        <w:pStyle w:val="13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三、支出决算表</w:t>
      </w:r>
    </w:p>
    <w:p w14:paraId="672B250A">
      <w:pPr>
        <w:pStyle w:val="13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四、财政拨款收入支出决算总表</w:t>
      </w:r>
    </w:p>
    <w:p w14:paraId="76DFB8DD">
      <w:pPr>
        <w:pStyle w:val="13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五、一般公共预算财政拨款支出决算表</w:t>
      </w:r>
    </w:p>
    <w:p w14:paraId="20BD8F1A">
      <w:pPr>
        <w:pStyle w:val="13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六、一般公共预算财政拨款基本支出决算明细表</w:t>
      </w:r>
    </w:p>
    <w:p w14:paraId="1921E8DB">
      <w:pPr>
        <w:pStyle w:val="13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七、政府性基金预算财政拨款收入支出决算表</w:t>
      </w:r>
    </w:p>
    <w:p w14:paraId="578A7945">
      <w:pPr>
        <w:pStyle w:val="13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八、国有资本经营预算财政拨款支出决算表</w:t>
      </w:r>
    </w:p>
    <w:p w14:paraId="3BF5C281">
      <w:pPr>
        <w:pStyle w:val="13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九、财政拨款“三公”经费支出决算表</w:t>
      </w:r>
    </w:p>
    <w:p w14:paraId="533AB366">
      <w:pPr>
        <w:pStyle w:val="13"/>
        <w:spacing w:line="500" w:lineRule="exact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第三部分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决算情况说明</w:t>
      </w:r>
    </w:p>
    <w:p w14:paraId="670DF1AE">
      <w:pPr>
        <w:pStyle w:val="13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一、收入支出决算总体情况说明</w:t>
      </w:r>
    </w:p>
    <w:p w14:paraId="03D37923">
      <w:pPr>
        <w:spacing w:line="500" w:lineRule="exact"/>
        <w:ind w:firstLine="700" w:firstLineChars="250"/>
        <w:jc w:val="left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二、收入决算情况说明</w:t>
      </w:r>
    </w:p>
    <w:p w14:paraId="6090801A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三、支出决算情况说明</w:t>
      </w:r>
    </w:p>
    <w:p w14:paraId="7F4E9B9C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四、财政拨款收入支出决算总体情况说明</w:t>
      </w:r>
    </w:p>
    <w:p w14:paraId="2392E527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五、一般公共预算财政拨款支出决算情况说明</w:t>
      </w:r>
    </w:p>
    <w:p w14:paraId="2AB39AF7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六、一般公共预算财政拨款基本支出决算情况说明</w:t>
      </w:r>
    </w:p>
    <w:p w14:paraId="7244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七、政府性基金预算收入支出决算情况</w:t>
      </w:r>
    </w:p>
    <w:p w14:paraId="65143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国有资本经营预算财政拨款支出决算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情况</w:t>
      </w:r>
    </w:p>
    <w:p w14:paraId="42A97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九、财政拨款三公经费支出决算情况说明</w:t>
      </w:r>
    </w:p>
    <w:p w14:paraId="38548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十、关于机关运行经费支出说明</w:t>
      </w:r>
    </w:p>
    <w:p w14:paraId="536F8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十一、一般性支出情况说明</w:t>
      </w:r>
    </w:p>
    <w:p w14:paraId="5939B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十二、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关于政府采购支出说明</w:t>
      </w:r>
    </w:p>
    <w:p w14:paraId="4130F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十三、关于国有资产占用情况说明</w:t>
      </w:r>
    </w:p>
    <w:p w14:paraId="56F4355D">
      <w:pPr>
        <w:pStyle w:val="13"/>
        <w:spacing w:line="500" w:lineRule="exact"/>
        <w:ind w:firstLine="700" w:firstLineChars="25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十四、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关于202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绩效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情况的说明</w:t>
      </w:r>
    </w:p>
    <w:p w14:paraId="71013D60">
      <w:pPr>
        <w:pStyle w:val="13"/>
        <w:spacing w:line="500" w:lineRule="exact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第四部分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名词解释</w:t>
      </w:r>
    </w:p>
    <w:p w14:paraId="2CB2F8AC">
      <w:pPr>
        <w:pStyle w:val="13"/>
        <w:spacing w:line="500" w:lineRule="exact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11D887BA">
      <w:pP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br w:type="page"/>
      </w:r>
    </w:p>
    <w:p w14:paraId="63F58042">
      <w:pPr>
        <w:pStyle w:val="13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1696BB57">
      <w:pPr>
        <w:pStyle w:val="13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1095DEAB">
      <w:pPr>
        <w:pStyle w:val="13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154C4D53">
      <w:pPr>
        <w:pStyle w:val="13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 xml:space="preserve">第一部分 </w:t>
      </w:r>
    </w:p>
    <w:p w14:paraId="2DC9644F">
      <w:pPr>
        <w:pStyle w:val="13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3435E25C">
      <w:pPr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岳阳市纪委市监委案件管理中心</w:t>
      </w:r>
    </w:p>
    <w:p w14:paraId="07EBB7B8">
      <w:pPr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单位概况</w:t>
      </w:r>
    </w:p>
    <w:p w14:paraId="2D6A50A6">
      <w:pPr>
        <w:pStyle w:val="8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298E88BF">
      <w:pP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7AA3C8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04C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一、单位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职责</w:t>
      </w:r>
    </w:p>
    <w:p w14:paraId="1E00DD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（一）职能职责。案件管理中心为岳阳市纪委市监委机关下设的直属机构，为正科级公益一类事业单位。负责为监督执纪问责和监督调查处置提供必要的场所和安全管理、后勤保障服务等。</w:t>
      </w:r>
    </w:p>
    <w:p w14:paraId="1FDCC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二、机构设置及决算单位构成</w:t>
      </w:r>
    </w:p>
    <w:p w14:paraId="7CF04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（一）内设机构设置。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岳阳市纪委市监委案件管理中心内设机构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1个，即办公室。</w:t>
      </w:r>
    </w:p>
    <w:p w14:paraId="33F90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（二）决算单位构成。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岳阳市纪委市监委案件管理中心202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年部门决算汇总公开单位构成包括：岳阳市纪委市监委案件管理中心。本单位无独立核算的下属单位，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2024年度单位决算汇总公开单位仅包括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岳阳市纪委市监委案件管理中心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单位本级</w:t>
      </w:r>
    </w:p>
    <w:p w14:paraId="716D315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58E934B">
      <w:pPr>
        <w:pStyle w:val="8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98BB044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2A218E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071CC4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3CD8CE12">
      <w:pPr>
        <w:pStyle w:val="13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4A7E9291">
      <w:pPr>
        <w:pStyle w:val="13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2788812C">
      <w:pPr>
        <w:pStyle w:val="13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2B06E717">
      <w:pPr>
        <w:pStyle w:val="13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第二部分</w:t>
      </w:r>
    </w:p>
    <w:p w14:paraId="6DF6E20A">
      <w:pPr>
        <w:pStyle w:val="13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6878D3A8">
      <w:pPr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单位决算表</w:t>
      </w:r>
    </w:p>
    <w:p w14:paraId="0A7FE11F">
      <w:pPr>
        <w:pStyle w:val="13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（见附件）</w:t>
      </w:r>
    </w:p>
    <w:p w14:paraId="5877BCC6"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72"/>
          <w:szCs w:val="72"/>
          <w:lang w:eastAsia="zh-CN"/>
          <w14:textFill>
            <w14:solidFill>
              <w14:schemeClr w14:val="tx1"/>
            </w14:solidFill>
          </w14:textFill>
        </w:rPr>
      </w:pPr>
    </w:p>
    <w:p w14:paraId="227F92A9"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72"/>
          <w:szCs w:val="72"/>
          <w:lang w:eastAsia="zh-CN"/>
          <w14:textFill>
            <w14:solidFill>
              <w14:schemeClr w14:val="tx1"/>
            </w14:solidFill>
          </w14:textFill>
        </w:rPr>
      </w:pPr>
    </w:p>
    <w:p w14:paraId="043266AE"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72"/>
          <w:szCs w:val="7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72"/>
          <w:szCs w:val="72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7377D577">
      <w:pPr>
        <w:pStyle w:val="13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044BDE06">
      <w:pPr>
        <w:pStyle w:val="13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5B0CD81A">
      <w:pPr>
        <w:pStyle w:val="13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6C36EF99">
      <w:pPr>
        <w:pStyle w:val="13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第三部分</w:t>
      </w:r>
    </w:p>
    <w:p w14:paraId="71AF6FE4">
      <w:pPr>
        <w:pStyle w:val="13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304E1795">
      <w:pPr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2024年度单位决算情况说明</w:t>
      </w:r>
    </w:p>
    <w:p w14:paraId="3172BCD8">
      <w:pPr>
        <w:pStyle w:val="13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70"/>
          <w:szCs w:val="70"/>
          <w14:textFill>
            <w14:solidFill>
              <w14:schemeClr w14:val="tx1"/>
            </w14:solidFill>
          </w14:textFill>
        </w:rPr>
      </w:pPr>
    </w:p>
    <w:p w14:paraId="5D7A5956">
      <w:pPr>
        <w:pStyle w:val="13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70"/>
          <w:szCs w:val="70"/>
          <w14:textFill>
            <w14:solidFill>
              <w14:schemeClr w14:val="tx1"/>
            </w14:solidFill>
          </w14:textFill>
        </w:rPr>
      </w:pPr>
    </w:p>
    <w:p w14:paraId="734BCBBE">
      <w:pPr>
        <w:rPr>
          <w:rFonts w:hint="eastAsia" w:ascii="方正小标宋_GBK" w:hAnsi="方正小标宋_GBK" w:eastAsia="方正小标宋_GBK" w:cs="方正小标宋_GBK"/>
          <w:color w:val="000000" w:themeColor="text1"/>
          <w:sz w:val="70"/>
          <w:szCs w:val="7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70"/>
          <w:szCs w:val="70"/>
          <w14:textFill>
            <w14:solidFill>
              <w14:schemeClr w14:val="tx1"/>
            </w14:solidFill>
          </w14:textFill>
        </w:rPr>
        <w:br w:type="page"/>
      </w:r>
    </w:p>
    <w:p w14:paraId="75050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46F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由于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决算编制时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数据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明细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至“金额单位：元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”，而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本套单位决算文字说明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和公开表格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数据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取数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转换为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金额单位：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万元”，可能导致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以下文字说明中的各项数据取数以及公开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表格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中的各项数据取数之间存在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0.01的尾数差异。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2、以下文字说明中，部分科目由于预算数为0，无法计算完成年初预算的百分比，故未描述“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完成年初预算的XX%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23E08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一、收入支出决算总体情况说明</w:t>
      </w:r>
    </w:p>
    <w:p w14:paraId="3EF21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年度收、支总计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4239.62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，其中，一般公共预算财政拨款收入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4239.62万元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。与上年相比，增加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1390.55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48.81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%，主要是因为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①留置场所系全市统管统用，我中心承担了县市区纪委监委办理留置案件的大部分成本，因留置案件较上年增长118%，相关费用大幅增加；②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干部人数增加，导致相关费用增加。</w:t>
      </w:r>
    </w:p>
    <w:p w14:paraId="2A141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二、收入决算情况说明</w:t>
      </w:r>
    </w:p>
    <w:p w14:paraId="54CDA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本年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收入合计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4239.62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万元，其中：财政拨款收入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4239.62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%；上级补助收入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万元；事业收入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万元；经营收入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万元；附属单位上缴收入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万元；其他收入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 w14:paraId="1D73F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三、支出决算情况说明</w:t>
      </w:r>
    </w:p>
    <w:p w14:paraId="02B40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年度支出合计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4239.62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万元，其中：基本支出140.47万元，占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3.31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%；项目支出4099.15万元，占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96.69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%；上缴上级支出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万元；经营支出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万元；对附属单位补助支出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 w14:paraId="793D4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四、财政拨款收入支出决算总体情况说明</w:t>
      </w:r>
    </w:p>
    <w:p w14:paraId="5A730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年度财政拨款收、支总计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4239.62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万元，与上年相比，增加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1390.55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万元,增长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48.81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%，主要是因为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①留置场所系全市统管统用，我中心承担了县市区纪委监委办理留置案件的大部分成本，因留置案件较上年增长118%，相关费用大幅增加；②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干部人数增加，导致相关费用增加。</w:t>
      </w:r>
    </w:p>
    <w:p w14:paraId="0CAB1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五、一般公共预算财政拨款支出决算情况说明</w:t>
      </w:r>
    </w:p>
    <w:p w14:paraId="60711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（一）一般公共预算财政拨款支出决算总体情况</w:t>
      </w:r>
    </w:p>
    <w:p w14:paraId="0D2CF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年度财政拨款支出4239.62万元，占本年支出合计的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%，与上年相比，财政拨款支出增加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1390.55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48.81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%，主要是因为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①留置场所系全市统管统用，我中心承担了县市区纪委监委办理留置案件的大部分成本，因留置案件较上年增长118%，相关费用大幅增加；②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干部人数增加，导致相关费用增加。</w:t>
      </w:r>
    </w:p>
    <w:p w14:paraId="39077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（二）一般公共预算财政拨款支出决算结构情况</w:t>
      </w:r>
    </w:p>
    <w:p w14:paraId="3FBEF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年度财政拨款支出</w:t>
      </w:r>
      <w:bookmarkStart w:id="0" w:name="OLE_LINK1"/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4239.62</w:t>
      </w:r>
      <w:bookmarkEnd w:id="0"/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万元，主要用于以下方面：一般公共服务（类）支出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4219.13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99.52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社会保障和就业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（类）支出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7.11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0.17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；卫生健康支出（类）支出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5.63万元，占0.13%；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住房保障支出（类）支出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7.76万元，占0.18%。</w:t>
      </w:r>
    </w:p>
    <w:p w14:paraId="629D5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（三）一般公共预算财政拨款支出决算具体情况</w:t>
      </w:r>
    </w:p>
    <w:p w14:paraId="67A8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年度财政拨款支出年初预算数为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4210.54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万元，支出决算数为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4239.62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万元，完成年初预算的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100.69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%，其中：</w:t>
      </w:r>
    </w:p>
    <w:p w14:paraId="6B726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一般公共服务（类）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纪检监察事务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（款）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行政运行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（项）。</w:t>
      </w:r>
    </w:p>
    <w:p w14:paraId="6592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年初预算为4185.28万元，支出决算为3786.96万元，完成年初预算的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90.48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%，决算数小于年初预算数的主要原因是：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指标调剂。</w:t>
      </w:r>
    </w:p>
    <w:p w14:paraId="2BD59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一般公共服务（类）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纪检监察事务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（款）一般行政管理事务（项）。</w:t>
      </w:r>
    </w:p>
    <w:p w14:paraId="043DE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年初预算为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万元，支出决算为424.14万元，决算数大于年初预算数的主要原因是：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指标调剂。</w:t>
      </w:r>
    </w:p>
    <w:p w14:paraId="449B9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一般公共服务（类）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纪检监察事务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（款）其他纪检监察事务支出（项）。</w:t>
      </w:r>
    </w:p>
    <w:p w14:paraId="68E44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年初预算为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8.03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万元，决算数大于年初预算数的主要原因是：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指标调剂。</w:t>
      </w:r>
    </w:p>
    <w:p w14:paraId="10DB1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社会保障和就业支出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（类）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行政事业单位养老支出（款）机关事业单位基本养老保险缴费支出（项）。</w:t>
      </w:r>
    </w:p>
    <w:p w14:paraId="0B1B4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年初预算为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10.67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5.91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万元，完成年初预算的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55.39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%，决算数小于年初预算数的主要原因是：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指标调剂。</w:t>
      </w:r>
    </w:p>
    <w:p w14:paraId="77D91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社会保障和就业支出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（类）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残疾人事业（款）其他残疾人事业支出（项）。</w:t>
      </w:r>
    </w:p>
    <w:p w14:paraId="20190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年初预算为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1.03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1.03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万元，完成年初预算的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决算数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等于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年初预算数的主要原因是：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严格控制预算，按预算执行。</w:t>
      </w:r>
    </w:p>
    <w:p w14:paraId="21617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社会保障和就业支出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（类）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其他社会保障和就业支出（款）其他社会保障和就业支出（项）。</w:t>
      </w:r>
    </w:p>
    <w:p w14:paraId="27E82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年初预算为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0.17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0.17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万元，完成年初预算的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决算数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等于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年初预算数的主要原因是：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严格控制预算，按预算执行。</w:t>
      </w:r>
    </w:p>
    <w:p w14:paraId="1A3A1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卫生健康支出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（类）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行政事业单位医疗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（款）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行政单位医疗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（项）。</w:t>
      </w:r>
    </w:p>
    <w:p w14:paraId="61369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年初预算为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3.76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3.76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万元，完成年初预算的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%，决算数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等于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年初预算数的主要原因是：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严格控制预算，按预算执行。</w:t>
      </w:r>
    </w:p>
    <w:p w14:paraId="7A8EB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8.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卫生健康支出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（类）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医疗保障管理事务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（款）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其他医疗保障管理事务支出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（项）。</w:t>
      </w:r>
    </w:p>
    <w:p w14:paraId="1E01C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年初预算为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1.87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1.87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万元，完成年初预算的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%，决算数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等于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年初预算数的主要原因是：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严格控制预算，按预算执行。</w:t>
      </w:r>
    </w:p>
    <w:p w14:paraId="721ED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9.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住房保障支出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（类）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住房改革支出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（款）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住房公积金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（项）。</w:t>
      </w:r>
    </w:p>
    <w:p w14:paraId="5B35D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年初预算为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7.76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7.76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万元，完成年初预算的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%，决算数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等于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年初预算数的主要原因是：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严格控制预算，按预算执行。</w:t>
      </w:r>
    </w:p>
    <w:p w14:paraId="40B76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六、一般公共预算财政拨款基本支出决算情况说明</w:t>
      </w:r>
    </w:p>
    <w:p w14:paraId="09E8D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一般公共预算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财政拨款基本支出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140.47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万元，其中：</w:t>
      </w:r>
    </w:p>
    <w:p w14:paraId="35187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人员经费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139.37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万元，占基本支出的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99.22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%,主要包括基本工资、津贴补贴、奖金、伙食补助费、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绩效工资、机关事业单位基本养老保险缴费、职工基本医疗保险缴费、其他社会保障缴费、住房公积金。</w:t>
      </w:r>
    </w:p>
    <w:p w14:paraId="47480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公用经费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1.1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万元，占基本支出的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0.78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%，主要包括办公费、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工会经费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67D5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七、政府性基金预算收入支出决算情况</w:t>
      </w:r>
    </w:p>
    <w:p w14:paraId="1311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2024年度政府性基金预算财政拨款收入0万元；年初结转和结余0万元；支出0万元，其中基本支出0万元，项目支出0万元；年末结转和结余0万元。</w:t>
      </w:r>
    </w:p>
    <w:p w14:paraId="4BBAE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八、国有资本经营预算财政拨款支出决算情况</w:t>
      </w:r>
    </w:p>
    <w:p w14:paraId="10BBF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2024年度国有资本经营预算财政拨款收入0万元；年初结转和结余0万；支出0万元，其中：基本支出0万元，项目支出0万元；年末结转和结余0万元。</w:t>
      </w:r>
    </w:p>
    <w:p w14:paraId="79876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财政拨款三公经费支出决算情况说明</w:t>
      </w:r>
    </w:p>
    <w:p w14:paraId="7C2BF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“三公”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经费财政拨款支出决算总体情况说明</w:t>
      </w:r>
    </w:p>
    <w:p w14:paraId="6993F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2024年度“三公”经费财政拨款支出预算为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决算数等于预算数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，主要原因是我单位严格按预算执行决算；与上年一致，无增减变动，主要原因是按有关政策厉行节约，严控“三公经费”支出。</w:t>
      </w:r>
    </w:p>
    <w:p w14:paraId="738F0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“三公”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经费财政拨款支出决算具体情况说明</w:t>
      </w:r>
    </w:p>
    <w:p w14:paraId="658CA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16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因公出国（境）费支出预算为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决算数等于预算数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，主要原因是我单位严格按预算执行决算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与上年一致，无增减变动，主要原因是未安排因公出国（境）活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动。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2024年度安排因公出国（境）团组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个，累计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人次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1D9D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公务用车购置费及运行维护费支出预算为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决算数等于预算数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与上年一致，无增减变动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。其中：</w:t>
      </w:r>
    </w:p>
    <w:p w14:paraId="68CED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公务用车购置费支出预算为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决算数等于预算数，主要原因是我单位严格按预算执行决算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与上年一致，无增减变动，主要原因是两年均未购置公务用车。本单位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更新公务用车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辆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4D6F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务用车运行维护费支出预算为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决算数等于预算数，主要原因是我单位严格按预算执行决算；与上年一致，无增减变动，主要原因是两年均无公务用车需要运行维护。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截止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2024年12月31日，我单位开支财政拨款的公务用车保有量为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辆。</w:t>
      </w:r>
    </w:p>
    <w:p w14:paraId="0ED699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公务接待费支出预算为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决算数等于预算数，主要原因是严格执行中央八项规定；与上年一致，无增减变动，主要原因是按有关政策厉行节约，严控公务接待支出。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2024年度共接待来访团组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个、来宾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人次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74EF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、关于机关运行经费支出说明</w:t>
      </w:r>
    </w:p>
    <w:p w14:paraId="509B6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本级为事业单位，按照机关运行经费的口径，本年度机关运行经费为0。</w:t>
      </w:r>
    </w:p>
    <w:p w14:paraId="0590A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、一般性支出情况说明</w:t>
      </w:r>
    </w:p>
    <w:p w14:paraId="6CAAC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本单位无会议费的预算和支出决算数；本单位无培训费的预算和支出决算数；本单位无举办节庆、晚会、论坛、赛事等活动的预算和支出决算数。</w:t>
      </w:r>
    </w:p>
    <w:p w14:paraId="01F80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、关于政府采购支出说明</w:t>
      </w:r>
    </w:p>
    <w:p w14:paraId="29AF0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年度政府采购支出总额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267.78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万元，其中：政府采购货物支出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191.18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万元、政府采购工程支出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万元、政府采购服务支出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76.6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万元。授予中小企业合同金额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232.62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万元，占政府采购支出总额的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86.87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%，其中：授予小微企业合同金额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182.53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授予中小企业合同金额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78.47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%。货物采购授予中小企业合同金额占货物支出金额的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%，工程采购授予中小企业合同金额占工程支出金额的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%，服务采购授予中小企业合同金额占服务支出金额的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67.64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3C804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、关于国有资产占用情况说明</w:t>
      </w:r>
    </w:p>
    <w:p w14:paraId="4735A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截至2024年12月31日，本单位共有车辆0辆，其中，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副部（省）级及以上领导用车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辆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负责人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辆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机要通信用车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辆、应急保障用车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辆、执法执勤用车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辆、特种专业技术用车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辆、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离退休干部服务用车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辆、其他用车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辆；单位价值100万元以上设备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（不含车辆）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台（套）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9C0D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、关于202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绩效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情况的说明</w:t>
      </w:r>
    </w:p>
    <w:p w14:paraId="3C01F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（一）绩效评价工作开展情况</w:t>
      </w:r>
    </w:p>
    <w:p w14:paraId="5BD1F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绩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效自评开展情况。组织对2024年度本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（单位）整体支出开展绩效自评，涉及项目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个，共涉及资金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4239.62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万元。其中，一般公共预算项目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4239.62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万元，占一般公共预算支出总额的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%；政府性基金预算项目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万元；国有资本经营预算项目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万元；社会保险基金预算项目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 w14:paraId="4CC9E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评价开展情况。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本单位为二级预算单位，单位评价开展情况可详见上级单位决算公开说明。</w:t>
      </w:r>
    </w:p>
    <w:p w14:paraId="4B943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事前绩效评估开展情况。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本单位为二级预算单位，事前绩效评估开展情况可详见上级单位决算公开说明。</w:t>
      </w:r>
    </w:p>
    <w:p w14:paraId="1BB28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（二）绩效评价结果</w:t>
      </w:r>
    </w:p>
    <w:p w14:paraId="3A3FF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绩效自评结果。2024年度本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整体支出全年预算数4239.62万元，执行数4239.62万元，完成预算的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%，绩效自评得分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分，评价等级为“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”。绩效目标完成情况：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以来，案件管理中心坚持贯彻落实市纪委监委决策部署，认清形势任务，始终以时时放心不下的责任感，紧贴职能职责，统筹抓好各项工作，确保留置场所安全平稳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进一步加强沟通协调、增进共识，为审查调查工作顺利开展提供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更加有力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保障。我单位严格按岳阳市财政局的批复执行预算，增强了职能履行和重点工作经费的保障能力；加快预算执行进度，提高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资金使用绩效；加强财务监督检查，财务管理水平稳步提高。</w:t>
      </w:r>
    </w:p>
    <w:p w14:paraId="16BB5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评价结果。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本单位为二级预算单位，单位评价结果可详见上级单位决算公开说明。</w:t>
      </w:r>
    </w:p>
    <w:p w14:paraId="625BE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事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前绩效评估结果。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本单位为二级预算单位，事前绩效评估结果可详见上级单位决算公开说明。</w:t>
      </w:r>
    </w:p>
    <w:p w14:paraId="05B12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评价结果应用情况</w:t>
      </w:r>
    </w:p>
    <w:p w14:paraId="16FA4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预算绩效管理开展情况、绩效目标和绩效评价报告等，已在市政府部门财政预决算公开平台上向社会公开，详见附件。</w:t>
      </w:r>
    </w:p>
    <w:p w14:paraId="52789992">
      <w:pPr>
        <w:rPr>
          <w:rFonts w:hint="eastAsia" w:ascii="方正小标宋_GBK" w:hAnsi="方正小标宋_GBK" w:eastAsia="方正小标宋_GBK" w:cs="方正小标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0C087317">
      <w:pPr>
        <w:pStyle w:val="13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414DA66E">
      <w:pPr>
        <w:pStyle w:val="13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70D7F949">
      <w:pPr>
        <w:pStyle w:val="13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0FB63C0C">
      <w:pPr>
        <w:pStyle w:val="13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第四部分</w:t>
      </w:r>
    </w:p>
    <w:p w14:paraId="5E241587">
      <w:pPr>
        <w:pStyle w:val="13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10C2DFF4">
      <w:pPr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名词解释</w:t>
      </w:r>
    </w:p>
    <w:p w14:paraId="5609D696">
      <w:pPr>
        <w:pStyle w:val="8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FF93F5C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4AFAE0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7E9C080">
      <w:pPr>
        <w:pStyle w:val="8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6C06EB6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E924D94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5324B746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3C722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一、“三公”经费：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271FF5B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二、机关运行经费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指为保障行政单位（包括参照公务员法管理的事业单位）运行用于购买货物和服务的各项资金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，包括办公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费、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567B9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i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9B701F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1C6B6E4C">
      <w:pPr>
        <w:pStyle w:val="13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2194C810">
      <w:pPr>
        <w:pStyle w:val="13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5EAA56CC">
      <w:pPr>
        <w:pStyle w:val="13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 w14:paraId="5A80823A">
      <w:pPr>
        <w:pStyle w:val="13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部分</w:t>
      </w:r>
    </w:p>
    <w:p w14:paraId="27E9F0C1">
      <w:pPr>
        <w:pStyle w:val="13"/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6"/>
          <w:szCs w:val="56"/>
          <w:lang w:eastAsia="zh-CN"/>
          <w14:textFill>
            <w14:solidFill>
              <w14:schemeClr w14:val="tx1"/>
            </w14:solidFill>
          </w14:textFill>
        </w:rPr>
      </w:pPr>
    </w:p>
    <w:p w14:paraId="7FE96519">
      <w:pPr>
        <w:jc w:val="center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附 件</w:t>
      </w:r>
    </w:p>
    <w:p w14:paraId="571A2AA5">
      <w:pPr>
        <w:ind w:firstLine="640" w:firstLineChars="200"/>
        <w:jc w:val="left"/>
        <w:rPr>
          <w:rFonts w:hint="eastAsia" w:ascii="宋体" w:hAnsi="宋体" w:eastAsia="宋体" w:cs="黑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2DF14ED">
      <w:pPr>
        <w:ind w:firstLine="640" w:firstLineChars="200"/>
        <w:jc w:val="left"/>
        <w:rPr>
          <w:rFonts w:hint="eastAsia" w:ascii="宋体" w:hAnsi="宋体" w:eastAsia="宋体" w:cs="黑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黑体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宋体" w:hAnsi="宋体" w:eastAsia="宋体" w:cs="黑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年单位决算公开表格</w:t>
      </w:r>
    </w:p>
    <w:p w14:paraId="56F191BE">
      <w:pPr>
        <w:ind w:firstLine="640" w:firstLineChars="200"/>
        <w:jc w:val="left"/>
        <w:rPr>
          <w:rFonts w:ascii="宋体" w:hAnsi="宋体" w:eastAsia="宋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黑体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黑体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黑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宋体" w:hAnsi="宋体" w:eastAsia="宋体" w:cs="黑体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黑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整体支出绩效评价报告</w:t>
      </w:r>
    </w:p>
    <w:p w14:paraId="18AB958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814" w:right="1587" w:bottom="1814" w:left="158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9300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83E198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83E198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1E025C"/>
    <w:multiLevelType w:val="singleLevel"/>
    <w:tmpl w:val="DF1E025C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333AE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B4D8E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24EE8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12A3A24"/>
    <w:rsid w:val="0437313D"/>
    <w:rsid w:val="059958AD"/>
    <w:rsid w:val="06C857E7"/>
    <w:rsid w:val="08C24A73"/>
    <w:rsid w:val="0F4942A2"/>
    <w:rsid w:val="11944E2C"/>
    <w:rsid w:val="12583BA5"/>
    <w:rsid w:val="12CA0DFE"/>
    <w:rsid w:val="133544C9"/>
    <w:rsid w:val="13BA5B9C"/>
    <w:rsid w:val="16946498"/>
    <w:rsid w:val="189162DE"/>
    <w:rsid w:val="1D477216"/>
    <w:rsid w:val="1D97DEFF"/>
    <w:rsid w:val="1DFF72E5"/>
    <w:rsid w:val="1EFC6F07"/>
    <w:rsid w:val="1F0527A6"/>
    <w:rsid w:val="21D609BE"/>
    <w:rsid w:val="22AC03C2"/>
    <w:rsid w:val="245F573A"/>
    <w:rsid w:val="25090151"/>
    <w:rsid w:val="25AB795A"/>
    <w:rsid w:val="282E24B8"/>
    <w:rsid w:val="283B15FE"/>
    <w:rsid w:val="28C049EA"/>
    <w:rsid w:val="2A666679"/>
    <w:rsid w:val="2C295C80"/>
    <w:rsid w:val="2F5D35C4"/>
    <w:rsid w:val="2FDF85B8"/>
    <w:rsid w:val="2FE94513"/>
    <w:rsid w:val="2FFFEE04"/>
    <w:rsid w:val="31C95635"/>
    <w:rsid w:val="330864CC"/>
    <w:rsid w:val="33B466E1"/>
    <w:rsid w:val="34DF85B0"/>
    <w:rsid w:val="356F0F35"/>
    <w:rsid w:val="382849B1"/>
    <w:rsid w:val="39224BC9"/>
    <w:rsid w:val="39563303"/>
    <w:rsid w:val="3B8F36BC"/>
    <w:rsid w:val="3C504D81"/>
    <w:rsid w:val="3D702C5A"/>
    <w:rsid w:val="3FE43CE0"/>
    <w:rsid w:val="406C4BC1"/>
    <w:rsid w:val="42382BB3"/>
    <w:rsid w:val="42757194"/>
    <w:rsid w:val="43EB5BA5"/>
    <w:rsid w:val="491FF225"/>
    <w:rsid w:val="4C60645B"/>
    <w:rsid w:val="4C6954EA"/>
    <w:rsid w:val="4D322D99"/>
    <w:rsid w:val="4DAC0CC8"/>
    <w:rsid w:val="4DAE1972"/>
    <w:rsid w:val="4DFC7501"/>
    <w:rsid w:val="4EC310A1"/>
    <w:rsid w:val="4FFD214C"/>
    <w:rsid w:val="529720AE"/>
    <w:rsid w:val="5352765A"/>
    <w:rsid w:val="549E4761"/>
    <w:rsid w:val="5777D4F5"/>
    <w:rsid w:val="57A90EE1"/>
    <w:rsid w:val="57F22B6F"/>
    <w:rsid w:val="59DD8326"/>
    <w:rsid w:val="5CFB5EAA"/>
    <w:rsid w:val="5DEF592A"/>
    <w:rsid w:val="5FC6BB1E"/>
    <w:rsid w:val="5FF720F1"/>
    <w:rsid w:val="622964C1"/>
    <w:rsid w:val="66325FB7"/>
    <w:rsid w:val="67FF5C0B"/>
    <w:rsid w:val="695B1CE7"/>
    <w:rsid w:val="6A691FB8"/>
    <w:rsid w:val="6BAA4A2F"/>
    <w:rsid w:val="6BDE1A06"/>
    <w:rsid w:val="6DDEC5C0"/>
    <w:rsid w:val="6E671430"/>
    <w:rsid w:val="6EFC0924"/>
    <w:rsid w:val="6FB74722"/>
    <w:rsid w:val="6FEF8B7E"/>
    <w:rsid w:val="6FFD27CB"/>
    <w:rsid w:val="717FE77F"/>
    <w:rsid w:val="71A6591B"/>
    <w:rsid w:val="71D4494F"/>
    <w:rsid w:val="737D59BA"/>
    <w:rsid w:val="737F32B1"/>
    <w:rsid w:val="73BD3FCA"/>
    <w:rsid w:val="747E452E"/>
    <w:rsid w:val="76065B94"/>
    <w:rsid w:val="776BDA01"/>
    <w:rsid w:val="77C37683"/>
    <w:rsid w:val="79FF515B"/>
    <w:rsid w:val="7DFBFF20"/>
    <w:rsid w:val="7E9E1962"/>
    <w:rsid w:val="7E9F11B4"/>
    <w:rsid w:val="7F37EC1E"/>
    <w:rsid w:val="7F45445C"/>
    <w:rsid w:val="7F4F4D6C"/>
    <w:rsid w:val="7F7C0DDA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B6BE5A03"/>
    <w:rsid w:val="B8C93228"/>
    <w:rsid w:val="C3B4DA5A"/>
    <w:rsid w:val="C4FF458C"/>
    <w:rsid w:val="C7BBD038"/>
    <w:rsid w:val="CBFF70E0"/>
    <w:rsid w:val="CFF50B82"/>
    <w:rsid w:val="CFFFAD89"/>
    <w:rsid w:val="DFFE359E"/>
    <w:rsid w:val="DFFE4FFD"/>
    <w:rsid w:val="DFFF5403"/>
    <w:rsid w:val="EBC3E00A"/>
    <w:rsid w:val="EDFBE100"/>
    <w:rsid w:val="EEABED75"/>
    <w:rsid w:val="EF7E8003"/>
    <w:rsid w:val="F56FDF51"/>
    <w:rsid w:val="F5F3EE78"/>
    <w:rsid w:val="F6B69F17"/>
    <w:rsid w:val="F6E5BB3A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94102"/>
    <w:rsid w:val="FFFF1C8B"/>
    <w:rsid w:val="FF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 Indent"/>
    <w:basedOn w:val="1"/>
    <w:next w:val="4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next w:val="4"/>
    <w:semiHidden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4896</Words>
  <Characters>5351</Characters>
  <Lines>63</Lines>
  <Paragraphs>18</Paragraphs>
  <TotalTime>0</TotalTime>
  <ScaleCrop>false</ScaleCrop>
  <LinksUpToDate>false</LinksUpToDate>
  <CharactersWithSpaces>5378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2020-07-10T18:32:00Z</dcterms:created>
  <dc:creator>李航 null</dc:creator>
  <cp:lastModifiedBy>付敏</cp:lastModifiedBy>
  <cp:lastPrinted>2025-10-14T08:50:00Z</cp:lastPrinted>
  <dcterms:modified xsi:type="dcterms:W3CDTF">2025-10-15T08:20:25Z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98623D6660B449428EB8E073C6C952EA</vt:lpwstr>
  </property>
  <property fmtid="{D5CDD505-2E9C-101B-9397-08002B2CF9AE}" pid="4" name="KSOTemplateDocerSaveRecord">
    <vt:lpwstr>eyJoZGlkIjoiMzEwNTM5NzYwMDRjMzkwZTVkZjY2ODkwMGIxNGU0OTUiLCJ1c2VySWQiOiIxNDgxMDAwNDYxIn0=</vt:lpwstr>
  </property>
</Properties>
</file>