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0191">
      <w:pPr>
        <w:jc w:val="both"/>
        <w:rPr>
          <w:rFonts w:hint="default" w:ascii="Times New Roman" w:hAnsi="Times New Roman" w:eastAsia="方正小标宋_GBK" w:cs="Times New Roman"/>
          <w:sz w:val="52"/>
          <w:szCs w:val="52"/>
          <w:highlight w:val="none"/>
        </w:rPr>
      </w:pPr>
      <w:bookmarkStart w:id="0" w:name="_GoBack"/>
      <w:bookmarkEnd w:id="0"/>
    </w:p>
    <w:p w14:paraId="2CFCCDD1">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80413D4">
      <w:pPr>
        <w:jc w:val="center"/>
        <w:rPr>
          <w:rFonts w:hint="default" w:ascii="Times New Roman" w:hAnsi="Times New Roman" w:eastAsia="方正小标宋_GBK" w:cs="Times New Roman"/>
          <w:sz w:val="52"/>
          <w:szCs w:val="52"/>
          <w:highlight w:val="none"/>
        </w:rPr>
      </w:pPr>
    </w:p>
    <w:p w14:paraId="32DB988F">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岳阳开放大学</w:t>
      </w:r>
      <w:r>
        <w:rPr>
          <w:rFonts w:hint="eastAsia" w:ascii="方正小标宋简体" w:hAnsi="方正小标宋简体" w:eastAsia="方正小标宋简体" w:cs="方正小标宋简体"/>
          <w:sz w:val="44"/>
          <w:szCs w:val="44"/>
          <w:highlight w:val="none"/>
        </w:rPr>
        <w:t>整体支出</w:t>
      </w:r>
    </w:p>
    <w:p w14:paraId="7E4F37E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7F776901">
      <w:pPr>
        <w:jc w:val="center"/>
        <w:rPr>
          <w:rFonts w:hint="default" w:ascii="Times New Roman" w:hAnsi="Times New Roman" w:eastAsia="方正小标宋_GBK" w:cs="Times New Roman"/>
          <w:b/>
          <w:sz w:val="52"/>
          <w:szCs w:val="52"/>
          <w:highlight w:val="none"/>
        </w:rPr>
      </w:pPr>
    </w:p>
    <w:p w14:paraId="33ABF951">
      <w:pPr>
        <w:jc w:val="center"/>
        <w:rPr>
          <w:rFonts w:hint="default" w:ascii="Times New Roman" w:hAnsi="Times New Roman" w:eastAsia="楷体_GB2312" w:cs="Times New Roman"/>
          <w:b/>
          <w:sz w:val="32"/>
          <w:szCs w:val="32"/>
          <w:highlight w:val="none"/>
        </w:rPr>
      </w:pPr>
    </w:p>
    <w:p w14:paraId="3576FC2D">
      <w:pPr>
        <w:jc w:val="center"/>
        <w:rPr>
          <w:rFonts w:hint="default" w:ascii="Times New Roman" w:hAnsi="Times New Roman" w:eastAsia="楷体_GB2312" w:cs="Times New Roman"/>
          <w:b/>
          <w:sz w:val="32"/>
          <w:szCs w:val="32"/>
          <w:highlight w:val="none"/>
        </w:rPr>
      </w:pPr>
    </w:p>
    <w:p w14:paraId="4050638B">
      <w:pPr>
        <w:jc w:val="center"/>
        <w:rPr>
          <w:rFonts w:hint="default" w:ascii="Times New Roman" w:hAnsi="Times New Roman" w:eastAsia="楷体_GB2312" w:cs="Times New Roman"/>
          <w:b/>
          <w:sz w:val="32"/>
          <w:szCs w:val="32"/>
          <w:highlight w:val="none"/>
        </w:rPr>
      </w:pPr>
    </w:p>
    <w:p w14:paraId="7EADB51A">
      <w:pPr>
        <w:jc w:val="center"/>
        <w:rPr>
          <w:rFonts w:hint="default" w:ascii="Times New Roman" w:hAnsi="Times New Roman" w:eastAsia="楷体_GB2312" w:cs="Times New Roman"/>
          <w:b/>
          <w:sz w:val="32"/>
          <w:szCs w:val="32"/>
          <w:highlight w:val="none"/>
        </w:rPr>
      </w:pPr>
    </w:p>
    <w:p w14:paraId="43E6362E">
      <w:pPr>
        <w:jc w:val="center"/>
        <w:rPr>
          <w:rFonts w:hint="default" w:ascii="Times New Roman" w:hAnsi="Times New Roman" w:eastAsia="楷体_GB2312" w:cs="Times New Roman"/>
          <w:b/>
          <w:sz w:val="32"/>
          <w:szCs w:val="32"/>
          <w:highlight w:val="none"/>
        </w:rPr>
      </w:pPr>
    </w:p>
    <w:p w14:paraId="2CAF41EC">
      <w:pPr>
        <w:jc w:val="center"/>
        <w:rPr>
          <w:rFonts w:hint="default" w:ascii="Times New Roman" w:hAnsi="Times New Roman" w:eastAsia="楷体_GB2312" w:cs="Times New Roman"/>
          <w:b/>
          <w:sz w:val="32"/>
          <w:szCs w:val="32"/>
          <w:highlight w:val="none"/>
        </w:rPr>
      </w:pPr>
    </w:p>
    <w:p w14:paraId="3E144496">
      <w:pPr>
        <w:jc w:val="center"/>
        <w:rPr>
          <w:rFonts w:hint="default" w:ascii="Times New Roman" w:hAnsi="Times New Roman" w:eastAsia="黑体" w:cs="Times New Roman"/>
          <w:sz w:val="32"/>
          <w:szCs w:val="32"/>
          <w:highlight w:val="none"/>
        </w:rPr>
      </w:pPr>
    </w:p>
    <w:p w14:paraId="3FE4EB2C">
      <w:pPr>
        <w:jc w:val="center"/>
        <w:rPr>
          <w:rFonts w:hint="default" w:ascii="Times New Roman" w:hAnsi="Times New Roman" w:eastAsia="黑体" w:cs="Times New Roman"/>
          <w:sz w:val="32"/>
          <w:szCs w:val="32"/>
          <w:highlight w:val="none"/>
        </w:rPr>
      </w:pPr>
    </w:p>
    <w:p w14:paraId="4B811187">
      <w:pPr>
        <w:jc w:val="center"/>
        <w:rPr>
          <w:rFonts w:hint="default" w:ascii="Times New Roman" w:hAnsi="Times New Roman" w:eastAsia="黑体" w:cs="Times New Roman"/>
          <w:sz w:val="32"/>
          <w:szCs w:val="32"/>
          <w:highlight w:val="none"/>
        </w:rPr>
      </w:pPr>
    </w:p>
    <w:p w14:paraId="3006E10C">
      <w:pPr>
        <w:jc w:val="both"/>
        <w:rPr>
          <w:rFonts w:hint="default" w:ascii="Times New Roman" w:hAnsi="Times New Roman" w:eastAsia="黑体" w:cs="Times New Roman"/>
          <w:sz w:val="32"/>
          <w:szCs w:val="32"/>
          <w:highlight w:val="none"/>
        </w:rPr>
      </w:pPr>
    </w:p>
    <w:p w14:paraId="39D703DE">
      <w:pPr>
        <w:jc w:val="center"/>
        <w:rPr>
          <w:rFonts w:hint="default" w:ascii="Times New Roman" w:hAnsi="Times New Roman" w:eastAsia="黑体" w:cs="Times New Roman"/>
          <w:sz w:val="32"/>
          <w:szCs w:val="32"/>
          <w:highlight w:val="none"/>
        </w:rPr>
      </w:pPr>
    </w:p>
    <w:p w14:paraId="5371D8C8">
      <w:pPr>
        <w:jc w:val="center"/>
        <w:rPr>
          <w:rFonts w:hint="default" w:ascii="Times New Roman" w:hAnsi="Times New Roman" w:eastAsia="黑体" w:cs="Times New Roman"/>
          <w:sz w:val="32"/>
          <w:szCs w:val="32"/>
          <w:highlight w:val="none"/>
        </w:rPr>
      </w:pPr>
    </w:p>
    <w:p w14:paraId="088FA7F1">
      <w:pPr>
        <w:spacing w:line="600" w:lineRule="exact"/>
        <w:ind w:firstLine="1920" w:firstLineChars="6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2B6443C1">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14:paraId="3C1B4462">
      <w:pPr>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301BA43B">
      <w:pPr>
        <w:jc w:val="center"/>
        <w:rPr>
          <w:rFonts w:hint="eastAsia" w:ascii="方正小标宋简体" w:hAnsi="方正小标宋简体" w:eastAsia="方正小标宋简体" w:cs="方正小标宋简体"/>
          <w:sz w:val="44"/>
          <w:szCs w:val="44"/>
          <w:highlight w:val="none"/>
        </w:rPr>
      </w:pPr>
    </w:p>
    <w:p w14:paraId="2AAC329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岳阳开放大学</w:t>
      </w:r>
      <w:r>
        <w:rPr>
          <w:rFonts w:hint="eastAsia" w:ascii="方正小标宋简体" w:hAnsi="方正小标宋简体" w:eastAsia="方正小标宋简体" w:cs="方正小标宋简体"/>
          <w:sz w:val="44"/>
          <w:szCs w:val="44"/>
          <w:highlight w:val="none"/>
        </w:rPr>
        <w:t>整体支出</w:t>
      </w:r>
    </w:p>
    <w:p w14:paraId="7D7E823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1433D55B">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265CD8B7">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（一）机构设置情况</w:t>
      </w:r>
    </w:p>
    <w:p w14:paraId="32FEAF20">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岳阳开放大学属定额拨款的事业单位。机构设置如下：行政管理机构有10个：党委办公室、行政办公室、信息技术处、组织人事处、纪检监察室、财务处、教务处、科研与系统建设处、后勤管理处、生活服务部；教学业务机构</w:t>
      </w:r>
      <w:r>
        <w:rPr>
          <w:rFonts w:hint="eastAsia" w:eastAsia="仿宋" w:cs="仿宋"/>
          <w:sz w:val="32"/>
          <w:szCs w:val="32"/>
          <w:highlight w:val="none"/>
          <w:lang w:val="en-US" w:eastAsia="zh-CN"/>
        </w:rPr>
        <w:t>8</w:t>
      </w:r>
      <w:r>
        <w:rPr>
          <w:rFonts w:hint="eastAsia" w:ascii="仿宋" w:hAnsi="仿宋" w:eastAsia="仿宋" w:cs="仿宋"/>
          <w:sz w:val="32"/>
          <w:szCs w:val="32"/>
          <w:highlight w:val="none"/>
          <w:lang w:val="en-US" w:eastAsia="zh-CN"/>
        </w:rPr>
        <w:t>个：网络工程职业技术学校、开放教育学院、网络教育学院、终身教育学院、继续教育学院、中小学教师发展中心、干部教育培训网络学院</w:t>
      </w:r>
      <w:r>
        <w:rPr>
          <w:rFonts w:hint="eastAsia" w:eastAsia="仿宋" w:cs="仿宋"/>
          <w:sz w:val="32"/>
          <w:szCs w:val="32"/>
          <w:highlight w:val="none"/>
          <w:lang w:val="en-US" w:eastAsia="zh-CN"/>
        </w:rPr>
        <w:t>、公共实训中心。</w:t>
      </w:r>
    </w:p>
    <w:p w14:paraId="65994CD5">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开大202</w:t>
      </w:r>
      <w:r>
        <w:rPr>
          <w:rFonts w:hint="eastAsia" w:eastAsia="仿宋" w:cs="仿宋"/>
          <w:sz w:val="32"/>
          <w:szCs w:val="32"/>
          <w:highlight w:val="none"/>
          <w:lang w:val="en-US" w:eastAsia="zh-CN"/>
        </w:rPr>
        <w:t>4</w:t>
      </w:r>
      <w:r>
        <w:rPr>
          <w:rFonts w:hint="eastAsia" w:ascii="仿宋" w:hAnsi="仿宋" w:eastAsia="仿宋" w:cs="仿宋"/>
          <w:sz w:val="32"/>
          <w:szCs w:val="32"/>
          <w:highlight w:val="none"/>
          <w:lang w:val="en-US" w:eastAsia="zh-CN"/>
        </w:rPr>
        <w:t>年年初预算核定人数为</w:t>
      </w:r>
      <w:r>
        <w:rPr>
          <w:rFonts w:hint="eastAsia" w:eastAsia="仿宋" w:cs="仿宋"/>
          <w:sz w:val="32"/>
          <w:szCs w:val="32"/>
          <w:highlight w:val="none"/>
          <w:lang w:val="en-US" w:eastAsia="zh-CN"/>
        </w:rPr>
        <w:t>88</w:t>
      </w:r>
      <w:r>
        <w:rPr>
          <w:rFonts w:hint="eastAsia" w:ascii="仿宋" w:hAnsi="仿宋" w:eastAsia="仿宋" w:cs="仿宋"/>
          <w:sz w:val="32"/>
          <w:szCs w:val="32"/>
          <w:highlight w:val="none"/>
          <w:lang w:val="en-US" w:eastAsia="zh-CN"/>
        </w:rPr>
        <w:t>人，年末核定人数8</w:t>
      </w:r>
      <w:r>
        <w:rPr>
          <w:rFonts w:hint="eastAsia" w:eastAsia="仿宋" w:cs="仿宋"/>
          <w:sz w:val="32"/>
          <w:szCs w:val="32"/>
          <w:highlight w:val="none"/>
          <w:lang w:val="en-US" w:eastAsia="zh-CN"/>
        </w:rPr>
        <w:t>5</w:t>
      </w:r>
      <w:r>
        <w:rPr>
          <w:rFonts w:hint="eastAsia" w:ascii="仿宋" w:hAnsi="仿宋" w:eastAsia="仿宋" w:cs="仿宋"/>
          <w:sz w:val="32"/>
          <w:szCs w:val="32"/>
          <w:highlight w:val="none"/>
          <w:lang w:val="en-US" w:eastAsia="zh-CN"/>
        </w:rPr>
        <w:t>人。</w:t>
      </w:r>
    </w:p>
    <w:p w14:paraId="2A62DD65">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rPr>
      </w:pPr>
      <w:r>
        <w:rPr>
          <w:rFonts w:hint="eastAsia" w:ascii="仿宋" w:hAnsi="仿宋" w:eastAsia="仿宋" w:cs="仿宋"/>
          <w:sz w:val="32"/>
          <w:szCs w:val="32"/>
          <w:highlight w:val="none"/>
          <w:lang w:val="en-US" w:eastAsia="zh-CN"/>
        </w:rPr>
        <w:t>（</w:t>
      </w:r>
      <w:r>
        <w:rPr>
          <w:rFonts w:hint="eastAsia" w:eastAsia="仿宋" w:cs="仿宋"/>
          <w:sz w:val="32"/>
          <w:szCs w:val="32"/>
          <w:highlight w:val="none"/>
          <w:lang w:val="en-US" w:eastAsia="zh-CN"/>
        </w:rPr>
        <w:t>二</w:t>
      </w:r>
      <w:r>
        <w:rPr>
          <w:rFonts w:hint="eastAsia" w:ascii="仿宋" w:hAnsi="仿宋" w:eastAsia="仿宋" w:cs="仿宋"/>
          <w:sz w:val="32"/>
          <w:szCs w:val="32"/>
          <w:highlight w:val="none"/>
          <w:lang w:val="en-US" w:eastAsia="zh-CN"/>
        </w:rPr>
        <w:t>）</w:t>
      </w:r>
      <w:r>
        <w:rPr>
          <w:rFonts w:hint="eastAsia" w:ascii="Times New Roman" w:hAnsi="Times New Roman" w:eastAsia="仿宋_GB2312" w:cs="Times New Roman"/>
          <w:color w:val="000000"/>
          <w:sz w:val="32"/>
          <w:szCs w:val="32"/>
          <w:highlight w:val="none"/>
        </w:rPr>
        <w:t>职能职责概述</w:t>
      </w:r>
    </w:p>
    <w:p w14:paraId="62AB417E">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0"/>
          <w:szCs w:val="30"/>
          <w:highlight w:val="none"/>
          <w:lang w:val="en-US" w:eastAsia="zh-CN"/>
        </w:rPr>
        <w:t>用广播电视和网络等现代教育技术为社会各类成员提供高等教育服务，开展高等学历教育，相关专业培训，学术研究与交流，提供相关社会服务。</w:t>
      </w:r>
    </w:p>
    <w:p w14:paraId="55E0CE3F">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（三）年度主要工作内容</w:t>
      </w:r>
    </w:p>
    <w:p w14:paraId="68665DE0">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1、保障学校全年平稳安全</w:t>
      </w:r>
    </w:p>
    <w:p w14:paraId="2CE88531">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2、招生完成5000人</w:t>
      </w:r>
    </w:p>
    <w:p w14:paraId="635FD0C7">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3、实现办学机构和办学体系的转型升级，更好地服务岳阳市学习型社会建设和全民终身教育体系构建。</w:t>
      </w:r>
    </w:p>
    <w:p w14:paraId="014FEC69">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4、道路改造和绿化提质来美化校园。</w:t>
      </w:r>
    </w:p>
    <w:p w14:paraId="01B2C295">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5、发展项目建设</w:t>
      </w:r>
    </w:p>
    <w:p w14:paraId="0C560CC6">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highlight w:val="none"/>
          <w:lang w:val="en-US" w:eastAsia="zh-CN"/>
        </w:rPr>
      </w:pPr>
      <w:r>
        <w:rPr>
          <w:rFonts w:hint="eastAsia" w:eastAsia="仿宋" w:cs="仿宋"/>
          <w:sz w:val="32"/>
          <w:szCs w:val="32"/>
          <w:highlight w:val="none"/>
          <w:lang w:val="en-US" w:eastAsia="zh-CN"/>
        </w:rPr>
        <w:t>（四）</w:t>
      </w:r>
      <w:r>
        <w:rPr>
          <w:rFonts w:hint="eastAsia" w:ascii="仿宋" w:hAnsi="仿宋" w:eastAsia="仿宋" w:cs="仿宋"/>
          <w:sz w:val="32"/>
          <w:szCs w:val="32"/>
          <w:highlight w:val="none"/>
          <w:lang w:val="en-US" w:eastAsia="zh-CN"/>
        </w:rPr>
        <w:t>年度部门（单位）总体运行情况及取得的成绩</w:t>
      </w:r>
    </w:p>
    <w:p w14:paraId="4FCEA36C">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0"/>
          <w:szCs w:val="30"/>
          <w:highlight w:val="none"/>
          <w:lang w:val="en-US" w:eastAsia="zh-CN"/>
        </w:rPr>
      </w:pPr>
      <w:r>
        <w:rPr>
          <w:rFonts w:hint="eastAsia" w:eastAsia="仿宋" w:cs="仿宋"/>
          <w:sz w:val="32"/>
          <w:szCs w:val="32"/>
          <w:highlight w:val="none"/>
          <w:lang w:val="en-US" w:eastAsia="zh-CN"/>
        </w:rPr>
        <w:t xml:space="preserve">    </w:t>
      </w:r>
      <w:r>
        <w:rPr>
          <w:rFonts w:hint="eastAsia" w:ascii="Times New Roman" w:hAnsi="Times New Roman" w:eastAsia="仿宋_GB2312" w:cs="Times New Roman"/>
          <w:color w:val="000000"/>
          <w:sz w:val="30"/>
          <w:szCs w:val="30"/>
          <w:highlight w:val="none"/>
          <w:lang w:val="en-US" w:eastAsia="zh-CN"/>
        </w:rPr>
        <w:t>全年单位总运行良好。2024年招生突破5000人，非学历教育共计培训26800人次，科研立项10项。实施“农民大学生培养”计划，完成招生1268人，“基层干部学历提升”、“岳阳市教师学历提升”项目，终身教育体系构建为目标的社区教育、老年教育得到有效拓展。职业教育得到有效提质，通过省级示范校项目。</w:t>
      </w:r>
    </w:p>
    <w:p w14:paraId="32C17024">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E2E524D">
      <w:pPr>
        <w:pStyle w:val="9"/>
        <w:keepNext w:val="0"/>
        <w:keepLines w:val="0"/>
        <w:pageBreakBefore w:val="0"/>
        <w:widowControl/>
        <w:kinsoku/>
        <w:wordWrap/>
        <w:overflowPunct/>
        <w:topLinePunct w:val="0"/>
        <w:autoSpaceDE/>
        <w:autoSpaceDN/>
        <w:bidi w:val="0"/>
        <w:adjustRightInd/>
        <w:snapToGrid/>
        <w:spacing w:line="640" w:lineRule="exact"/>
        <w:ind w:firstLine="900" w:firstLineChars="300"/>
        <w:jc w:val="both"/>
        <w:textAlignment w:val="auto"/>
        <w:rPr>
          <w:rFonts w:hint="default" w:ascii="Times New Roman" w:hAnsi="Times New Roman" w:eastAsia="仿宋_GB2312" w:cs="Times New Roman"/>
          <w:color w:val="000000"/>
          <w:kern w:val="0"/>
          <w:sz w:val="30"/>
          <w:szCs w:val="30"/>
          <w:highlight w:val="none"/>
          <w:lang w:val="en-US" w:eastAsia="zh-CN" w:bidi="ar-SA"/>
        </w:rPr>
      </w:pPr>
      <w:r>
        <w:rPr>
          <w:rFonts w:hint="default" w:ascii="Times New Roman" w:hAnsi="Times New Roman" w:eastAsia="仿宋_GB2312" w:cs="Times New Roman"/>
          <w:color w:val="000000"/>
          <w:kern w:val="0"/>
          <w:sz w:val="30"/>
          <w:szCs w:val="30"/>
          <w:highlight w:val="none"/>
          <w:lang w:val="en-US" w:eastAsia="zh-CN" w:bidi="ar-SA"/>
        </w:rPr>
        <w:t>202</w:t>
      </w:r>
      <w:r>
        <w:rPr>
          <w:rFonts w:hint="eastAsia" w:ascii="Times New Roman" w:hAnsi="Times New Roman" w:eastAsia="仿宋_GB2312" w:cs="Times New Roman"/>
          <w:color w:val="000000"/>
          <w:kern w:val="0"/>
          <w:sz w:val="30"/>
          <w:szCs w:val="30"/>
          <w:highlight w:val="none"/>
          <w:lang w:val="en-US" w:eastAsia="zh-CN" w:bidi="ar-SA"/>
        </w:rPr>
        <w:t>4</w:t>
      </w:r>
      <w:r>
        <w:rPr>
          <w:rFonts w:hint="default" w:ascii="Times New Roman" w:hAnsi="Times New Roman" w:eastAsia="仿宋_GB2312" w:cs="Times New Roman"/>
          <w:color w:val="000000"/>
          <w:kern w:val="0"/>
          <w:sz w:val="30"/>
          <w:szCs w:val="30"/>
          <w:highlight w:val="none"/>
          <w:lang w:val="en-US" w:eastAsia="zh-CN" w:bidi="ar-SA"/>
        </w:rPr>
        <w:t>年度，单位支出决算数为</w:t>
      </w:r>
      <w:r>
        <w:rPr>
          <w:rFonts w:hint="eastAsia" w:ascii="Times New Roman" w:hAnsi="Times New Roman" w:eastAsia="仿宋_GB2312" w:cs="Times New Roman"/>
          <w:color w:val="000000"/>
          <w:kern w:val="0"/>
          <w:sz w:val="30"/>
          <w:szCs w:val="30"/>
          <w:highlight w:val="none"/>
          <w:lang w:val="en-US" w:eastAsia="zh-CN" w:bidi="ar-SA"/>
        </w:rPr>
        <w:t>5968.44</w:t>
      </w:r>
      <w:r>
        <w:rPr>
          <w:rFonts w:hint="default" w:ascii="Times New Roman" w:hAnsi="Times New Roman" w:eastAsia="仿宋_GB2312" w:cs="Times New Roman"/>
          <w:color w:val="000000"/>
          <w:kern w:val="0"/>
          <w:sz w:val="30"/>
          <w:szCs w:val="30"/>
          <w:highlight w:val="none"/>
          <w:lang w:val="en-US" w:eastAsia="zh-CN" w:bidi="ar-SA"/>
        </w:rPr>
        <w:t>万元，其中基本支出为</w:t>
      </w:r>
      <w:r>
        <w:rPr>
          <w:rFonts w:hint="eastAsia" w:ascii="Times New Roman" w:hAnsi="Times New Roman" w:eastAsia="仿宋_GB2312" w:cs="Times New Roman"/>
          <w:color w:val="000000"/>
          <w:kern w:val="0"/>
          <w:sz w:val="30"/>
          <w:szCs w:val="30"/>
          <w:highlight w:val="none"/>
          <w:lang w:val="en-US" w:eastAsia="zh-CN" w:bidi="ar-SA"/>
        </w:rPr>
        <w:t>3424.8</w:t>
      </w:r>
      <w:r>
        <w:rPr>
          <w:rFonts w:hint="default" w:ascii="Times New Roman" w:hAnsi="Times New Roman" w:eastAsia="仿宋_GB2312" w:cs="Times New Roman"/>
          <w:color w:val="000000"/>
          <w:kern w:val="0"/>
          <w:sz w:val="30"/>
          <w:szCs w:val="30"/>
          <w:highlight w:val="none"/>
          <w:lang w:val="en-US" w:eastAsia="zh-CN" w:bidi="ar-SA"/>
        </w:rPr>
        <w:t>万元，占本年支出的</w:t>
      </w:r>
      <w:r>
        <w:rPr>
          <w:rFonts w:hint="eastAsia" w:ascii="Times New Roman" w:hAnsi="Times New Roman" w:eastAsia="仿宋_GB2312" w:cs="Times New Roman"/>
          <w:color w:val="000000"/>
          <w:kern w:val="0"/>
          <w:sz w:val="30"/>
          <w:szCs w:val="30"/>
          <w:highlight w:val="none"/>
          <w:lang w:val="en-US" w:eastAsia="zh-CN" w:bidi="ar-SA"/>
        </w:rPr>
        <w:t>57.38</w:t>
      </w:r>
      <w:r>
        <w:rPr>
          <w:rFonts w:hint="default" w:ascii="Times New Roman" w:hAnsi="Times New Roman" w:eastAsia="仿宋_GB2312" w:cs="Times New Roman"/>
          <w:color w:val="000000"/>
          <w:kern w:val="0"/>
          <w:sz w:val="30"/>
          <w:szCs w:val="30"/>
          <w:highlight w:val="none"/>
          <w:lang w:val="en-US" w:eastAsia="zh-CN" w:bidi="ar-SA"/>
        </w:rPr>
        <w:t>%；项目支出为</w:t>
      </w:r>
      <w:r>
        <w:rPr>
          <w:rFonts w:hint="eastAsia" w:ascii="Times New Roman" w:hAnsi="Times New Roman" w:eastAsia="仿宋_GB2312" w:cs="Times New Roman"/>
          <w:color w:val="000000"/>
          <w:kern w:val="0"/>
          <w:sz w:val="30"/>
          <w:szCs w:val="30"/>
          <w:highlight w:val="none"/>
          <w:lang w:val="en-US" w:eastAsia="zh-CN" w:bidi="ar-SA"/>
        </w:rPr>
        <w:t>2543.64</w:t>
      </w:r>
      <w:r>
        <w:rPr>
          <w:rFonts w:hint="default" w:ascii="Times New Roman" w:hAnsi="Times New Roman" w:eastAsia="仿宋_GB2312" w:cs="Times New Roman"/>
          <w:color w:val="000000"/>
          <w:kern w:val="0"/>
          <w:sz w:val="30"/>
          <w:szCs w:val="30"/>
          <w:highlight w:val="none"/>
          <w:lang w:val="en-US" w:eastAsia="zh-CN" w:bidi="ar-SA"/>
        </w:rPr>
        <w:t>万元，占本年支出的</w:t>
      </w:r>
      <w:r>
        <w:rPr>
          <w:rFonts w:hint="eastAsia" w:ascii="Times New Roman" w:hAnsi="Times New Roman" w:eastAsia="仿宋_GB2312" w:cs="Times New Roman"/>
          <w:color w:val="000000"/>
          <w:kern w:val="0"/>
          <w:sz w:val="30"/>
          <w:szCs w:val="30"/>
          <w:highlight w:val="none"/>
          <w:lang w:val="en-US" w:eastAsia="zh-CN" w:bidi="ar-SA"/>
        </w:rPr>
        <w:t>42.62</w:t>
      </w:r>
      <w:r>
        <w:rPr>
          <w:rFonts w:hint="default" w:ascii="Times New Roman" w:hAnsi="Times New Roman" w:eastAsia="仿宋_GB2312" w:cs="Times New Roman"/>
          <w:color w:val="000000"/>
          <w:kern w:val="0"/>
          <w:sz w:val="30"/>
          <w:szCs w:val="30"/>
          <w:highlight w:val="none"/>
          <w:lang w:val="en-US" w:eastAsia="zh-CN" w:bidi="ar-SA"/>
        </w:rPr>
        <w:t>%，具体如下：</w:t>
      </w:r>
    </w:p>
    <w:p w14:paraId="1D75E831">
      <w:pPr>
        <w:pStyle w:val="9"/>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仿宋" w:hAnsi="仿宋" w:eastAsia="仿宋" w:cs="仿宋"/>
          <w:kern w:val="0"/>
          <w:sz w:val="32"/>
          <w:szCs w:val="32"/>
          <w:highlight w:val="none"/>
          <w:lang w:val="en-US" w:eastAsia="zh-CN" w:bidi="ar-SA"/>
        </w:rPr>
        <w:t>（一）</w:t>
      </w:r>
      <w:r>
        <w:rPr>
          <w:rFonts w:hint="default" w:ascii="Times New Roman" w:hAnsi="Times New Roman" w:eastAsia="仿宋_GB2312" w:cs="Times New Roman"/>
          <w:color w:val="000000"/>
          <w:kern w:val="0"/>
          <w:sz w:val="32"/>
          <w:szCs w:val="32"/>
          <w:highlight w:val="none"/>
          <w:lang w:val="en-US" w:eastAsia="zh-CN" w:bidi="ar-SA"/>
        </w:rPr>
        <w:t>基本支出情况</w:t>
      </w:r>
    </w:p>
    <w:p w14:paraId="73C115AC">
      <w:pPr>
        <w:pStyle w:val="9"/>
        <w:keepNext w:val="0"/>
        <w:keepLines w:val="0"/>
        <w:pageBreakBefore w:val="0"/>
        <w:widowControl/>
        <w:kinsoku/>
        <w:wordWrap/>
        <w:overflowPunct/>
        <w:topLinePunct w:val="0"/>
        <w:autoSpaceDE/>
        <w:autoSpaceDN/>
        <w:bidi w:val="0"/>
        <w:adjustRightInd/>
        <w:snapToGrid/>
        <w:spacing w:line="640" w:lineRule="exact"/>
        <w:ind w:left="0" w:leftChars="0" w:firstLine="900" w:firstLineChars="300"/>
        <w:jc w:val="both"/>
        <w:textAlignment w:val="auto"/>
        <w:rPr>
          <w:rFonts w:hint="default" w:ascii="Times New Roman" w:hAnsi="Times New Roman" w:eastAsia="仿宋_GB2312" w:cs="Times New Roman"/>
          <w:color w:val="000000"/>
          <w:kern w:val="0"/>
          <w:sz w:val="30"/>
          <w:szCs w:val="30"/>
          <w:highlight w:val="none"/>
          <w:lang w:val="en-US" w:eastAsia="zh-CN" w:bidi="ar-SA"/>
        </w:rPr>
      </w:pPr>
      <w:r>
        <w:rPr>
          <w:rFonts w:hint="default" w:ascii="Times New Roman" w:hAnsi="Times New Roman" w:eastAsia="仿宋_GB2312" w:cs="Times New Roman"/>
          <w:color w:val="000000"/>
          <w:kern w:val="0"/>
          <w:sz w:val="30"/>
          <w:szCs w:val="30"/>
          <w:highlight w:val="none"/>
          <w:lang w:val="en-US" w:eastAsia="zh-CN" w:bidi="ar-SA"/>
        </w:rPr>
        <w:t>202</w:t>
      </w:r>
      <w:r>
        <w:rPr>
          <w:rFonts w:hint="eastAsia" w:ascii="Times New Roman" w:hAnsi="Times New Roman" w:eastAsia="仿宋_GB2312" w:cs="Times New Roman"/>
          <w:color w:val="000000"/>
          <w:kern w:val="0"/>
          <w:sz w:val="30"/>
          <w:szCs w:val="30"/>
          <w:highlight w:val="none"/>
          <w:lang w:val="en-US" w:eastAsia="zh-CN" w:bidi="ar-SA"/>
        </w:rPr>
        <w:t>4</w:t>
      </w:r>
      <w:r>
        <w:rPr>
          <w:rFonts w:hint="default" w:ascii="Times New Roman" w:hAnsi="Times New Roman" w:eastAsia="仿宋_GB2312" w:cs="Times New Roman"/>
          <w:color w:val="000000"/>
          <w:kern w:val="0"/>
          <w:sz w:val="30"/>
          <w:szCs w:val="30"/>
          <w:highlight w:val="none"/>
          <w:lang w:val="en-US" w:eastAsia="zh-CN" w:bidi="ar-SA"/>
        </w:rPr>
        <w:t>年，单位基本支出决算数为</w:t>
      </w:r>
      <w:r>
        <w:rPr>
          <w:rFonts w:hint="eastAsia" w:ascii="Times New Roman" w:hAnsi="Times New Roman" w:eastAsia="仿宋_GB2312" w:cs="Times New Roman"/>
          <w:color w:val="000000"/>
          <w:kern w:val="0"/>
          <w:sz w:val="30"/>
          <w:szCs w:val="30"/>
          <w:highlight w:val="none"/>
          <w:lang w:val="en-US" w:eastAsia="zh-CN" w:bidi="ar-SA"/>
        </w:rPr>
        <w:t>3424.8</w:t>
      </w:r>
      <w:r>
        <w:rPr>
          <w:rFonts w:hint="default" w:ascii="Times New Roman" w:hAnsi="Times New Roman" w:eastAsia="仿宋_GB2312" w:cs="Times New Roman"/>
          <w:color w:val="000000"/>
          <w:kern w:val="0"/>
          <w:sz w:val="30"/>
          <w:szCs w:val="30"/>
          <w:highlight w:val="none"/>
          <w:lang w:val="en-US" w:eastAsia="zh-CN" w:bidi="ar-SA"/>
        </w:rPr>
        <w:t>万元，占本年支出的</w:t>
      </w:r>
      <w:r>
        <w:rPr>
          <w:rFonts w:hint="eastAsia" w:ascii="Times New Roman" w:hAnsi="Times New Roman" w:eastAsia="仿宋_GB2312" w:cs="Times New Roman"/>
          <w:color w:val="000000"/>
          <w:kern w:val="0"/>
          <w:sz w:val="30"/>
          <w:szCs w:val="30"/>
          <w:highlight w:val="none"/>
          <w:lang w:val="en-US" w:eastAsia="zh-CN" w:bidi="ar-SA"/>
        </w:rPr>
        <w:t>57.38</w:t>
      </w:r>
      <w:r>
        <w:rPr>
          <w:rFonts w:hint="default" w:ascii="Times New Roman" w:hAnsi="Times New Roman" w:eastAsia="仿宋_GB2312" w:cs="Times New Roman"/>
          <w:color w:val="000000"/>
          <w:kern w:val="0"/>
          <w:sz w:val="30"/>
          <w:szCs w:val="30"/>
          <w:highlight w:val="none"/>
          <w:lang w:val="en-US" w:eastAsia="zh-CN" w:bidi="ar-SA"/>
        </w:rPr>
        <w:t>%%。主要用于单位在职人员基本工资、津贴补贴等工资福利支出</w:t>
      </w:r>
      <w:r>
        <w:rPr>
          <w:rFonts w:hint="eastAsia" w:ascii="Times New Roman" w:hAnsi="Times New Roman" w:eastAsia="仿宋_GB2312" w:cs="Times New Roman"/>
          <w:color w:val="000000"/>
          <w:kern w:val="0"/>
          <w:sz w:val="30"/>
          <w:szCs w:val="30"/>
          <w:highlight w:val="none"/>
          <w:lang w:val="en-US" w:eastAsia="zh-CN" w:bidi="ar-SA"/>
        </w:rPr>
        <w:t>1828.56</w:t>
      </w:r>
      <w:r>
        <w:rPr>
          <w:rFonts w:hint="default" w:ascii="Times New Roman" w:hAnsi="Times New Roman" w:eastAsia="仿宋_GB2312" w:cs="Times New Roman"/>
          <w:color w:val="000000"/>
          <w:kern w:val="0"/>
          <w:sz w:val="30"/>
          <w:szCs w:val="30"/>
          <w:highlight w:val="none"/>
          <w:lang w:val="en-US" w:eastAsia="zh-CN" w:bidi="ar-SA"/>
        </w:rPr>
        <w:t>万元，占基本支出的</w:t>
      </w:r>
      <w:r>
        <w:rPr>
          <w:rFonts w:hint="eastAsia" w:ascii="Times New Roman" w:hAnsi="Times New Roman" w:eastAsia="仿宋_GB2312" w:cs="Times New Roman"/>
          <w:color w:val="000000"/>
          <w:kern w:val="0"/>
          <w:sz w:val="30"/>
          <w:szCs w:val="30"/>
          <w:highlight w:val="none"/>
          <w:lang w:val="en-US" w:eastAsia="zh-CN" w:bidi="ar-SA"/>
        </w:rPr>
        <w:t>53.39</w:t>
      </w:r>
      <w:r>
        <w:rPr>
          <w:rFonts w:hint="default" w:ascii="Times New Roman" w:hAnsi="Times New Roman" w:eastAsia="仿宋_GB2312" w:cs="Times New Roman"/>
          <w:color w:val="000000"/>
          <w:kern w:val="0"/>
          <w:sz w:val="30"/>
          <w:szCs w:val="30"/>
          <w:highlight w:val="none"/>
          <w:lang w:val="en-US" w:eastAsia="zh-CN" w:bidi="ar-SA"/>
        </w:rPr>
        <w:t>%；办公费、印刷费、水费、电费、电话费、差旅费等商品和服务支出</w:t>
      </w:r>
      <w:r>
        <w:rPr>
          <w:rFonts w:hint="eastAsia" w:ascii="Times New Roman" w:hAnsi="Times New Roman" w:eastAsia="仿宋_GB2312" w:cs="Times New Roman"/>
          <w:color w:val="000000"/>
          <w:kern w:val="0"/>
          <w:sz w:val="30"/>
          <w:szCs w:val="30"/>
          <w:highlight w:val="none"/>
          <w:lang w:val="en-US" w:eastAsia="zh-CN" w:bidi="ar-SA"/>
        </w:rPr>
        <w:t>1596.24</w:t>
      </w:r>
      <w:r>
        <w:rPr>
          <w:rFonts w:hint="default" w:ascii="Times New Roman" w:hAnsi="Times New Roman" w:eastAsia="仿宋_GB2312" w:cs="Times New Roman"/>
          <w:color w:val="000000"/>
          <w:kern w:val="0"/>
          <w:sz w:val="30"/>
          <w:szCs w:val="30"/>
          <w:highlight w:val="none"/>
          <w:lang w:val="en-US" w:eastAsia="zh-CN" w:bidi="ar-SA"/>
        </w:rPr>
        <w:t>万元，占基本支出的</w:t>
      </w:r>
      <w:r>
        <w:rPr>
          <w:rFonts w:hint="eastAsia" w:ascii="Times New Roman" w:hAnsi="Times New Roman" w:eastAsia="仿宋_GB2312" w:cs="Times New Roman"/>
          <w:color w:val="000000"/>
          <w:kern w:val="0"/>
          <w:sz w:val="30"/>
          <w:szCs w:val="30"/>
          <w:highlight w:val="none"/>
          <w:lang w:val="en-US" w:eastAsia="zh-CN" w:bidi="ar-SA"/>
        </w:rPr>
        <w:t>46.61</w:t>
      </w:r>
      <w:r>
        <w:rPr>
          <w:rFonts w:hint="default" w:ascii="Times New Roman" w:hAnsi="Times New Roman" w:eastAsia="仿宋_GB2312" w:cs="Times New Roman"/>
          <w:color w:val="000000"/>
          <w:kern w:val="0"/>
          <w:sz w:val="30"/>
          <w:szCs w:val="30"/>
          <w:highlight w:val="none"/>
          <w:lang w:val="en-US" w:eastAsia="zh-CN" w:bidi="ar-SA"/>
        </w:rPr>
        <w:t>%</w:t>
      </w:r>
      <w:r>
        <w:rPr>
          <w:rFonts w:hint="eastAsia" w:ascii="Times New Roman" w:hAnsi="Times New Roman" w:eastAsia="仿宋_GB2312" w:cs="Times New Roman"/>
          <w:color w:val="000000"/>
          <w:kern w:val="0"/>
          <w:sz w:val="30"/>
          <w:szCs w:val="30"/>
          <w:highlight w:val="none"/>
          <w:lang w:val="en-US" w:eastAsia="zh-CN" w:bidi="ar-SA"/>
        </w:rPr>
        <w:t>。</w:t>
      </w:r>
    </w:p>
    <w:p w14:paraId="78FA18A2">
      <w:pPr>
        <w:pStyle w:val="9"/>
        <w:keepNext w:val="0"/>
        <w:keepLines w:val="0"/>
        <w:pageBreakBefore w:val="0"/>
        <w:widowControl/>
        <w:kinsoku/>
        <w:wordWrap/>
        <w:overflowPunct/>
        <w:topLinePunct w:val="0"/>
        <w:autoSpaceDE/>
        <w:autoSpaceDN/>
        <w:bidi w:val="0"/>
        <w:adjustRightInd/>
        <w:snapToGrid/>
        <w:spacing w:line="640" w:lineRule="exact"/>
        <w:ind w:left="0" w:leftChars="0" w:firstLine="1200" w:firstLineChars="400"/>
        <w:jc w:val="both"/>
        <w:textAlignment w:val="auto"/>
        <w:rPr>
          <w:rFonts w:hint="default" w:ascii="Times New Roman" w:hAnsi="Times New Roman" w:eastAsia="仿宋_GB2312" w:cs="Times New Roman"/>
          <w:color w:val="000000"/>
          <w:kern w:val="0"/>
          <w:sz w:val="30"/>
          <w:szCs w:val="30"/>
          <w:highlight w:val="none"/>
          <w:lang w:val="en-US" w:eastAsia="zh-CN" w:bidi="ar-SA"/>
        </w:rPr>
      </w:pPr>
      <w:r>
        <w:rPr>
          <w:rFonts w:hint="default" w:ascii="Times New Roman" w:hAnsi="Times New Roman" w:eastAsia="仿宋_GB2312" w:cs="Times New Roman"/>
          <w:color w:val="000000"/>
          <w:kern w:val="0"/>
          <w:sz w:val="30"/>
          <w:szCs w:val="30"/>
          <w:highlight w:val="none"/>
          <w:lang w:val="en-US" w:eastAsia="zh-CN" w:bidi="ar-SA"/>
        </w:rPr>
        <w:t>202</w:t>
      </w:r>
      <w:r>
        <w:rPr>
          <w:rFonts w:hint="eastAsia" w:ascii="Times New Roman" w:hAnsi="Times New Roman" w:eastAsia="仿宋_GB2312" w:cs="Times New Roman"/>
          <w:color w:val="000000"/>
          <w:kern w:val="0"/>
          <w:sz w:val="30"/>
          <w:szCs w:val="30"/>
          <w:highlight w:val="none"/>
          <w:lang w:val="en-US" w:eastAsia="zh-CN" w:bidi="ar-SA"/>
        </w:rPr>
        <w:t>4</w:t>
      </w:r>
      <w:r>
        <w:rPr>
          <w:rFonts w:hint="default" w:ascii="Times New Roman" w:hAnsi="Times New Roman" w:eastAsia="仿宋_GB2312" w:cs="Times New Roman"/>
          <w:color w:val="000000"/>
          <w:kern w:val="0"/>
          <w:sz w:val="30"/>
          <w:szCs w:val="30"/>
          <w:highlight w:val="none"/>
          <w:lang w:val="en-US" w:eastAsia="zh-CN" w:bidi="ar-SA"/>
        </w:rPr>
        <w:t>年，单位“三公”经费支出</w:t>
      </w:r>
      <w:r>
        <w:rPr>
          <w:rFonts w:hint="eastAsia" w:ascii="Times New Roman" w:hAnsi="Times New Roman" w:eastAsia="仿宋_GB2312" w:cs="Times New Roman"/>
          <w:color w:val="000000"/>
          <w:kern w:val="0"/>
          <w:sz w:val="30"/>
          <w:szCs w:val="30"/>
          <w:highlight w:val="none"/>
          <w:lang w:val="en-US" w:eastAsia="zh-CN" w:bidi="ar-SA"/>
        </w:rPr>
        <w:t>0</w:t>
      </w:r>
      <w:r>
        <w:rPr>
          <w:rFonts w:hint="default" w:ascii="Times New Roman" w:hAnsi="Times New Roman" w:eastAsia="仿宋_GB2312" w:cs="Times New Roman"/>
          <w:color w:val="000000"/>
          <w:kern w:val="0"/>
          <w:sz w:val="30"/>
          <w:szCs w:val="30"/>
          <w:highlight w:val="none"/>
          <w:lang w:val="en-US" w:eastAsia="zh-CN" w:bidi="ar-SA"/>
        </w:rPr>
        <w:t>万元</w:t>
      </w:r>
      <w:r>
        <w:rPr>
          <w:rFonts w:hint="eastAsia" w:ascii="Times New Roman" w:hAnsi="Times New Roman" w:eastAsia="仿宋_GB2312" w:cs="Times New Roman"/>
          <w:color w:val="000000"/>
          <w:kern w:val="0"/>
          <w:sz w:val="30"/>
          <w:szCs w:val="30"/>
          <w:highlight w:val="none"/>
          <w:lang w:val="en-US" w:eastAsia="zh-CN" w:bidi="ar-SA"/>
        </w:rPr>
        <w:t>。</w:t>
      </w:r>
    </w:p>
    <w:p w14:paraId="3139D3D0">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default"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（二）</w:t>
      </w:r>
      <w:r>
        <w:rPr>
          <w:rFonts w:hint="default" w:ascii="仿宋" w:hAnsi="仿宋" w:eastAsia="仿宋" w:cs="仿宋"/>
          <w:kern w:val="0"/>
          <w:sz w:val="32"/>
          <w:szCs w:val="32"/>
          <w:highlight w:val="none"/>
          <w:lang w:val="en-US" w:eastAsia="zh-CN" w:bidi="ar-SA"/>
        </w:rPr>
        <w:t>项目支出情况</w:t>
      </w:r>
    </w:p>
    <w:p w14:paraId="1CAAC7BE">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kern w:val="0"/>
          <w:sz w:val="30"/>
          <w:szCs w:val="30"/>
          <w:highlight w:val="none"/>
          <w:lang w:val="en-US" w:eastAsia="zh-CN" w:bidi="ar-SA"/>
        </w:rPr>
      </w:pPr>
      <w:r>
        <w:rPr>
          <w:rFonts w:hint="eastAsia" w:ascii="Times New Roman" w:hAnsi="Times New Roman" w:eastAsia="楷体_GB2312" w:cs="Times New Roman"/>
          <w:b/>
          <w:sz w:val="32"/>
          <w:szCs w:val="32"/>
          <w:highlight w:val="none"/>
          <w:lang w:val="en-US" w:eastAsia="zh-CN"/>
        </w:rPr>
        <w:t xml:space="preserve">       </w:t>
      </w:r>
      <w:r>
        <w:rPr>
          <w:rFonts w:hint="default" w:ascii="Times New Roman" w:hAnsi="Times New Roman" w:eastAsia="仿宋_GB2312" w:cs="Times New Roman"/>
          <w:color w:val="000000"/>
          <w:kern w:val="0"/>
          <w:sz w:val="30"/>
          <w:szCs w:val="30"/>
          <w:highlight w:val="none"/>
          <w:lang w:val="en-US" w:eastAsia="zh-CN" w:bidi="ar-SA"/>
        </w:rPr>
        <w:t>20</w:t>
      </w:r>
      <w:r>
        <w:rPr>
          <w:rFonts w:hint="eastAsia" w:ascii="Times New Roman" w:hAnsi="Times New Roman" w:eastAsia="仿宋_GB2312" w:cs="Times New Roman"/>
          <w:color w:val="000000"/>
          <w:kern w:val="0"/>
          <w:sz w:val="30"/>
          <w:szCs w:val="30"/>
          <w:highlight w:val="none"/>
          <w:lang w:val="en-US" w:eastAsia="zh-CN" w:bidi="ar-SA"/>
        </w:rPr>
        <w:t>24年，本单位项目支出决算数为2543.64万元，占本年支出的42.62%。单位项目资金严格按照政策文件开支，厉行节约、量入为出，完善了重大事项集体决策制度，保证项目资金的合理使用。</w:t>
      </w:r>
    </w:p>
    <w:p w14:paraId="07988A7C">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141746FF">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仿宋_GB2312" w:cs="Times New Roman"/>
          <w:color w:val="000000"/>
          <w:kern w:val="0"/>
          <w:sz w:val="30"/>
          <w:szCs w:val="30"/>
          <w:highlight w:val="none"/>
          <w:lang w:val="en-US" w:eastAsia="zh-CN" w:bidi="ar-SA"/>
        </w:rPr>
      </w:pPr>
      <w:r>
        <w:rPr>
          <w:rFonts w:hint="eastAsia" w:ascii="Times New Roman" w:hAnsi="Times New Roman" w:eastAsia="楷体_GB2312" w:cs="Times New Roman"/>
          <w:b/>
          <w:sz w:val="32"/>
          <w:szCs w:val="32"/>
          <w:highlight w:val="none"/>
          <w:lang w:val="en-US" w:eastAsia="zh-CN"/>
        </w:rPr>
        <w:t xml:space="preserve">   </w:t>
      </w:r>
      <w:r>
        <w:rPr>
          <w:rFonts w:hint="default" w:ascii="Times New Roman" w:hAnsi="Times New Roman" w:eastAsia="仿宋_GB2312" w:cs="Times New Roman"/>
          <w:color w:val="000000"/>
          <w:kern w:val="0"/>
          <w:sz w:val="30"/>
          <w:szCs w:val="30"/>
          <w:highlight w:val="none"/>
          <w:lang w:val="en-US" w:eastAsia="zh-CN" w:bidi="ar-SA"/>
        </w:rPr>
        <w:t>20</w:t>
      </w:r>
      <w:r>
        <w:rPr>
          <w:rFonts w:hint="eastAsia" w:ascii="Times New Roman" w:hAnsi="Times New Roman" w:eastAsia="仿宋_GB2312" w:cs="Times New Roman"/>
          <w:color w:val="000000"/>
          <w:kern w:val="0"/>
          <w:sz w:val="30"/>
          <w:szCs w:val="30"/>
          <w:highlight w:val="none"/>
          <w:lang w:val="en-US" w:eastAsia="zh-CN" w:bidi="ar-SA"/>
        </w:rPr>
        <w:t>24年我单位政府性基金预算支出300万元，用于支付“师训基地施工项目”施工农民工工资。</w:t>
      </w:r>
    </w:p>
    <w:p w14:paraId="7176AC37">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09221E25">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仿宋_GB2312" w:cs="Times New Roman"/>
          <w:color w:val="000000"/>
          <w:kern w:val="0"/>
          <w:sz w:val="30"/>
          <w:szCs w:val="30"/>
          <w:highlight w:val="none"/>
          <w:lang w:val="en-US" w:eastAsia="zh-CN" w:bidi="ar-SA"/>
        </w:rPr>
      </w:pPr>
      <w:r>
        <w:rPr>
          <w:rFonts w:hint="eastAsia" w:ascii="Times New Roman" w:hAnsi="Times New Roman" w:eastAsia="楷体_GB2312" w:cs="Times New Roman"/>
          <w:b/>
          <w:sz w:val="32"/>
          <w:szCs w:val="32"/>
          <w:highlight w:val="none"/>
          <w:lang w:val="en-US" w:eastAsia="zh-CN"/>
        </w:rPr>
        <w:t xml:space="preserve">   </w:t>
      </w:r>
      <w:r>
        <w:rPr>
          <w:rFonts w:hint="default" w:ascii="Times New Roman" w:hAnsi="Times New Roman" w:eastAsia="仿宋_GB2312" w:cs="Times New Roman"/>
          <w:color w:val="000000"/>
          <w:kern w:val="0"/>
          <w:sz w:val="30"/>
          <w:szCs w:val="30"/>
          <w:highlight w:val="none"/>
          <w:lang w:val="en-US" w:eastAsia="zh-CN" w:bidi="ar-SA"/>
        </w:rPr>
        <w:t>20</w:t>
      </w:r>
      <w:r>
        <w:rPr>
          <w:rFonts w:hint="eastAsia" w:ascii="Times New Roman" w:hAnsi="Times New Roman" w:eastAsia="仿宋_GB2312" w:cs="Times New Roman"/>
          <w:color w:val="000000"/>
          <w:kern w:val="0"/>
          <w:sz w:val="30"/>
          <w:szCs w:val="30"/>
          <w:highlight w:val="none"/>
          <w:lang w:val="en-US" w:eastAsia="zh-CN" w:bidi="ar-SA"/>
        </w:rPr>
        <w:t>24年我单位无</w:t>
      </w:r>
      <w:r>
        <w:rPr>
          <w:rFonts w:hint="default" w:ascii="Times New Roman" w:hAnsi="Times New Roman" w:eastAsia="仿宋_GB2312" w:cs="Times New Roman"/>
          <w:color w:val="000000"/>
          <w:kern w:val="0"/>
          <w:sz w:val="30"/>
          <w:szCs w:val="30"/>
          <w:highlight w:val="none"/>
          <w:lang w:val="en-US" w:eastAsia="zh-CN" w:bidi="ar-SA"/>
        </w:rPr>
        <w:t>国有资本经营</w:t>
      </w:r>
      <w:r>
        <w:rPr>
          <w:rFonts w:hint="eastAsia" w:ascii="Times New Roman" w:hAnsi="Times New Roman" w:eastAsia="仿宋_GB2312" w:cs="Times New Roman"/>
          <w:color w:val="000000"/>
          <w:kern w:val="0"/>
          <w:sz w:val="30"/>
          <w:szCs w:val="30"/>
          <w:highlight w:val="none"/>
          <w:lang w:val="en-US" w:eastAsia="zh-CN" w:bidi="ar-SA"/>
        </w:rPr>
        <w:t>预算支出。</w:t>
      </w:r>
    </w:p>
    <w:p w14:paraId="65387EAE">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69734827">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900" w:firstLineChars="3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color w:val="000000"/>
          <w:kern w:val="0"/>
          <w:sz w:val="30"/>
          <w:szCs w:val="30"/>
          <w:highlight w:val="none"/>
          <w:lang w:val="en-US" w:eastAsia="zh-CN" w:bidi="ar-SA"/>
        </w:rPr>
        <w:t>20</w:t>
      </w:r>
      <w:r>
        <w:rPr>
          <w:rFonts w:hint="eastAsia" w:ascii="Times New Roman" w:hAnsi="Times New Roman" w:eastAsia="仿宋_GB2312" w:cs="Times New Roman"/>
          <w:color w:val="000000"/>
          <w:kern w:val="0"/>
          <w:sz w:val="30"/>
          <w:szCs w:val="30"/>
          <w:highlight w:val="none"/>
          <w:lang w:val="en-US" w:eastAsia="zh-CN" w:bidi="ar-SA"/>
        </w:rPr>
        <w:t>24年我单位无</w:t>
      </w:r>
      <w:r>
        <w:rPr>
          <w:rFonts w:hint="default" w:ascii="Times New Roman" w:hAnsi="Times New Roman" w:eastAsia="仿宋_GB2312" w:cs="Times New Roman"/>
          <w:color w:val="000000"/>
          <w:kern w:val="0"/>
          <w:sz w:val="30"/>
          <w:szCs w:val="30"/>
          <w:highlight w:val="none"/>
          <w:lang w:val="en-US" w:eastAsia="zh-CN" w:bidi="ar-SA"/>
        </w:rPr>
        <w:t>社会保险基金</w:t>
      </w:r>
      <w:r>
        <w:rPr>
          <w:rFonts w:hint="eastAsia" w:ascii="Times New Roman" w:hAnsi="Times New Roman" w:eastAsia="仿宋_GB2312" w:cs="Times New Roman"/>
          <w:color w:val="000000"/>
          <w:kern w:val="0"/>
          <w:sz w:val="30"/>
          <w:szCs w:val="30"/>
          <w:highlight w:val="none"/>
          <w:lang w:val="en-US" w:eastAsia="zh-CN" w:bidi="ar-SA"/>
        </w:rPr>
        <w:t>预算支出。</w:t>
      </w:r>
    </w:p>
    <w:p w14:paraId="2344259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53EA3A6">
      <w:pPr>
        <w:keepNext w:val="0"/>
        <w:keepLines w:val="0"/>
        <w:pageBreakBefore w:val="0"/>
        <w:numPr>
          <w:ilvl w:val="0"/>
          <w:numId w:val="0"/>
        </w:numPr>
        <w:kinsoku/>
        <w:wordWrap/>
        <w:overflowPunct/>
        <w:topLinePunct w:val="0"/>
        <w:autoSpaceDE/>
        <w:autoSpaceDN/>
        <w:bidi w:val="0"/>
        <w:adjustRightInd/>
        <w:snapToGrid/>
        <w:spacing w:line="640" w:lineRule="exact"/>
        <w:ind w:firstLine="900" w:firstLineChars="300"/>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2024年，根据开大工作规划和重点工作，围绕市委、市政府的工作部署，积极履行职责，强化管理，较好地完成了年度工作目标，同时加强预算收支管理，建立健全内部管理制度，严格内部管理流程，部门整体支出管理得到了提升。2024年度部门整体支出绩效情况如下：</w:t>
      </w:r>
    </w:p>
    <w:p w14:paraId="540513A8">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kern w:val="0"/>
          <w:sz w:val="30"/>
          <w:szCs w:val="30"/>
          <w:highlight w:val="none"/>
          <w:lang w:val="en-US" w:eastAsia="zh-CN" w:bidi="ar-SA"/>
        </w:rPr>
        <w:t>1</w:t>
      </w:r>
      <w:r>
        <w:rPr>
          <w:rFonts w:hint="eastAsia" w:ascii="Times New Roman" w:hAnsi="Times New Roman" w:eastAsia="仿宋_GB2312" w:cs="Times New Roman"/>
          <w:color w:val="000000"/>
          <w:sz w:val="30"/>
          <w:szCs w:val="30"/>
          <w:highlight w:val="none"/>
          <w:lang w:val="en-US" w:eastAsia="zh-CN"/>
        </w:rPr>
        <w:t>、本年预算配置控制较好，财政供养人员控制在预算编制以内，实际在职人员数与编制数相同。</w:t>
      </w:r>
    </w:p>
    <w:p w14:paraId="6FC29290">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2、预算执行方面，支出总额控制在预算总额以内；单位预算资金按规定管理使用，本年财政预算资金结存较大。其他专项工程建设资金按进度拨付资金，较好的完成了当年任务目标，财政拨款支出总体控制较好。</w:t>
      </w:r>
    </w:p>
    <w:p w14:paraId="3A4FABE6">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3、预算管理方面，学校制定了切实有效的内部财务、车辆、资产内部管理制度，执行总体较为有效。</w:t>
      </w:r>
    </w:p>
    <w:p w14:paraId="1664ED4D">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4、学校机构设置调整。学校申请通过2024年全省重点民生实事项目“提质改造‘爱晚’老年学校”，并挂牌“爱晚老年学校”。</w:t>
      </w:r>
    </w:p>
    <w:p w14:paraId="16FBA75E">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5、人才培养创造新业绩，学历教育勇攀新高峰（每年平均招生5000人左右）。</w:t>
      </w:r>
    </w:p>
    <w:p w14:paraId="44BC105D">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6、办学效益获得新突破。全年财政预算收入、项目建设收入、办学业务收入、成本分摊收入、继教培训收入、专项拔款收入达6268余万元。</w:t>
      </w:r>
    </w:p>
    <w:p w14:paraId="77D6EE6E">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7、硬件、软件设备维护改造。2024年校园实施了立体式改造提质，实施和完成了“岳阳老年大学”教学楼的改造工程，改善了实体校园环境。</w:t>
      </w:r>
    </w:p>
    <w:p w14:paraId="673D2139">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8、教师队伍建设缓解了我校高速发展对人才的巨大需求。</w:t>
      </w:r>
    </w:p>
    <w:p w14:paraId="564BFADB">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9、教学、科研、项目成果。在省电大教育类专业优秀毕业论文评选活动、省电大数学文化知识竞赛、等一系列活动，并获得了荣誉。学校科研质量的提升开拓了学术科研新阵地，科研工作的丰硕成果展示了岳阳开大办学水平。</w:t>
      </w:r>
    </w:p>
    <w:p w14:paraId="1EC1AA68">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3A0D016">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1、预算编制与单位实际情况相结合，做到精细化、精准化预算编制与单位实际情况相结合，没有做到精细化、精准化，不利于财政资金管理和财政资金使用效率提高。</w:t>
      </w:r>
    </w:p>
    <w:p w14:paraId="51C429C5">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2、完善专项资金核算体系</w:t>
      </w:r>
    </w:p>
    <w:p w14:paraId="1C50F0EE">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专项资金目前未以项目管理模式进行单独财务核算，其收入、支出额分别包含在收入、基本支出中，在《收入支出表》 《事业支出明细表》中均未单独列示，监管层，报表使用人无法直观分析其动态投入、使用情况。</w:t>
      </w:r>
    </w:p>
    <w:p w14:paraId="0BE80774">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3、资金预算未完全实施绩效考核实时跟踪监控管理</w:t>
      </w:r>
    </w:p>
    <w:p w14:paraId="23FE4CFF">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绩效评价是提高预算资金使用效率的有效手段，是一项关系财政资金安全的重要工作。绩效评价贯穿于预算编制、执行、监督，贯穿于项目事前、事中、事后全过程。</w:t>
      </w:r>
    </w:p>
    <w:p w14:paraId="55422DC5">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343C029D">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1、预算编制需结合单位实际情况，编制范围尽可能的全面，不漏项；在预算编制时首先需满足固定性的、相对刚性的费用支出项目，尽量压缩变动性的、有控制空间的费用项目，进一步提高预算编制的科学性、合理性、严谨性和可控性。</w:t>
      </w:r>
    </w:p>
    <w:p w14:paraId="46F6F251">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2、专项经费需设计与财政绩效考核相匹配的报表，分月上报，以便其分析专项经费投入使用情况，为下期拨款提供更为直观依据。</w:t>
      </w:r>
    </w:p>
    <w:p w14:paraId="6F1ADE7F">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0"/>
          <w:szCs w:val="30"/>
          <w:highlight w:val="none"/>
          <w:lang w:val="en-US" w:eastAsia="zh-CN"/>
        </w:rPr>
        <w:t>3、绩效考核实行跟踪监控管理，预算财务分析常态化，定期做好预算支出财务分析，做好部门整体支出预算评价工作</w:t>
      </w:r>
    </w:p>
    <w:p w14:paraId="1A09F10C">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6E1926F2">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color w:val="000000"/>
          <w:sz w:val="30"/>
          <w:szCs w:val="30"/>
          <w:highlight w:val="none"/>
          <w:lang w:val="en-US" w:eastAsia="zh-CN"/>
        </w:rPr>
        <w:t>将自评结果作为下年预算编制及执行的重要参考，绩效自评报告依规定公开，接受社会监督。</w:t>
      </w:r>
    </w:p>
    <w:p w14:paraId="509B1EF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3D274CAD">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val="en-US" w:eastAsia="zh-CN"/>
        </w:rPr>
        <w:t>暂无其他需要说明的情况。</w:t>
      </w:r>
    </w:p>
    <w:p w14:paraId="660726F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A041AF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14:paraId="193BBFA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C5160A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34AE3FD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0895DD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623FE0F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34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EB1B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EB1B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A85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AC2FB"/>
    <w:multiLevelType w:val="singleLevel"/>
    <w:tmpl w:val="890AC2FB"/>
    <w:lvl w:ilvl="0" w:tentative="0">
      <w:start w:val="1"/>
      <w:numFmt w:val="chineseCounting"/>
      <w:suff w:val="nothing"/>
      <w:lvlText w:val="%1、"/>
      <w:lvlJc w:val="left"/>
      <w:rPr>
        <w:rFonts w:hint="eastAsia"/>
      </w:rPr>
    </w:lvl>
  </w:abstractNum>
  <w:abstractNum w:abstractNumId="1">
    <w:nsid w:val="6BDBF825"/>
    <w:multiLevelType w:val="singleLevel"/>
    <w:tmpl w:val="6BDBF825"/>
    <w:lvl w:ilvl="0" w:tentative="0">
      <w:start w:val="5"/>
      <w:numFmt w:val="chineseCounting"/>
      <w:suff w:val="nothing"/>
      <w:lvlText w:val="%1、"/>
      <w:lvlJc w:val="left"/>
      <w:rPr>
        <w:rFonts w:hint="eastAsia"/>
      </w:rPr>
    </w:lvl>
  </w:abstractNum>
  <w:abstractNum w:abstractNumId="2">
    <w:nsid w:val="7F1EB91D"/>
    <w:multiLevelType w:val="singleLevel"/>
    <w:tmpl w:val="7F1EB91D"/>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OWZhZGQzYmY4OTY2NWQ0ZTY0NGMzYjgxNzhkNzIifQ=="/>
  </w:docVars>
  <w:rsids>
    <w:rsidRoot w:val="59886344"/>
    <w:rsid w:val="002F463C"/>
    <w:rsid w:val="01F571E8"/>
    <w:rsid w:val="13EB57DC"/>
    <w:rsid w:val="185332BD"/>
    <w:rsid w:val="1DF22820"/>
    <w:rsid w:val="288D1679"/>
    <w:rsid w:val="2C0316A2"/>
    <w:rsid w:val="3499767E"/>
    <w:rsid w:val="34A15D0D"/>
    <w:rsid w:val="50E61D3D"/>
    <w:rsid w:val="51B64D1E"/>
    <w:rsid w:val="59886344"/>
    <w:rsid w:val="5AD71099"/>
    <w:rsid w:val="61C434FA"/>
    <w:rsid w:val="620F79D8"/>
    <w:rsid w:val="64A67583"/>
    <w:rsid w:val="696C52D1"/>
    <w:rsid w:val="6FC22E8D"/>
    <w:rsid w:val="77822D6B"/>
    <w:rsid w:val="788D7EA7"/>
    <w:rsid w:val="7B59051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rPr>
      <w:rFonts w:ascii="Times New Roman" w:hAnsi="Times New Roman" w:eastAsia="宋体" w:cs="Times New Roman"/>
      <w:sz w:val="24"/>
      <w:lang w:val="en-US" w:eastAsia="zh-CN" w:bidi="ar-SA"/>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77</Words>
  <Characters>87</Characters>
  <Lines>0</Lines>
  <Paragraphs>0</Paragraphs>
  <TotalTime>36</TotalTime>
  <ScaleCrop>false</ScaleCrop>
  <LinksUpToDate>false</LinksUpToDate>
  <CharactersWithSpaces>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半寸时光</cp:lastModifiedBy>
  <cp:lastPrinted>2025-06-17T07:17:13Z</cp:lastPrinted>
  <dcterms:modified xsi:type="dcterms:W3CDTF">2025-06-17T07:19:22Z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6692B2A65DC349668E5BF9E58A2C8C69_13</vt:lpwstr>
  </property>
  <property fmtid="{D5CDD505-2E9C-101B-9397-08002B2CF9AE}" pid="4" name="KSOTemplateDocerSaveRecord">
    <vt:lpwstr>eyJoZGlkIjoiMzUwMmMxM2I4Y2M1M2NjNjE4MGY4NDkxOGUwYjdjMTAiLCJ1c2VySWQiOiI0NDI4NzMxMTAifQ==</vt:lpwstr>
  </property>
</Properties>
</file>