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岳阳市接待服务中心</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决</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岳阳市接待服务中心</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岳阳市接待服务中心</w:t>
      </w: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pStyle w:val="14"/>
        <w:numPr>
          <w:ilvl w:val="0"/>
          <w:numId w:val="0"/>
        </w:numPr>
        <w:ind w:leftChars="0"/>
        <w:jc w:val="left"/>
        <w:rPr>
          <w:rFonts w:hint="eastAsia" w:ascii="黑体" w:hAnsi="黑体" w:eastAsia="黑体" w:cs="黑体"/>
          <w:b w:val="0"/>
          <w:bCs w:val="0"/>
          <w:sz w:val="32"/>
          <w:szCs w:val="32"/>
        </w:rPr>
      </w:pPr>
    </w:p>
    <w:p>
      <w:pPr>
        <w:pStyle w:val="14"/>
        <w:numPr>
          <w:ilvl w:val="0"/>
          <w:numId w:val="0"/>
        </w:numPr>
        <w:jc w:val="left"/>
        <w:rPr>
          <w:rFonts w:hint="eastAsia" w:ascii="黑体" w:hAnsi="黑体" w:eastAsia="黑体" w:cs="黑体"/>
          <w:b w:val="0"/>
          <w:bCs w:val="0"/>
          <w:sz w:val="32"/>
          <w:szCs w:val="32"/>
        </w:rPr>
      </w:pPr>
    </w:p>
    <w:p>
      <w:pPr>
        <w:pStyle w:val="14"/>
        <w:numPr>
          <w:ilvl w:val="0"/>
          <w:numId w:val="0"/>
        </w:numPr>
        <w:jc w:val="left"/>
        <w:rPr>
          <w:rFonts w:hint="eastAsia" w:ascii="黑体" w:hAnsi="黑体" w:eastAsia="黑体" w:cs="黑体"/>
          <w:b w:val="0"/>
          <w:bCs w:val="0"/>
          <w:sz w:val="32"/>
          <w:szCs w:val="32"/>
        </w:rPr>
      </w:pPr>
    </w:p>
    <w:p>
      <w:pPr>
        <w:pStyle w:val="14"/>
        <w:numPr>
          <w:ilvl w:val="0"/>
          <w:numId w:val="0"/>
        </w:numPr>
        <w:jc w:val="left"/>
        <w:rPr>
          <w:rFonts w:hint="eastAsia" w:ascii="黑体" w:hAnsi="黑体" w:eastAsia="黑体" w:cs="黑体"/>
          <w:b w:val="0"/>
          <w:bCs w:val="0"/>
          <w:sz w:val="32"/>
          <w:szCs w:val="32"/>
        </w:rPr>
      </w:pPr>
    </w:p>
    <w:p>
      <w:pPr>
        <w:pStyle w:val="14"/>
        <w:numPr>
          <w:ilvl w:val="0"/>
          <w:numId w:val="0"/>
        </w:numPr>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keepNext w:val="0"/>
        <w:keepLines w:val="0"/>
        <w:widowControl w:val="0"/>
        <w:numPr>
          <w:ilvl w:val="0"/>
          <w:numId w:val="0"/>
        </w:numPr>
        <w:suppressLineNumbers w:val="0"/>
        <w:spacing w:before="0" w:beforeAutospacing="0" w:after="0" w:afterAutospacing="0" w:line="600" w:lineRule="exact"/>
        <w:ind w:leftChars="200" w:right="0" w:rightChars="0" w:firstLine="320" w:firstLineChars="1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市接待服务中心为市委直属正处级参公事业单位，核定全额拨款事业编制20名。主要职能职责为：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1.负责市委、市人大、市政府、市政协、岳阳军分区重要宾客的公务接待工作；</w:t>
      </w:r>
      <w:r>
        <w:rPr>
          <w:rFonts w:hint="eastAsia" w:ascii="仿宋_GB2312" w:hAnsi="仿宋_GB2312" w:eastAsia="仿宋_GB2312" w:cs="仿宋_GB2312"/>
          <w:kern w:val="2"/>
          <w:sz w:val="32"/>
          <w:szCs w:val="32"/>
          <w:lang w:val="en-US" w:eastAsia="zh-CN" w:bidi="ar"/>
        </w:rPr>
        <w:br w:type="textWrapping"/>
      </w:r>
      <w:r>
        <w:rPr>
          <w:rFonts w:hint="eastAsia" w:ascii="仿宋_GB2312" w:hAnsi="仿宋_GB2312" w:eastAsia="仿宋_GB2312" w:cs="仿宋_GB2312"/>
          <w:kern w:val="2"/>
          <w:sz w:val="32"/>
          <w:szCs w:val="32"/>
          <w:lang w:val="en-US" w:eastAsia="zh-CN" w:bidi="ar"/>
        </w:rPr>
        <w:t xml:space="preserve">    2.负责来岳党和国家领导人的接待服务工作；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3.配合市委、市政府及有关部门单位做好重要会议、重大活动的接待服务工作；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4.配合做好公务接待业务技能竞赛、考察学习、经验交流等活动；</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5.负责本单位党建、人事、财务、纪检、宣传教育、精神文明、工青妇等工作；</w:t>
      </w:r>
      <w:bookmarkStart w:id="0" w:name="_GoBack"/>
      <w:bookmarkEnd w:id="0"/>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6.负责本单位退休人员及原炮台山宾馆、原晓朝宾馆、原南湖宾馆托管人员、岳阳东站接待室服务员的管理工作；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7.完成市委、市政府交办的其它工作。</w:t>
      </w:r>
    </w:p>
    <w:p>
      <w:pPr>
        <w:pStyle w:val="14"/>
        <w:numPr>
          <w:ilvl w:val="0"/>
          <w:numId w:val="0"/>
        </w:numPr>
        <w:jc w:val="left"/>
        <w:rPr>
          <w:rFonts w:hint="eastAsia" w:ascii="黑体" w:hAnsi="黑体" w:eastAsia="黑体" w:cs="黑体"/>
          <w:b w:val="0"/>
          <w:bCs w:val="0"/>
          <w:sz w:val="32"/>
          <w:szCs w:val="32"/>
        </w:rPr>
      </w:pPr>
    </w:p>
    <w:p>
      <w:pPr>
        <w:pStyle w:val="14"/>
        <w:numPr>
          <w:ilvl w:val="0"/>
          <w:numId w:val="0"/>
        </w:numPr>
        <w:jc w:val="left"/>
        <w:rPr>
          <w:rFonts w:hint="eastAsia" w:ascii="黑体" w:hAnsi="黑体" w:eastAsia="黑体" w:cs="黑体"/>
          <w:b w:val="0"/>
          <w:bCs w:val="0"/>
          <w:sz w:val="32"/>
          <w:szCs w:val="32"/>
        </w:rPr>
      </w:pPr>
    </w:p>
    <w:p>
      <w:pPr>
        <w:pStyle w:val="14"/>
        <w:numPr>
          <w:ilvl w:val="0"/>
          <w:numId w:val="0"/>
        </w:numPr>
        <w:jc w:val="left"/>
        <w:rPr>
          <w:rFonts w:hint="eastAsia" w:ascii="黑体" w:hAnsi="黑体" w:eastAsia="黑体" w:cs="黑体"/>
          <w:b w:val="0"/>
          <w:bCs w:val="0"/>
          <w:sz w:val="32"/>
          <w:szCs w:val="32"/>
        </w:rPr>
      </w:pPr>
    </w:p>
    <w:p>
      <w:pPr>
        <w:widowControl/>
        <w:spacing w:line="600" w:lineRule="exact"/>
        <w:rPr>
          <w:rFonts w:hint="eastAsia" w:ascii="黑体" w:hAnsi="黑体" w:eastAsia="黑体" w:cs="黑体"/>
          <w:b w:val="0"/>
          <w:bCs/>
          <w:kern w:val="0"/>
          <w:sz w:val="32"/>
          <w:szCs w:val="32"/>
        </w:rPr>
      </w:pPr>
    </w:p>
    <w:p>
      <w:pPr>
        <w:widowControl/>
        <w:spacing w:line="600" w:lineRule="exact"/>
        <w:rPr>
          <w:rFonts w:hint="eastAsia" w:ascii="黑体" w:hAnsi="黑体" w:eastAsia="黑体" w:cs="黑体"/>
          <w:b w:val="0"/>
          <w:bCs/>
          <w:kern w:val="0"/>
          <w:sz w:val="32"/>
          <w:szCs w:val="32"/>
        </w:rPr>
      </w:pPr>
    </w:p>
    <w:p>
      <w:pPr>
        <w:widowControl/>
        <w:spacing w:line="600" w:lineRule="exact"/>
        <w:rPr>
          <w:rFonts w:hint="eastAsia" w:ascii="黑体" w:hAnsi="黑体" w:eastAsia="黑体" w:cs="黑体"/>
          <w:b w:val="0"/>
          <w:bCs/>
          <w:kern w:val="0"/>
          <w:sz w:val="32"/>
          <w:szCs w:val="32"/>
        </w:rPr>
      </w:pPr>
    </w:p>
    <w:p>
      <w:pPr>
        <w:widowControl/>
        <w:spacing w:line="600" w:lineRule="exact"/>
        <w:rPr>
          <w:rFonts w:hint="eastAsia" w:ascii="黑体" w:hAnsi="黑体" w:eastAsia="黑体" w:cs="黑体"/>
          <w:b w:val="0"/>
          <w:bCs/>
          <w:kern w:val="0"/>
          <w:sz w:val="32"/>
          <w:szCs w:val="32"/>
        </w:rPr>
      </w:pPr>
    </w:p>
    <w:p>
      <w:pPr>
        <w:widowControl/>
        <w:spacing w:line="600" w:lineRule="exact"/>
        <w:rPr>
          <w:rFonts w:hint="eastAsia" w:ascii="黑体" w:hAnsi="黑体" w:eastAsia="黑体" w:cs="黑体"/>
          <w:b w:val="0"/>
          <w:bCs/>
          <w:kern w:val="0"/>
          <w:sz w:val="32"/>
          <w:szCs w:val="32"/>
        </w:rPr>
      </w:pPr>
    </w:p>
    <w:p>
      <w:pPr>
        <w:widowControl/>
        <w:spacing w:line="600" w:lineRule="exact"/>
        <w:rPr>
          <w:rFonts w:hint="eastAsia" w:ascii="黑体" w:hAnsi="黑体" w:eastAsia="黑体" w:cs="黑体"/>
          <w:b w:val="0"/>
          <w:bCs/>
          <w:kern w:val="0"/>
          <w:sz w:val="32"/>
          <w:szCs w:val="32"/>
        </w:rPr>
      </w:pPr>
    </w:p>
    <w:p>
      <w:pPr>
        <w:widowControl/>
        <w:numPr>
          <w:ilvl w:val="0"/>
          <w:numId w:val="0"/>
        </w:numPr>
        <w:spacing w:line="600" w:lineRule="exact"/>
        <w:ind w:firstLine="640" w:firstLineChars="200"/>
        <w:rPr>
          <w:rFonts w:hint="eastAsia" w:ascii="黑体" w:hAnsi="黑体" w:eastAsia="黑体" w:cs="黑体"/>
          <w:b w:val="0"/>
          <w:bCs/>
          <w:kern w:val="0"/>
          <w:sz w:val="32"/>
          <w:szCs w:val="32"/>
          <w:lang w:eastAsia="zh-CN"/>
        </w:rPr>
      </w:pPr>
    </w:p>
    <w:p>
      <w:pPr>
        <w:widowControl/>
        <w:numPr>
          <w:ilvl w:val="0"/>
          <w:numId w:val="0"/>
        </w:numPr>
        <w:spacing w:line="600" w:lineRule="exact"/>
        <w:ind w:firstLine="640" w:firstLineChars="200"/>
        <w:rPr>
          <w:rFonts w:hint="eastAsia" w:ascii="黑体" w:hAnsi="黑体" w:eastAsia="黑体" w:cs="黑体"/>
          <w:b w:val="0"/>
          <w:bCs/>
          <w:kern w:val="0"/>
          <w:sz w:val="32"/>
          <w:szCs w:val="32"/>
          <w:lang w:eastAsia="zh-CN"/>
        </w:rPr>
      </w:pPr>
    </w:p>
    <w:p>
      <w:pPr>
        <w:widowControl/>
        <w:numPr>
          <w:ilvl w:val="0"/>
          <w:numId w:val="0"/>
        </w:numPr>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机构设置及决算单位构成</w:t>
      </w:r>
    </w:p>
    <w:p>
      <w:pPr>
        <w:pStyle w:val="5"/>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
          <w:bCs w:val="0"/>
          <w:kern w:val="0"/>
          <w:sz w:val="32"/>
          <w:szCs w:val="32"/>
        </w:rPr>
        <w:t>（一）内设机构设置。</w:t>
      </w:r>
      <w:r>
        <w:rPr>
          <w:rFonts w:hint="eastAsia" w:eastAsia="仿宋_GB2312" w:cs="仿宋_GB2312"/>
          <w:kern w:val="0"/>
          <w:sz w:val="32"/>
          <w:szCs w:val="32"/>
        </w:rPr>
        <w:t>岳阳市接待服务中心设主任（正处级）1名</w:t>
      </w:r>
      <w:r>
        <w:rPr>
          <w:rFonts w:hint="eastAsia" w:eastAsia="仿宋_GB2312" w:cs="仿宋_GB2312"/>
          <w:kern w:val="0"/>
          <w:sz w:val="32"/>
          <w:szCs w:val="32"/>
          <w:lang w:eastAsia="zh-CN"/>
        </w:rPr>
        <w:t>、</w:t>
      </w:r>
      <w:r>
        <w:rPr>
          <w:rFonts w:hint="eastAsia" w:eastAsia="仿宋_GB2312" w:cs="仿宋_GB2312"/>
          <w:kern w:val="0"/>
          <w:sz w:val="32"/>
          <w:szCs w:val="32"/>
        </w:rPr>
        <w:t>副主任（副处级）2名</w:t>
      </w:r>
      <w:r>
        <w:rPr>
          <w:rFonts w:hint="eastAsia" w:eastAsia="仿宋_GB2312" w:cs="仿宋_GB2312"/>
          <w:kern w:val="0"/>
          <w:sz w:val="32"/>
          <w:szCs w:val="32"/>
          <w:lang w:eastAsia="zh-CN"/>
        </w:rPr>
        <w:t>；</w:t>
      </w:r>
      <w:r>
        <w:rPr>
          <w:rFonts w:hint="eastAsia" w:eastAsia="仿宋_GB2312" w:cs="仿宋_GB2312"/>
          <w:kern w:val="0"/>
          <w:sz w:val="32"/>
          <w:szCs w:val="32"/>
        </w:rPr>
        <w:t>内设机构正科级领导职数6名（含机关党委常务副书记1名、机关纪委书记1名、离退休人员管理服务科科长1名），</w:t>
      </w:r>
      <w:r>
        <w:rPr>
          <w:rFonts w:hint="eastAsia" w:eastAsia="仿宋_GB2312" w:cs="仿宋_GB2312"/>
          <w:kern w:val="0"/>
          <w:sz w:val="32"/>
          <w:szCs w:val="32"/>
          <w:lang w:eastAsia="zh-CN"/>
        </w:rPr>
        <w:t>设置</w:t>
      </w:r>
      <w:r>
        <w:rPr>
          <w:rFonts w:hint="eastAsia" w:eastAsia="仿宋_GB2312" w:cs="仿宋_GB2312"/>
          <w:kern w:val="0"/>
          <w:sz w:val="32"/>
          <w:szCs w:val="32"/>
        </w:rPr>
        <w:t>3个内设科室：综合科、接待科、业务指导管理科</w:t>
      </w:r>
      <w:r>
        <w:rPr>
          <w:rFonts w:hint="eastAsia" w:eastAsia="仿宋_GB2312" w:cs="仿宋_GB2312"/>
          <w:kern w:val="0"/>
          <w:sz w:val="32"/>
          <w:szCs w:val="32"/>
          <w:lang w:eastAsia="zh-CN"/>
        </w:rPr>
        <w:t>，</w:t>
      </w:r>
      <w:r>
        <w:rPr>
          <w:rFonts w:hint="eastAsia" w:eastAsia="仿宋_GB2312" w:cs="仿宋_GB2312"/>
          <w:kern w:val="0"/>
          <w:sz w:val="32"/>
          <w:szCs w:val="32"/>
        </w:rPr>
        <w:t>副科级领导职数4名。</w:t>
      </w:r>
    </w:p>
    <w:p>
      <w:pPr>
        <w:widowControl/>
        <w:numPr>
          <w:ilvl w:val="0"/>
          <w:numId w:val="0"/>
        </w:numPr>
        <w:spacing w:line="600" w:lineRule="exact"/>
        <w:ind w:firstLine="640" w:firstLineChars="200"/>
        <w:rPr>
          <w:rFonts w:hint="eastAsia" w:ascii="Arial" w:hAnsi="Arial" w:eastAsia="仿宋_GB2312" w:cs="仿宋_GB2312"/>
          <w:kern w:val="0"/>
          <w:sz w:val="32"/>
          <w:szCs w:val="32"/>
          <w:lang w:val="en-US" w:eastAsia="zh-CN" w:bidi="ar-SA"/>
        </w:rPr>
      </w:pPr>
      <w:r>
        <w:rPr>
          <w:rFonts w:hint="eastAsia" w:ascii="Times New Roman" w:hAnsi="Times New Roman" w:eastAsia="仿宋_GB2312" w:cs="仿宋_GB2312"/>
          <w:b/>
          <w:bCs w:val="0"/>
          <w:kern w:val="0"/>
          <w:sz w:val="32"/>
          <w:szCs w:val="32"/>
        </w:rPr>
        <w:t>（二）决算单位构成。</w:t>
      </w:r>
      <w:r>
        <w:rPr>
          <w:rFonts w:hint="eastAsia" w:ascii="Arial" w:hAnsi="Arial" w:eastAsia="仿宋_GB2312" w:cs="仿宋_GB2312"/>
          <w:kern w:val="0"/>
          <w:sz w:val="32"/>
          <w:szCs w:val="32"/>
          <w:lang w:val="en-US" w:eastAsia="zh-CN" w:bidi="ar-SA"/>
        </w:rPr>
        <w:t>本单位无独立核算的下属单位，2024年度部门决算汇总公开单位仅包括市接待服务中心机关本级。</w:t>
      </w:r>
    </w:p>
    <w:p>
      <w:pPr>
        <w:jc w:val="left"/>
        <w:rPr>
          <w:rFonts w:ascii="仿宋_GB2312" w:hAnsi="宋体" w:eastAsia="仿宋_GB2312"/>
          <w:sz w:val="28"/>
          <w:szCs w:val="32"/>
        </w:rPr>
      </w:pPr>
    </w:p>
    <w:p>
      <w:pPr>
        <w:pStyle w:val="2"/>
        <w:numPr>
          <w:ilvl w:val="0"/>
          <w:numId w:val="0"/>
        </w:numPr>
        <w:ind w:leftChars="200"/>
        <w:rPr>
          <w:rFonts w:hint="eastAsia"/>
        </w:rPr>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岳阳市接待服务中心</w:t>
      </w:r>
      <w:r>
        <w:rPr>
          <w:rFonts w:hint="eastAsia" w:ascii="方正小标宋_GBK" w:hAnsi="方正小标宋_GBK" w:eastAsia="方正小标宋_GBK" w:cs="方正小标宋_GBK"/>
          <w:sz w:val="84"/>
          <w:szCs w:val="84"/>
        </w:rPr>
        <w:t>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w:t>
      </w:r>
      <w:r>
        <w:rPr>
          <w:rFonts w:hint="eastAsia" w:ascii="方正小标宋_GBK" w:hAnsi="方正小标宋_GBK" w:eastAsia="方正小标宋_GBK" w:cs="方正小标宋_GBK"/>
          <w:sz w:val="70"/>
          <w:szCs w:val="70"/>
          <w:lang w:eastAsia="zh-CN"/>
        </w:rPr>
        <w:t>岳阳市接待服务中心</w:t>
      </w: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32"/>
          <w:szCs w:val="32"/>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1144.95</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431.71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27.38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托管人员经费支出减少。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1137.57</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925.16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81.33</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212.41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18.67</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1110.64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462.12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41.61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648.52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58.39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925.16</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608.69</w:t>
      </w:r>
      <w:r>
        <w:rPr>
          <w:rFonts w:hint="eastAsia" w:ascii="仿宋_GB2312" w:hAnsi="仿宋_GB2312" w:eastAsia="仿宋_GB2312" w:cs="仿宋_GB2312"/>
          <w:sz w:val="32"/>
          <w:szCs w:val="32"/>
        </w:rPr>
        <w:t>万元,减</w:t>
      </w:r>
      <w:r>
        <w:rPr>
          <w:rFonts w:hint="eastAsia" w:ascii="仿宋_GB2312" w:hAnsi="仿宋_GB2312" w:eastAsia="仿宋_GB2312" w:cs="仿宋_GB2312"/>
          <w:sz w:val="32"/>
          <w:szCs w:val="32"/>
          <w:lang w:eastAsia="zh-CN"/>
        </w:rPr>
        <w:t>少</w:t>
      </w:r>
      <w:r>
        <w:rPr>
          <w:rFonts w:hint="eastAsia" w:ascii="仿宋_GB2312" w:hAnsi="仿宋_GB2312" w:eastAsia="仿宋_GB2312" w:cs="仿宋_GB2312"/>
          <w:sz w:val="32"/>
          <w:szCs w:val="32"/>
          <w:lang w:val="en-US" w:eastAsia="zh-CN"/>
        </w:rPr>
        <w:t>39.68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托管人员经费支出减少。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898.81</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80.92</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635.04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41.4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托管人员经费支出减少。</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898.81</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704.12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78.35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103.89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11.56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lang w:val="en-US" w:eastAsia="zh-CN"/>
        </w:rPr>
        <w:t>12.14万元，占1.35%；交通运输支出56.35万元，占6.26%；住房保障支出22.33万元，占2.48%。</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898.81</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898.81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年初预算为</w:t>
      </w:r>
      <w:r>
        <w:rPr>
          <w:rFonts w:hint="eastAsia" w:ascii="仿宋_GB2312" w:hAnsi="仿宋_GB2312" w:eastAsia="仿宋_GB2312" w:cs="仿宋_GB2312"/>
          <w:sz w:val="32"/>
          <w:szCs w:val="32"/>
          <w:lang w:val="en-US" w:eastAsia="zh-CN"/>
        </w:rPr>
        <w:t>11.88万元，支出决算为11.88万元，完成年初预算的100%，主要原因是严格按年初预算执行。</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一般行政管理事务</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年初预算为</w:t>
      </w:r>
      <w:r>
        <w:rPr>
          <w:rFonts w:hint="eastAsia" w:ascii="仿宋_GB2312" w:hAnsi="仿宋_GB2312" w:eastAsia="仿宋_GB2312" w:cs="仿宋_GB2312"/>
          <w:sz w:val="32"/>
          <w:szCs w:val="32"/>
          <w:lang w:val="en-US" w:eastAsia="zh-CN"/>
        </w:rPr>
        <w:t>100.33万元，支出决算为100.33万元，完成年初预算的100%，主要原因是严格按年初预算执行。</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其他政府办公厅（室）及相关机构事务支出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年初预算为</w:t>
      </w:r>
      <w:r>
        <w:rPr>
          <w:rFonts w:hint="eastAsia" w:ascii="仿宋_GB2312" w:hAnsi="仿宋_GB2312" w:eastAsia="仿宋_GB2312" w:cs="仿宋_GB2312"/>
          <w:sz w:val="32"/>
          <w:szCs w:val="32"/>
          <w:lang w:val="en-US" w:eastAsia="zh-CN"/>
        </w:rPr>
        <w:t>306.33万元，支出决算为306.33万元，完成年初预算的100%，主要原因是严格按年初预算执行。</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党委办公厅（室）及相关机构事务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年初预算为</w:t>
      </w:r>
      <w:r>
        <w:rPr>
          <w:rFonts w:hint="eastAsia" w:ascii="仿宋_GB2312" w:hAnsi="仿宋_GB2312" w:eastAsia="仿宋_GB2312" w:cs="仿宋_GB2312"/>
          <w:sz w:val="32"/>
          <w:szCs w:val="32"/>
          <w:lang w:val="en-US" w:eastAsia="zh-CN"/>
        </w:rPr>
        <w:t>285.58万元，支出决算为285.58万元，完成年初预算的100%，主要原因是严格按年初预算执行。</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机关事业单位养老保险缴费支出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年初预算为</w:t>
      </w:r>
      <w:r>
        <w:rPr>
          <w:rFonts w:hint="eastAsia" w:ascii="仿宋_GB2312" w:hAnsi="仿宋_GB2312" w:eastAsia="仿宋_GB2312" w:cs="仿宋_GB2312"/>
          <w:sz w:val="32"/>
          <w:szCs w:val="32"/>
          <w:lang w:val="en-US" w:eastAsia="zh-CN"/>
        </w:rPr>
        <w:t>31.02万元，支出决算为31.02万元，完成年初预算100%，主要原因是严格按年初预算执行。</w:t>
      </w:r>
    </w:p>
    <w:p>
      <w:pPr>
        <w:spacing w:line="360" w:lineRule="auto"/>
        <w:ind w:firstLine="640" w:firstLineChars="200"/>
        <w:rPr>
          <w:rFonts w:hint="eastAsia" w:ascii="Times New Roman" w:hAnsi="Times New Roman" w:eastAsia="仿宋_GB2312" w:cs="黑体"/>
          <w:color w:val="000000"/>
          <w:kern w:val="0"/>
          <w:sz w:val="32"/>
          <w:szCs w:val="32"/>
          <w:lang w:val="zh-CN" w:eastAsia="zh-CN" w:bidi="ar-SA"/>
        </w:rPr>
      </w:pPr>
      <w:r>
        <w:rPr>
          <w:rFonts w:hint="eastAsia" w:ascii="Times New Roman" w:hAnsi="Times New Roman" w:eastAsia="仿宋_GB2312" w:cs="黑体"/>
          <w:color w:val="000000"/>
          <w:kern w:val="0"/>
          <w:sz w:val="32"/>
          <w:szCs w:val="32"/>
          <w:lang w:val="en-US" w:eastAsia="zh-CN" w:bidi="ar-SA"/>
        </w:rPr>
        <w:t>社会保障和就业支出（类）抚恤（款）其他其他优抚支出（项）。年初预算为0.83万元，支出决算为0.83万元，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r>
        <w:rPr>
          <w:rFonts w:hint="eastAsia" w:ascii="Times New Roman" w:hAnsi="Times New Roman" w:eastAsia="仿宋_GB2312" w:cs="黑体"/>
          <w:color w:val="000000"/>
          <w:kern w:val="0"/>
          <w:sz w:val="32"/>
          <w:szCs w:val="32"/>
          <w:lang w:val="en-US" w:eastAsia="zh-CN" w:bidi="ar-SA"/>
        </w:rPr>
        <w:t xml:space="preserve"> </w:t>
      </w:r>
    </w:p>
    <w:p>
      <w:pPr>
        <w:spacing w:line="360" w:lineRule="auto"/>
        <w:ind w:firstLine="640" w:firstLineChars="200"/>
        <w:rPr>
          <w:rFonts w:hint="eastAsia" w:ascii="Times New Roman" w:hAnsi="Times New Roman" w:eastAsia="仿宋_GB2312" w:cs="黑体"/>
          <w:color w:val="000000"/>
          <w:kern w:val="0"/>
          <w:sz w:val="32"/>
          <w:szCs w:val="32"/>
          <w:lang w:val="zh-CN" w:eastAsia="zh-CN" w:bidi="ar-SA"/>
        </w:rPr>
      </w:pPr>
      <w:r>
        <w:rPr>
          <w:rFonts w:hint="eastAsia" w:ascii="Times New Roman" w:hAnsi="Times New Roman" w:eastAsia="仿宋_GB2312" w:cs="黑体"/>
          <w:color w:val="000000"/>
          <w:kern w:val="0"/>
          <w:sz w:val="32"/>
          <w:szCs w:val="32"/>
          <w:lang w:val="en-US" w:eastAsia="zh-CN" w:bidi="ar-SA"/>
        </w:rPr>
        <w:t>社会保障和就业支出（类）其他社会保障和就业支出（款）其他社会保障和就业支出（项）。年初预算为22.27万元，支出决算为22.27万元，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3、卫生健康支出（类）行政事业单位医疗（款）行政单位医疗（项）。年初预算为12.14万元，支出决算为12.14万元，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462.12</w:t>
      </w:r>
      <w:r>
        <w:rPr>
          <w:rFonts w:hint="eastAsia" w:ascii="仿宋_GB2312" w:hAnsi="仿宋_GB2312" w:eastAsia="仿宋_GB2312" w:cs="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b/>
          <w:bCs/>
          <w:sz w:val="32"/>
          <w:szCs w:val="32"/>
          <w:lang w:val="en-US" w:eastAsia="zh-CN"/>
        </w:rPr>
        <w:t>386.99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83.74</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lang w:eastAsia="zh-CN"/>
        </w:rPr>
        <w:t>绩效工资、机关事业单位基本养老保险缴费、职业年金缴费、医疗补助缴费、其他社会保障缴费、住房公积金、医疗费、其他工资福利支出、退休费、抚恤金、生活补助、医疗补助费、奖励金、其他对个人和家庭的补助。</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b/>
          <w:bCs/>
          <w:sz w:val="32"/>
          <w:szCs w:val="32"/>
          <w:lang w:val="en-US" w:eastAsia="zh-CN"/>
        </w:rPr>
        <w:t>75.13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16.26</w:t>
      </w:r>
      <w:r>
        <w:rPr>
          <w:rFonts w:hint="eastAsia" w:ascii="仿宋_GB2312" w:hAnsi="仿宋_GB2312" w:eastAsia="仿宋_GB2312" w:cs="仿宋_GB2312"/>
          <w:sz w:val="32"/>
          <w:szCs w:val="32"/>
        </w:rPr>
        <w:t>%，主要包括办公费、印刷费、咨询费、手续费</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highlight w:val="none"/>
          <w:lang w:eastAsia="zh-CN"/>
        </w:rPr>
        <w:t>水费、电费、邮电费、物业管理费、差旅费、劳务费、工会经费、公车运行维护费、其他交通费用、其他商品服务支出</w:t>
      </w:r>
      <w:r>
        <w:rPr>
          <w:rFonts w:hint="eastAsia" w:ascii="Times New Roman" w:hAnsi="Times New Roman" w:eastAsia="仿宋_GB2312"/>
          <w:sz w:val="32"/>
          <w:szCs w:val="32"/>
          <w:highlight w:val="none"/>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90.32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95.07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8.91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8.98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严格贯彻落实关于厉行节约及继续坚持过紧日子要求，从严控制三公经费</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严格贯彻落实关于厉行节约及继续坚持过紧日子要求</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1.因公出国（境）费支出预算为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决算数等于预算数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，主要原因是我单位严格按预算执行决算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与上年一致，无增减变动，主要原因是未安排因公出国（境）活动。</w:t>
      </w:r>
      <w:r>
        <w:rPr>
          <w:rFonts w:ascii="Times New Roman" w:hAnsi="Times New Roman" w:eastAsia="仿宋_GB2312" w:cs="Times New Roman"/>
          <w:color w:val="000000" w:themeColor="text1"/>
          <w:sz w:val="32"/>
          <w:szCs w:val="32"/>
          <w14:textFill>
            <w14:solidFill>
              <w14:schemeClr w14:val="tx1"/>
            </w14:solidFill>
          </w14:textFill>
        </w:rPr>
        <w:t>2024年度安排因公出国（境）团组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个，累计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人次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88.6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1.94</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lang w:val="en-US" w:eastAsia="zh-CN"/>
        </w:rPr>
        <w:t xml:space="preserve">  </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FF0000"/>
          <w:sz w:val="32"/>
          <w:szCs w:val="32"/>
          <w:lang w:val="en-US" w:eastAsia="zh-CN"/>
        </w:rPr>
      </w:pPr>
      <w:r>
        <w:rPr>
          <w:rFonts w:ascii="Times New Roman" w:hAnsi="Times New Roman" w:eastAsia="仿宋_GB2312" w:cs="Times New Roman"/>
          <w:color w:val="000000" w:themeColor="text1"/>
          <w:sz w:val="32"/>
          <w:szCs w:val="32"/>
          <w14:textFill>
            <w14:solidFill>
              <w14:schemeClr w14:val="tx1"/>
            </w14:solidFill>
          </w14:textFill>
        </w:rPr>
        <w:t>公务用车购置费支出预算为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决算数等于预算数，主要原因是我单位严格按预算执行决算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与上年一致，无增减变动，主要原因是两年均未购置公务用车。本单位</w:t>
      </w:r>
      <w:r>
        <w:rPr>
          <w:rFonts w:ascii="Times New Roman" w:hAnsi="Times New Roman" w:eastAsia="仿宋_GB2312" w:cs="Times New Roman"/>
          <w:color w:val="000000" w:themeColor="text1"/>
          <w:sz w:val="32"/>
          <w:szCs w:val="32"/>
          <w14:textFill>
            <w14:solidFill>
              <w14:schemeClr w14:val="tx1"/>
            </w14:solidFill>
          </w14:textFill>
        </w:rPr>
        <w:t>更新公务用车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19.92</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燃料费、维修费、过桥过路费、保险费等公务接待用车的运行费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99.6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1.94</w:t>
      </w:r>
      <w:r>
        <w:rPr>
          <w:rFonts w:ascii="Times New Roman" w:hAnsi="Times New Roman" w:eastAsia="仿宋_GB2312" w:cs="Times New Roman"/>
          <w:sz w:val="32"/>
          <w:szCs w:val="32"/>
        </w:rPr>
        <w:t>%。决算数小于预算数的主要原因</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按有关政策厉行节约，严控“三公经费”支出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公务用车使用年限较长，维修费用有所增加</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辆。</w:t>
      </w:r>
    </w:p>
    <w:p>
      <w:pPr>
        <w:numPr>
          <w:ilvl w:val="0"/>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93.86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严格执行中央八项规定</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严格执行中央八项规定</w:t>
      </w:r>
      <w:r>
        <w:rPr>
          <w:rFonts w:ascii="Times New Roman" w:hAnsi="Times New Roman" w:eastAsia="仿宋_GB2312" w:cs="Times New Roman"/>
          <w:sz w:val="32"/>
          <w:szCs w:val="32"/>
        </w:rPr>
        <w:t>。2024年共接待</w:t>
      </w:r>
      <w:r>
        <w:rPr>
          <w:rFonts w:hint="eastAsia" w:ascii="仿宋" w:hAnsi="仿宋" w:eastAsia="仿宋" w:cs="仿宋"/>
          <w:sz w:val="32"/>
          <w:szCs w:val="32"/>
          <w:lang w:val="en-US" w:eastAsia="zh-CN"/>
        </w:rPr>
        <w:t>来岳宾客625批次，其中接待省部级以上领导124位，厅级领导800位。接待服务了13次大型活动。</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按公务接待标准发生</w:t>
      </w:r>
      <w:r>
        <w:rPr>
          <w:rFonts w:ascii="Times New Roman" w:hAnsi="Times New Roman" w:eastAsia="仿宋_GB2312" w:cs="Times New Roman"/>
          <w:sz w:val="32"/>
          <w:szCs w:val="32"/>
        </w:rPr>
        <w:t>的接待支出。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3"/>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75.13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比上年决算数</w:t>
      </w:r>
      <w:r>
        <w:rPr>
          <w:rFonts w:hint="eastAsia" w:ascii="仿宋_GB2312" w:hAnsi="仿宋_GB2312" w:eastAsia="仿宋_GB2312" w:cs="仿宋_GB2312"/>
          <w:sz w:val="32"/>
          <w:szCs w:val="32"/>
          <w:highlight w:val="none"/>
          <w:lang w:val="en-US" w:eastAsia="zh-CN"/>
        </w:rPr>
        <w:t>55.41万元</w:t>
      </w:r>
      <w:r>
        <w:rPr>
          <w:rFonts w:hint="eastAsia" w:ascii="仿宋_GB2312" w:hAnsi="仿宋_GB2312" w:eastAsia="仿宋_GB2312" w:cs="仿宋_GB2312"/>
          <w:sz w:val="32"/>
          <w:szCs w:val="32"/>
          <w:highlight w:val="none"/>
        </w:rPr>
        <w:t>增加</w:t>
      </w:r>
      <w:r>
        <w:rPr>
          <w:rFonts w:hint="eastAsia" w:ascii="仿宋_GB2312" w:hAnsi="仿宋_GB2312" w:eastAsia="仿宋_GB2312" w:cs="仿宋_GB2312"/>
          <w:sz w:val="32"/>
          <w:szCs w:val="32"/>
          <w:highlight w:val="none"/>
          <w:lang w:val="en-US" w:eastAsia="zh-CN"/>
        </w:rPr>
        <w:t>19.72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26.24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i w:val="0"/>
          <w:iCs w:val="0"/>
          <w:caps w:val="0"/>
          <w:color w:val="333333"/>
          <w:spacing w:val="0"/>
          <w:sz w:val="32"/>
          <w:szCs w:val="32"/>
          <w:shd w:val="clear" w:fill="FFFFFF"/>
        </w:rPr>
        <w:t>上年经财政审批将部分公用经费调整到人员经费，以及本年财政增加了工会经费、公务交通补贴</w:t>
      </w:r>
      <w:r>
        <w:rPr>
          <w:rFonts w:hint="eastAsia" w:ascii="仿宋_GB2312" w:hAnsi="仿宋_GB2312" w:eastAsia="仿宋_GB2312" w:cs="仿宋_GB2312"/>
          <w:i w:val="0"/>
          <w:iCs w:val="0"/>
          <w:caps w:val="0"/>
          <w:color w:val="333333"/>
          <w:spacing w:val="0"/>
          <w:sz w:val="32"/>
          <w:szCs w:val="32"/>
          <w:shd w:val="clear" w:fill="FFFFFF"/>
          <w:lang w:eastAsia="zh-CN"/>
        </w:rPr>
        <w:t>等预算。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年度，会议费年初预算0万元，支出决算为0万元，</w:t>
      </w:r>
      <w:r>
        <w:rPr>
          <w:rFonts w:hint="eastAsia" w:ascii="仿宋_GB2312" w:hAnsi="仿宋_GB2312" w:eastAsia="仿宋_GB2312" w:cs="仿宋_GB2312"/>
          <w:b w:val="0"/>
          <w:bCs w:val="0"/>
          <w:i w:val="0"/>
          <w:iCs w:val="0"/>
          <w:color w:val="000000" w:themeColor="text1"/>
          <w:kern w:val="0"/>
          <w:sz w:val="32"/>
          <w:szCs w:val="32"/>
          <w:lang w:val="en-US" w:eastAsia="zh-CN" w:bidi="ar-SA"/>
          <w14:textFill>
            <w14:solidFill>
              <w14:schemeClr w14:val="tx1"/>
            </w14:solidFill>
          </w14:textFill>
        </w:rPr>
        <w:t>本单位无会议费的预算和支出决算数</w:t>
      </w:r>
      <w:r>
        <w:rPr>
          <w:rFonts w:hint="eastAsia" w:ascii="仿宋_GB2312" w:hAnsi="仿宋_GB2312" w:eastAsia="仿宋_GB2312" w:cs="仿宋_GB2312"/>
          <w:sz w:val="32"/>
          <w:szCs w:val="32"/>
          <w:lang w:eastAsia="zh-CN"/>
        </w:rPr>
        <w:t>。</w:t>
      </w:r>
    </w:p>
    <w:p>
      <w:pPr>
        <w:widowControl w:val="0"/>
        <w:autoSpaceDE w:val="0"/>
        <w:autoSpaceDN w:val="0"/>
        <w:adjustRightInd w:val="0"/>
        <w:ind w:firstLine="640" w:firstLineChars="200"/>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SA"/>
        </w:rPr>
        <w:t>培训费年初预算0万元，支出决算为0万元，</w:t>
      </w:r>
      <w:r>
        <w:rPr>
          <w:rFonts w:hint="eastAsia" w:ascii="仿宋_GB2312" w:hAnsi="仿宋_GB2312" w:eastAsia="仿宋_GB2312" w:cs="仿宋_GB2312"/>
          <w:b w:val="0"/>
          <w:bCs w:val="0"/>
          <w:i w:val="0"/>
          <w:iCs w:val="0"/>
          <w:color w:val="000000" w:themeColor="text1"/>
          <w:kern w:val="0"/>
          <w:sz w:val="32"/>
          <w:szCs w:val="32"/>
          <w:lang w:val="en-US" w:eastAsia="zh-CN" w:bidi="ar-SA"/>
          <w14:textFill>
            <w14:solidFill>
              <w14:schemeClr w14:val="tx1"/>
            </w14:solidFill>
          </w14:textFill>
        </w:rPr>
        <w:t>本单位无培训费的预算和支出决算数；</w:t>
      </w:r>
    </w:p>
    <w:p>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w:t>
      </w:r>
      <w:r>
        <w:rPr>
          <w:rFonts w:hint="eastAsia" w:ascii="仿宋_GB2312" w:hAnsi="仿宋_GB2312" w:eastAsia="仿宋_GB2312" w:cs="仿宋_GB2312"/>
          <w:b w:val="0"/>
          <w:bCs w:val="0"/>
          <w:i w:val="0"/>
          <w:iCs w:val="0"/>
          <w:color w:val="000000" w:themeColor="text1"/>
          <w:kern w:val="0"/>
          <w:sz w:val="32"/>
          <w:szCs w:val="32"/>
          <w:lang w:val="en-US" w:eastAsia="zh-CN" w:bidi="ar-SA"/>
          <w14:textFill>
            <w14:solidFill>
              <w14:schemeClr w14:val="tx1"/>
            </w14:solidFill>
          </w14:textFill>
        </w:rPr>
        <w:t>本单位无举办节庆、晚会、论坛、赛事等活动的预算和支出决算数。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本部门202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年度政府采购支出总额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万元，其中：政府采购货物支出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万元、政府采购工程支出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万元、政府采购服务支出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万元。授予中小企业合同金额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（由于</w:t>
      </w:r>
      <w:r>
        <w:rPr>
          <w:rFonts w:hint="eastAsia" w:ascii="仿宋_GB2312" w:hAnsi="仿宋_GB2312" w:eastAsia="仿宋_GB2312" w:cs="仿宋_GB2312"/>
          <w:color w:val="000000" w:themeColor="text1"/>
          <w:sz w:val="32"/>
          <w:szCs w:val="32"/>
          <w14:textFill>
            <w14:solidFill>
              <w14:schemeClr w14:val="tx1"/>
            </w14:solidFill>
          </w14:textFill>
        </w:rPr>
        <w:t>政府采购支出总额</w:t>
      </w:r>
      <w:r>
        <w:rPr>
          <w:rFonts w:hint="eastAsia" w:ascii="仿宋_GB2312" w:hAnsi="仿宋_GB2312" w:eastAsia="仿宋_GB2312" w:cs="仿宋_GB2312"/>
          <w:color w:val="000000" w:themeColor="text1"/>
          <w:sz w:val="32"/>
          <w:szCs w:val="32"/>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0，故无法计算</w:t>
      </w:r>
      <w:r>
        <w:rPr>
          <w:rFonts w:hint="eastAsia" w:ascii="仿宋_GB2312" w:hAnsi="仿宋_GB2312" w:eastAsia="仿宋_GB2312" w:cs="仿宋_GB2312"/>
          <w:color w:val="000000" w:themeColor="text1"/>
          <w:sz w:val="32"/>
          <w:szCs w:val="32"/>
          <w14:textFill>
            <w14:solidFill>
              <w14:schemeClr w14:val="tx1"/>
            </w14:solidFill>
          </w14:textFill>
        </w:rPr>
        <w:t>占政府采购支出总额的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比重）</w:t>
      </w:r>
      <w:r>
        <w:rPr>
          <w:rFonts w:hint="eastAsia" w:ascii="仿宋_GB2312" w:hAnsi="仿宋_GB2312" w:eastAsia="仿宋_GB2312" w:cs="仿宋_GB2312"/>
          <w:color w:val="000000" w:themeColor="text1"/>
          <w:sz w:val="32"/>
          <w:szCs w:val="32"/>
          <w14:textFill>
            <w14:solidFill>
              <w14:schemeClr w14:val="tx1"/>
            </w14:solidFill>
          </w14:textFill>
        </w:rPr>
        <w:t>，其中：授予小微企业合同金额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（由于授予中小企业合同金额为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0，故无法计算</w:t>
      </w:r>
      <w:r>
        <w:rPr>
          <w:rFonts w:hint="eastAsia" w:ascii="仿宋_GB2312" w:hAnsi="仿宋_GB2312" w:eastAsia="仿宋_GB2312" w:cs="仿宋_GB2312"/>
          <w:color w:val="000000" w:themeColor="text1"/>
          <w:sz w:val="32"/>
          <w:szCs w:val="32"/>
          <w14:textFill>
            <w14:solidFill>
              <w14:schemeClr w14:val="tx1"/>
            </w14:solidFill>
          </w14:textFill>
        </w:rPr>
        <w:t>占</w:t>
      </w:r>
      <w:r>
        <w:rPr>
          <w:rFonts w:hint="eastAsia" w:ascii="仿宋_GB2312" w:hAnsi="仿宋_GB2312" w:eastAsia="仿宋_GB2312" w:cs="仿宋_GB2312"/>
          <w:color w:val="000000" w:themeColor="text1"/>
          <w:sz w:val="32"/>
          <w:szCs w:val="32"/>
          <w:lang w:eastAsia="zh-CN"/>
          <w14:textFill>
            <w14:solidFill>
              <w14:schemeClr w14:val="tx1"/>
            </w14:solidFill>
          </w14:textFill>
        </w:rPr>
        <w:t>授予中小企业合同金额</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比重）</w:t>
      </w:r>
      <w:r>
        <w:rPr>
          <w:rFonts w:hint="eastAsia" w:ascii="仿宋_GB2312" w:hAnsi="仿宋_GB2312" w:eastAsia="仿宋_GB2312" w:cs="仿宋_GB2312"/>
          <w:color w:val="000000" w:themeColor="text1"/>
          <w:sz w:val="32"/>
          <w:szCs w:val="32"/>
          <w14:textFill>
            <w14:solidFill>
              <w14:schemeClr w14:val="tx1"/>
            </w14:solidFill>
          </w14:textFill>
        </w:rPr>
        <w:t>。货物采购授予中小企业合同金额占货物支出金额的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比重</w:t>
      </w:r>
      <w:r>
        <w:rPr>
          <w:rFonts w:hint="eastAsia" w:ascii="仿宋_GB2312" w:hAnsi="仿宋_GB2312" w:eastAsia="仿宋_GB2312" w:cs="仿宋_GB2312"/>
          <w:color w:val="000000" w:themeColor="text1"/>
          <w:sz w:val="32"/>
          <w:szCs w:val="32"/>
          <w14:textFill>
            <w14:solidFill>
              <w14:schemeClr w14:val="tx1"/>
            </w14:solidFill>
          </w14:textFill>
        </w:rPr>
        <w:t>，工程采购授予中小企业合同金额占工程支出金额的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比重</w:t>
      </w:r>
      <w:r>
        <w:rPr>
          <w:rFonts w:hint="eastAsia" w:ascii="仿宋_GB2312" w:hAnsi="仿宋_GB2312" w:eastAsia="仿宋_GB2312" w:cs="仿宋_GB2312"/>
          <w:color w:val="000000" w:themeColor="text1"/>
          <w:sz w:val="32"/>
          <w:szCs w:val="32"/>
          <w14:textFill>
            <w14:solidFill>
              <w14:schemeClr w14:val="tx1"/>
            </w14:solidFill>
          </w14:textFill>
        </w:rPr>
        <w:t>，服务采购授予中小企业合同金额占服务支出金额的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比重，由于以上各项合同金额为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0，故无法计算各项占比</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eastAsia="zh-CN"/>
        </w:rPr>
        <w:t>机要通信和应急保障之外公务用途的车辆</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436.69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436.69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仿宋_GB2312" w:hAnsi="仿宋_GB2312" w:eastAsia="仿宋_GB2312" w:cs="仿宋_GB2312"/>
          <w:b w:val="0"/>
          <w:bCs w:val="0"/>
          <w:sz w:val="32"/>
          <w:szCs w:val="32"/>
          <w:lang w:val="en-US" w:eastAsia="zh-CN"/>
        </w:rPr>
        <w:t>（由于政府性基金预算项目支出总额为0，故无法计算占政府性基金预算项目支出总额的比重。）</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仿宋_GB2312" w:hAnsi="仿宋_GB2312" w:eastAsia="仿宋_GB2312" w:cs="仿宋_GB2312"/>
          <w:b w:val="0"/>
          <w:bCs w:val="0"/>
          <w:sz w:val="32"/>
          <w:szCs w:val="32"/>
          <w:lang w:val="en-US" w:eastAsia="zh-CN"/>
        </w:rPr>
        <w:t>（由于</w:t>
      </w:r>
      <w:r>
        <w:rPr>
          <w:rFonts w:ascii="Times New Roman" w:hAnsi="Times New Roman" w:eastAsia="仿宋_GB2312" w:cs="Times New Roman"/>
          <w:kern w:val="0"/>
          <w:sz w:val="32"/>
          <w:szCs w:val="32"/>
        </w:rPr>
        <w:t>国有资本经营预算</w:t>
      </w:r>
      <w:r>
        <w:rPr>
          <w:rFonts w:hint="eastAsia" w:ascii="仿宋_GB2312" w:hAnsi="仿宋_GB2312" w:eastAsia="仿宋_GB2312" w:cs="仿宋_GB2312"/>
          <w:b w:val="0"/>
          <w:bCs w:val="0"/>
          <w:sz w:val="32"/>
          <w:szCs w:val="32"/>
          <w:lang w:val="en-US" w:eastAsia="zh-CN"/>
        </w:rPr>
        <w:t>项目支出总额为0，故无法计算占</w:t>
      </w:r>
      <w:r>
        <w:rPr>
          <w:rFonts w:ascii="Times New Roman" w:hAnsi="Times New Roman" w:eastAsia="仿宋_GB2312" w:cs="Times New Roman"/>
          <w:kern w:val="0"/>
          <w:sz w:val="32"/>
          <w:szCs w:val="32"/>
        </w:rPr>
        <w:t>国有资本经营预算</w:t>
      </w:r>
      <w:r>
        <w:rPr>
          <w:rFonts w:hint="eastAsia" w:ascii="仿宋_GB2312" w:hAnsi="仿宋_GB2312" w:eastAsia="仿宋_GB2312" w:cs="仿宋_GB2312"/>
          <w:b w:val="0"/>
          <w:bCs w:val="0"/>
          <w:sz w:val="32"/>
          <w:szCs w:val="32"/>
          <w:lang w:val="en-US" w:eastAsia="zh-CN"/>
        </w:rPr>
        <w:t>项目支出总额的比重。）</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w:t>
      </w:r>
      <w:r>
        <w:rPr>
          <w:rFonts w:hint="eastAsia" w:ascii="仿宋_GB2312" w:hAnsi="仿宋_GB2312" w:eastAsia="仿宋_GB2312" w:cs="仿宋_GB2312"/>
          <w:b w:val="0"/>
          <w:bCs w:val="0"/>
          <w:sz w:val="32"/>
          <w:szCs w:val="32"/>
          <w:lang w:val="en-US" w:eastAsia="zh-CN"/>
        </w:rPr>
        <w:t>（由于</w:t>
      </w:r>
      <w:r>
        <w:rPr>
          <w:rFonts w:ascii="Times New Roman" w:hAnsi="Times New Roman" w:eastAsia="仿宋_GB2312" w:cs="Times New Roman"/>
          <w:kern w:val="0"/>
          <w:sz w:val="32"/>
          <w:szCs w:val="32"/>
          <w:highlight w:val="none"/>
        </w:rPr>
        <w:t>社会保险基金预算</w:t>
      </w:r>
      <w:r>
        <w:rPr>
          <w:rFonts w:hint="eastAsia" w:ascii="仿宋_GB2312" w:hAnsi="仿宋_GB2312" w:eastAsia="仿宋_GB2312" w:cs="仿宋_GB2312"/>
          <w:b w:val="0"/>
          <w:bCs w:val="0"/>
          <w:sz w:val="32"/>
          <w:szCs w:val="32"/>
          <w:lang w:val="en-US" w:eastAsia="zh-CN"/>
        </w:rPr>
        <w:t>支出总额为0，故无法计算占</w:t>
      </w:r>
      <w:r>
        <w:rPr>
          <w:rFonts w:ascii="Times New Roman" w:hAnsi="Times New Roman" w:eastAsia="仿宋_GB2312" w:cs="Times New Roman"/>
          <w:kern w:val="0"/>
          <w:sz w:val="32"/>
          <w:szCs w:val="32"/>
          <w:highlight w:val="none"/>
        </w:rPr>
        <w:t>社会保险基金预算</w:t>
      </w:r>
      <w:r>
        <w:rPr>
          <w:rFonts w:hint="eastAsia" w:ascii="仿宋_GB2312" w:hAnsi="仿宋_GB2312" w:eastAsia="仿宋_GB2312" w:cs="仿宋_GB2312"/>
          <w:b w:val="0"/>
          <w:bCs w:val="0"/>
          <w:sz w:val="32"/>
          <w:szCs w:val="32"/>
          <w:lang w:val="en-US" w:eastAsia="zh-CN"/>
        </w:rPr>
        <w:t>项目支出总额的比重。）</w:t>
      </w:r>
      <w:r>
        <w:rPr>
          <w:rFonts w:ascii="Times New Roman" w:hAnsi="Times New Roman" w:eastAsia="仿宋_GB2312" w:cs="Times New Roman"/>
          <w:kern w:val="0"/>
          <w:sz w:val="32"/>
          <w:szCs w:val="32"/>
          <w:highlight w:val="none"/>
        </w:rPr>
        <w:t>。</w:t>
      </w:r>
    </w:p>
    <w:p>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接待服务项目</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436.69</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numPr>
          <w:ilvl w:val="0"/>
          <w:numId w:val="0"/>
        </w:num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lang w:val="en-US" w:eastAsia="zh-CN"/>
        </w:rPr>
        <w:t>3.</w:t>
      </w:r>
      <w:r>
        <w:rPr>
          <w:rFonts w:ascii="Times New Roman" w:hAnsi="Times New Roman" w:eastAsia="仿宋_GB2312" w:cs="Times New Roman"/>
          <w:b/>
          <w:bCs/>
          <w:kern w:val="0"/>
          <w:sz w:val="32"/>
          <w:szCs w:val="32"/>
        </w:rPr>
        <w:t>事前绩效评估开展情况</w:t>
      </w:r>
    </w:p>
    <w:p>
      <w:pPr>
        <w:overflowPunct w:val="0"/>
        <w:spacing w:line="600" w:lineRule="exact"/>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rPr>
        <w:t>本单位及所属单位本年度未新增重大政策和重大项目，所以无事前绩效评估开展情况</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pStyle w:val="19"/>
        <w:keepNext w:val="0"/>
        <w:keepLines w:val="0"/>
        <w:pageBreakBefore w:val="0"/>
        <w:widowControl w:val="0"/>
        <w:numPr>
          <w:ilvl w:val="0"/>
          <w:numId w:val="0"/>
        </w:numPr>
        <w:kinsoku/>
        <w:wordWrap/>
        <w:overflowPunct/>
        <w:topLinePunct w:val="0"/>
        <w:autoSpaceDE/>
        <w:bidi w:val="0"/>
        <w:adjustRightInd/>
        <w:snapToGrid/>
        <w:spacing w:line="6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仿宋_GB2312" w:hAnsi="仿宋_GB2312" w:eastAsia="仿宋_GB2312" w:cs="仿宋_GB2312"/>
          <w:b w:val="0"/>
          <w:bCs w:val="0"/>
          <w:sz w:val="32"/>
          <w:szCs w:val="32"/>
          <w:lang w:val="en-US" w:eastAsia="zh-CN"/>
        </w:rPr>
        <w:t>436.69</w:t>
      </w:r>
      <w:r>
        <w:rPr>
          <w:rFonts w:ascii="Times New Roman" w:hAnsi="Times New Roman" w:eastAsia="仿宋_GB2312" w:cs="Times New Roman"/>
          <w:sz w:val="32"/>
          <w:szCs w:val="32"/>
        </w:rPr>
        <w:t>万元，执行数</w:t>
      </w:r>
      <w:r>
        <w:rPr>
          <w:rFonts w:hint="eastAsia" w:ascii="仿宋_GB2312" w:hAnsi="仿宋_GB2312" w:eastAsia="仿宋_GB2312" w:cs="仿宋_GB2312"/>
          <w:b w:val="0"/>
          <w:bCs w:val="0"/>
          <w:sz w:val="32"/>
          <w:szCs w:val="32"/>
          <w:lang w:val="en-US" w:eastAsia="zh-CN"/>
        </w:rPr>
        <w:t>436.69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b w:val="0"/>
          <w:bCs w:val="0"/>
          <w:sz w:val="32"/>
          <w:szCs w:val="32"/>
          <w:lang w:val="en-US" w:eastAsia="zh-CN"/>
        </w:rPr>
        <w:t>一是来岳宾客和各级领导满意；二是托管人员经费及时到位支付，保障社会稳定。</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b w:val="0"/>
          <w:bCs w:val="0"/>
          <w:sz w:val="32"/>
          <w:szCs w:val="32"/>
          <w:lang w:val="en-US" w:eastAsia="zh-CN"/>
        </w:rPr>
        <w:t>一是</w:t>
      </w:r>
      <w:r>
        <w:rPr>
          <w:rFonts w:hint="eastAsia" w:ascii="仿宋_GB2312" w:eastAsia="仿宋_GB2312"/>
          <w:spacing w:val="0"/>
          <w:sz w:val="32"/>
          <w:szCs w:val="32"/>
          <w:lang w:val="en-US" w:eastAsia="zh-CN"/>
        </w:rPr>
        <w:t>对绩效评价认识不足，对整体支出绩效评价业务仍有不熟悉的地方</w:t>
      </w:r>
      <w:r>
        <w:rPr>
          <w:rFonts w:hint="eastAsia" w:ascii="仿宋_GB2312" w:hAnsi="仿宋_GB2312" w:eastAsia="仿宋_GB2312" w:cs="仿宋_GB2312"/>
          <w:b w:val="0"/>
          <w:bCs w:val="0"/>
          <w:sz w:val="32"/>
          <w:szCs w:val="32"/>
          <w:lang w:val="en-US" w:eastAsia="zh-CN"/>
        </w:rPr>
        <w:t>；二是</w:t>
      </w:r>
      <w:r>
        <w:rPr>
          <w:rFonts w:hint="eastAsia" w:ascii="仿宋_GB2312" w:eastAsia="仿宋_GB2312"/>
          <w:spacing w:val="0"/>
          <w:sz w:val="32"/>
          <w:szCs w:val="32"/>
          <w:lang w:val="en-US" w:eastAsia="zh-CN"/>
        </w:rPr>
        <w:t>预算编制的合理性、准确性有待进一步提高</w:t>
      </w:r>
      <w:r>
        <w:rPr>
          <w:rFonts w:hint="eastAsia" w:ascii="仿宋_GB2312" w:hAnsi="仿宋_GB2312" w:eastAsia="仿宋_GB2312" w:cs="仿宋_GB2312"/>
          <w:b w:val="0"/>
          <w:bCs w:val="0"/>
          <w:sz w:val="32"/>
          <w:szCs w:val="32"/>
          <w:lang w:val="en-US" w:eastAsia="zh-CN"/>
        </w:rPr>
        <w:t>。</w:t>
      </w:r>
      <w:r>
        <w:rPr>
          <w:rFonts w:ascii="Times New Roman" w:hAnsi="Times New Roman" w:eastAsia="仿宋_GB2312" w:cs="Times New Roman"/>
          <w:sz w:val="32"/>
          <w:szCs w:val="32"/>
        </w:rPr>
        <w:t>下一步改进措施：</w:t>
      </w:r>
      <w:r>
        <w:rPr>
          <w:rFonts w:hint="eastAsia" w:ascii="仿宋_GB2312" w:hAnsi="仿宋_GB2312" w:eastAsia="仿宋_GB2312" w:cs="仿宋_GB2312"/>
          <w:b w:val="0"/>
          <w:bCs w:val="0"/>
          <w:sz w:val="32"/>
          <w:szCs w:val="32"/>
          <w:lang w:val="en-US" w:eastAsia="zh-CN"/>
        </w:rPr>
        <w:t>一是</w:t>
      </w:r>
      <w:r>
        <w:rPr>
          <w:rFonts w:hint="eastAsia" w:ascii="仿宋_GB2312" w:eastAsia="仿宋_GB2312"/>
          <w:spacing w:val="0"/>
          <w:sz w:val="32"/>
          <w:szCs w:val="32"/>
          <w:lang w:val="en-US" w:eastAsia="zh-CN"/>
        </w:rPr>
        <w:t>进一步细化预算编制工作，认真做细做好预算的编制，严格按照预算编制的相关制度和要求进行预算编制，优先保障固定性费用支出，提高预算编制的科学性、严谨性和可控性；</w:t>
      </w:r>
      <w:r>
        <w:rPr>
          <w:rFonts w:hint="eastAsia" w:ascii="仿宋_GB2312" w:hAnsi="仿宋_GB2312" w:eastAsia="仿宋_GB2312" w:cs="仿宋_GB2312"/>
          <w:b w:val="0"/>
          <w:bCs w:val="0"/>
          <w:sz w:val="32"/>
          <w:szCs w:val="32"/>
          <w:lang w:val="en-US" w:eastAsia="zh-CN"/>
        </w:rPr>
        <w:t>二是</w:t>
      </w:r>
      <w:r>
        <w:rPr>
          <w:rFonts w:hint="eastAsia" w:ascii="仿宋_GB2312" w:eastAsia="仿宋_GB2312"/>
          <w:spacing w:val="0"/>
          <w:sz w:val="32"/>
          <w:szCs w:val="32"/>
          <w:lang w:val="en-US" w:eastAsia="zh-CN"/>
        </w:rPr>
        <w:t>加强财务管理，严格财务审批。在费用报账支付时，按照预算规定的费用和用途进行资金使用、审核，列报支付，财务核算杜绝超支现象的发生；三是进一步抓好“三公经费”的控制管理，严格执行中央八项规定及相关文件精神，把好“三公经费”支出的审核、审批、结算关，进一步细化“三公经费”的管理，合理压缩“三公经费”的支出。</w:t>
      </w:r>
    </w:p>
    <w:p>
      <w:pPr>
        <w:pStyle w:val="19"/>
        <w:keepNext w:val="0"/>
        <w:keepLines w:val="0"/>
        <w:pageBreakBefore w:val="0"/>
        <w:widowControl w:val="0"/>
        <w:numPr>
          <w:ilvl w:val="0"/>
          <w:numId w:val="0"/>
        </w:numPr>
        <w:kinsoku/>
        <w:wordWrap/>
        <w:overflowPunct/>
        <w:topLinePunct w:val="0"/>
        <w:autoSpaceDE/>
        <w:bidi w:val="0"/>
        <w:adjustRightInd/>
        <w:snapToGrid/>
        <w:spacing w:line="6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仿宋_GB2312" w:hAnsi="仿宋_GB2312" w:eastAsia="仿宋_GB2312" w:cs="仿宋_GB2312"/>
          <w:b w:val="0"/>
          <w:bCs w:val="0"/>
          <w:sz w:val="32"/>
          <w:szCs w:val="32"/>
          <w:lang w:val="en-US" w:eastAsia="zh-CN"/>
        </w:rPr>
        <w:t>436.69</w:t>
      </w:r>
      <w:r>
        <w:rPr>
          <w:rFonts w:ascii="Times New Roman" w:hAnsi="Times New Roman" w:eastAsia="仿宋_GB2312" w:cs="Times New Roman"/>
          <w:sz w:val="32"/>
          <w:szCs w:val="32"/>
        </w:rPr>
        <w:t>万元，执行数</w:t>
      </w:r>
      <w:r>
        <w:rPr>
          <w:rFonts w:hint="eastAsia" w:ascii="仿宋_GB2312" w:hAnsi="仿宋_GB2312" w:eastAsia="仿宋_GB2312" w:cs="仿宋_GB2312"/>
          <w:b w:val="0"/>
          <w:bCs w:val="0"/>
          <w:sz w:val="32"/>
          <w:szCs w:val="32"/>
          <w:lang w:val="en-US" w:eastAsia="zh-CN"/>
        </w:rPr>
        <w:t>436.69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b w:val="0"/>
          <w:bCs w:val="0"/>
          <w:sz w:val="32"/>
          <w:szCs w:val="32"/>
          <w:lang w:val="en-US" w:eastAsia="zh-CN"/>
        </w:rPr>
        <w:t>一是</w:t>
      </w:r>
      <w:r>
        <w:rPr>
          <w:rFonts w:hint="eastAsia" w:ascii="仿宋_GB2312" w:eastAsia="仿宋_GB2312"/>
          <w:spacing w:val="0"/>
          <w:sz w:val="32"/>
          <w:szCs w:val="32"/>
          <w:lang w:val="en-US" w:eastAsia="zh-CN"/>
        </w:rPr>
        <w:t>对绩效评价认识不足，对整体支出绩效评价业务仍有不熟悉的地方</w:t>
      </w:r>
      <w:r>
        <w:rPr>
          <w:rFonts w:hint="eastAsia" w:ascii="仿宋_GB2312" w:hAnsi="仿宋_GB2312" w:eastAsia="仿宋_GB2312" w:cs="仿宋_GB2312"/>
          <w:b w:val="0"/>
          <w:bCs w:val="0"/>
          <w:sz w:val="32"/>
          <w:szCs w:val="32"/>
          <w:lang w:val="en-US" w:eastAsia="zh-CN"/>
        </w:rPr>
        <w:t>；二是</w:t>
      </w:r>
      <w:r>
        <w:rPr>
          <w:rFonts w:hint="eastAsia" w:ascii="仿宋_GB2312" w:eastAsia="仿宋_GB2312"/>
          <w:spacing w:val="0"/>
          <w:sz w:val="32"/>
          <w:szCs w:val="32"/>
          <w:lang w:val="en-US" w:eastAsia="zh-CN"/>
        </w:rPr>
        <w:t>预算编制的合理性、准确性有待进一步提高</w:t>
      </w:r>
      <w:r>
        <w:rPr>
          <w:rFonts w:hint="eastAsia" w:ascii="仿宋_GB2312" w:hAnsi="仿宋_GB2312" w:eastAsia="仿宋_GB2312" w:cs="仿宋_GB2312"/>
          <w:b w:val="0"/>
          <w:bCs w:val="0"/>
          <w:sz w:val="32"/>
          <w:szCs w:val="32"/>
          <w:lang w:val="en-US" w:eastAsia="zh-CN"/>
        </w:rPr>
        <w:t>。</w:t>
      </w:r>
      <w:r>
        <w:rPr>
          <w:rFonts w:ascii="Times New Roman" w:hAnsi="Times New Roman" w:eastAsia="仿宋_GB2312" w:cs="Times New Roman"/>
          <w:sz w:val="32"/>
          <w:szCs w:val="32"/>
        </w:rPr>
        <w:t>下一步改进措施：</w:t>
      </w:r>
      <w:r>
        <w:rPr>
          <w:rFonts w:hint="eastAsia" w:ascii="仿宋_GB2312" w:hAnsi="仿宋_GB2312" w:eastAsia="仿宋_GB2312" w:cs="仿宋_GB2312"/>
          <w:b w:val="0"/>
          <w:bCs w:val="0"/>
          <w:sz w:val="32"/>
          <w:szCs w:val="32"/>
          <w:lang w:val="en-US" w:eastAsia="zh-CN"/>
        </w:rPr>
        <w:t>一是</w:t>
      </w:r>
      <w:r>
        <w:rPr>
          <w:rFonts w:hint="eastAsia" w:ascii="仿宋_GB2312" w:eastAsia="仿宋_GB2312"/>
          <w:spacing w:val="0"/>
          <w:sz w:val="32"/>
          <w:szCs w:val="32"/>
          <w:lang w:val="en-US" w:eastAsia="zh-CN"/>
        </w:rPr>
        <w:t>进一步细化预算编制工作，认真做细做好预算的编制，严格按照预算编制的相关制度和要求进行预算编制，优先保障固定性费用支出，提高预算编制的科学性、严谨性和可控性；</w:t>
      </w:r>
      <w:r>
        <w:rPr>
          <w:rFonts w:hint="eastAsia" w:ascii="仿宋_GB2312" w:hAnsi="仿宋_GB2312" w:eastAsia="仿宋_GB2312" w:cs="仿宋_GB2312"/>
          <w:b w:val="0"/>
          <w:bCs w:val="0"/>
          <w:sz w:val="32"/>
          <w:szCs w:val="32"/>
          <w:lang w:val="en-US" w:eastAsia="zh-CN"/>
        </w:rPr>
        <w:t>二是</w:t>
      </w:r>
      <w:r>
        <w:rPr>
          <w:rFonts w:hint="eastAsia" w:ascii="仿宋_GB2312" w:eastAsia="仿宋_GB2312"/>
          <w:spacing w:val="0"/>
          <w:sz w:val="32"/>
          <w:szCs w:val="32"/>
          <w:lang w:val="en-US" w:eastAsia="zh-CN"/>
        </w:rPr>
        <w:t>加强财务管理，严格财务审批。在费用报账支付时，按照预算规定的费用和用途进行资金使用、审核，列报支付，财务核算杜绝超支现象的发生；三是进一步抓好“三公经费”的控制管理，严格执行中央八项规定及相关文件精神，把好“三公经费”支出的审核、审批、结算关，进一步细化“三公经费”的管理，合理压缩“三公经费”的支出。</w:t>
      </w:r>
    </w:p>
    <w:p>
      <w:pPr>
        <w:overflowPunct w:val="0"/>
        <w:spacing w:line="600" w:lineRule="exact"/>
        <w:ind w:firstLine="640" w:firstLineChars="200"/>
        <w:rPr>
          <w:rFonts w:ascii="Times New Roman" w:hAnsi="Times New Roman" w:eastAsia="仿宋_GB2312" w:cs="Times New Roman"/>
          <w:b/>
          <w:bCs/>
          <w:kern w:val="0"/>
          <w:sz w:val="32"/>
          <w:szCs w:val="32"/>
          <w:highlight w:val="none"/>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p>
    <w:p>
      <w:pPr>
        <w:overflowPunct w:val="0"/>
        <w:spacing w:line="600" w:lineRule="exact"/>
        <w:ind w:firstLine="640" w:firstLineChars="200"/>
        <w:rPr>
          <w:rFonts w:hint="eastAsia" w:ascii="Times New Roman" w:hAnsi="Times New Roman" w:eastAsia="仿宋_GB2312"/>
          <w:color w:val="FF0000"/>
          <w:sz w:val="32"/>
          <w:szCs w:val="32"/>
        </w:rPr>
      </w:pPr>
      <w:r>
        <w:rPr>
          <w:rFonts w:ascii="Times New Roman" w:hAnsi="Times New Roman" w:eastAsia="仿宋_GB2312" w:cs="Times New Roman"/>
          <w:kern w:val="0"/>
          <w:sz w:val="32"/>
          <w:szCs w:val="32"/>
          <w:highlight w:val="none"/>
        </w:rPr>
        <w:t>2024年度</w:t>
      </w:r>
      <w:r>
        <w:rPr>
          <w:rFonts w:hint="eastAsia" w:ascii="Times New Roman" w:hAnsi="Times New Roman" w:eastAsia="仿宋_GB2312" w:cs="Times New Roman"/>
          <w:sz w:val="32"/>
          <w:szCs w:val="32"/>
          <w:highlight w:val="none"/>
          <w:lang w:eastAsia="zh-CN"/>
        </w:rPr>
        <w:t>本单位及所属单位本年度未开展事前绩效评估，所以无事前绩效评估结果</w:t>
      </w:r>
    </w:p>
    <w:p>
      <w:pPr>
        <w:numPr>
          <w:ilvl w:val="0"/>
          <w:numId w:val="2"/>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请根据2024年度绩效自评结果、部门评价结果、</w:t>
      </w:r>
      <w:r>
        <w:rPr>
          <w:rFonts w:hint="eastAsia" w:ascii="Times New Roman" w:hAnsi="Times New Roman" w:eastAsia="仿宋_GB2312" w:cs="Times New Roman"/>
          <w:color w:val="auto"/>
          <w:sz w:val="32"/>
          <w:szCs w:val="32"/>
          <w:highlight w:val="none"/>
          <w:lang w:eastAsia="zh-CN"/>
        </w:rPr>
        <w:t>事前绩效</w:t>
      </w:r>
      <w:r>
        <w:rPr>
          <w:rFonts w:ascii="Times New Roman" w:hAnsi="Times New Roman" w:eastAsia="仿宋_GB2312" w:cs="Times New Roman"/>
          <w:color w:val="auto"/>
          <w:sz w:val="32"/>
          <w:szCs w:val="32"/>
          <w:highlight w:val="none"/>
        </w:rPr>
        <w:t>评价结果对本部门2025年度预算安排，支出结构调整，资金管理，制度建设等方面结果运用进行简要说明。</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2"/>
        <w:rPr>
          <w:rFonts w:hint="eastAsia"/>
          <w:lang w:val="en-US" w:eastAsia="zh-CN"/>
        </w:rPr>
      </w:pP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3"/>
        <w:jc w:val="both"/>
        <w:rPr>
          <w:rFonts w:hint="eastAsia" w:ascii="方正小标宋_GBK" w:hAnsi="方正小标宋_GBK" w:eastAsia="方正小标宋_GBK" w:cs="方正小标宋_GBK"/>
          <w:sz w:val="24"/>
          <w:szCs w:val="24"/>
        </w:rPr>
      </w:pPr>
    </w:p>
    <w:p>
      <w:pPr>
        <w:pStyle w:val="13"/>
        <w:jc w:val="both"/>
        <w:rPr>
          <w:rFonts w:hint="eastAsia" w:ascii="方正小标宋_GBK" w:hAnsi="方正小标宋_GBK" w:eastAsia="方正小标宋_GBK" w:cs="方正小标宋_GBK"/>
          <w:sz w:val="24"/>
          <w:szCs w:val="24"/>
        </w:rPr>
      </w:pPr>
    </w:p>
    <w:p>
      <w:pPr>
        <w:pStyle w:val="13"/>
        <w:jc w:val="both"/>
        <w:rPr>
          <w:rFonts w:hint="eastAsia" w:ascii="方正小标宋_GBK" w:hAnsi="方正小标宋_GBK" w:eastAsia="方正小标宋_GBK" w:cs="方正小标宋_GBK"/>
          <w:sz w:val="24"/>
          <w:szCs w:val="24"/>
        </w:rPr>
      </w:pPr>
    </w:p>
    <w:p>
      <w:pPr>
        <w:pStyle w:val="13"/>
        <w:jc w:val="both"/>
        <w:rPr>
          <w:rFonts w:hint="eastAsia" w:ascii="方正小标宋_GBK" w:hAnsi="方正小标宋_GBK" w:eastAsia="方正小标宋_GBK" w:cs="方正小标宋_GBK"/>
          <w:sz w:val="24"/>
          <w:szCs w:val="24"/>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pStyle w:val="2"/>
        <w:rPr>
          <w:rFonts w:hint="eastAsia"/>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三、上年结转和结余：指以前年度尚未完成、结转到本年按有关规定继续使用的资金。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年末结转和结余资金：指本年度或以前年度预算安排、因客观条件发生变化无法按原计划实施，需要延迟到以后年度按有关规定继续使用的资金。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卫生健康支出（类）：是指用于医疗卫生与计划生育方面的支出，包括保障机构正常运转、完成日常和特定的工作任务或事业发展目标的支出。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城乡社区支出（类）：是指用于城乡社区事务支出，包括保障机构正常运转、完成日常和特定的工作任务或事业发展目标的支出。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交通运输支出（类）：是指用于交通运输和邮政业方面的支出，包括保障机构正常运转、完成日常和特定的工作任务或事业发展目标的支出。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基本支出：指保障机构正常运转、完成支日常工作任务而发生的人员支出和公用支出。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项目支出：指在基本支出之外为完成特定行政任务和事业发展目标所发生的支出。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工资福利支出：反映单位开支的在职职工和编制外长期聘用人员的各类劳动报酬，以及为上述人员缴纳的各项社会保险费等。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奖金：反映机关工作人员年终一次性奖金。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伙食补助费：反映单位发给职工的伙食补助费，如误餐补助等。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机关事业单位基本养老保险缴费：反映机关事业单位缴纳的基本养老保险费。由单位代扣的工作人员基本养老保险缴费，不在此科目反映。</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职业年金缴费：反映机关事业单位实际缴纳的职业年金支出。由单位代扣的工作人员职业年金缴费，不在此科目反映。</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职工基本医疗保险缴费：反映单位为职工缴纳的基本医疗保险费。</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住房公积金：反映行政事业单位按人力资源和社会保障部、财政部规定的基本工资和津贴补贴以及规定比例为职工缴纳的住房公积金。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医疗费：反映未参加医疗保险单位的医疗经费和单位按规定为职工支出的其他医疗费用。</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商品和服务支出：反映单位购买商品和服务的支出（不包括用于购置固定资产的支出、战略性和应急储备支出）。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办公费：反映单位购买按财务会计制度规定不符合固定资产确认标准的日常办公用品、书报杂志等支出。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印刷费：反映单位的印刷费支出。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咨询费：反映单位咨询方面的支出。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水费：反映单位支付的水费、污水处理费等支出。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电费：反映单位的电费支出。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邮电费：反映单位开支的信函、包裹、货物等物品的邮寄费及电话费、电报费、传真费、网络通讯费等。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差旅费：反映单位工作人员出差发生的城市间交通费、住宿费、伙食补贴费和市内交通费。</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维修(护)费：反映单位日常开支的固定资产（不包括车船等交通工具）修理和维护费用，网络信息系统运行与维护费用，以及按规定提取的修购基金。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培训费：反映除因公出国（境）培训费以外的各类培训支出。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劳务费：反映支付给单位和个人的劳务费用，如临时聘用人员、钟点工工资，稿费、翻译费，评审费等。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委托业务费：反映因委托外单位办理业务而支付的委托业务费。</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其他交通费用：反映单位除公务用车运行维护费以外的其他交通费用。如公务交通补贴，租车费用、出租车费用，飞机、船舶等的燃料费、维修费、保险费等。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对个人和家庭的补助：反映政府用于对个人和家庭的补助支出。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退休费：反映行政事业单位和军队移交政府安置的退休人员的退休费和其他补贴。</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抚恤金：反映按规定开支的烈士遗属、牺牲病故人员遗属的一次性和定期抚恤金，伤残人员的抚恤金，离退休人员等其他人员的各项抚恤金。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奖励金：反映政府各部门的奖励支出，如对个体私营经济的奖励、计划生育目标责任奖励、独生子女父母奖励等。</w:t>
      </w:r>
    </w:p>
    <w:p>
      <w:pPr>
        <w:pStyle w:val="13"/>
        <w:jc w:val="center"/>
        <w:rPr>
          <w:rFonts w:hint="eastAsia" w:ascii="仿宋_GB2312" w:hAnsi="仿宋_GB2312" w:eastAsia="仿宋_GB2312" w:cs="仿宋_GB2312"/>
          <w:sz w:val="32"/>
          <w:szCs w:val="32"/>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
      <w:pPr>
        <w:pStyle w:val="2"/>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CED2C2B1"/>
    <w:multiLevelType w:val="singleLevel"/>
    <w:tmpl w:val="CED2C2B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777CE9"/>
    <w:rsid w:val="059958AD"/>
    <w:rsid w:val="06C857E7"/>
    <w:rsid w:val="08C24A73"/>
    <w:rsid w:val="0AB4393C"/>
    <w:rsid w:val="0CB33364"/>
    <w:rsid w:val="11944E2C"/>
    <w:rsid w:val="11C176C1"/>
    <w:rsid w:val="12583BA5"/>
    <w:rsid w:val="13BA5B9C"/>
    <w:rsid w:val="17D01333"/>
    <w:rsid w:val="1B1607B7"/>
    <w:rsid w:val="1D97DEFF"/>
    <w:rsid w:val="1DFF72E5"/>
    <w:rsid w:val="1EFC6F07"/>
    <w:rsid w:val="1F0527A6"/>
    <w:rsid w:val="22AC03C2"/>
    <w:rsid w:val="283B15FE"/>
    <w:rsid w:val="2E3118D8"/>
    <w:rsid w:val="2FDF85B8"/>
    <w:rsid w:val="2FFFEE04"/>
    <w:rsid w:val="31C95635"/>
    <w:rsid w:val="329E0744"/>
    <w:rsid w:val="34DF85B0"/>
    <w:rsid w:val="365A5CAA"/>
    <w:rsid w:val="395D7D22"/>
    <w:rsid w:val="3B8F36BC"/>
    <w:rsid w:val="3D4F32BD"/>
    <w:rsid w:val="43EB5BA5"/>
    <w:rsid w:val="45205E79"/>
    <w:rsid w:val="491FF225"/>
    <w:rsid w:val="4B654DC8"/>
    <w:rsid w:val="4E7E67D5"/>
    <w:rsid w:val="4EC310A1"/>
    <w:rsid w:val="4FFD214C"/>
    <w:rsid w:val="524B3013"/>
    <w:rsid w:val="5352765A"/>
    <w:rsid w:val="56C13162"/>
    <w:rsid w:val="5777D4F5"/>
    <w:rsid w:val="57F22B6F"/>
    <w:rsid w:val="58E57291"/>
    <w:rsid w:val="59DD8326"/>
    <w:rsid w:val="5DEF592A"/>
    <w:rsid w:val="5FC6BB1E"/>
    <w:rsid w:val="5FF720F1"/>
    <w:rsid w:val="622964C1"/>
    <w:rsid w:val="67FF5C0B"/>
    <w:rsid w:val="6AC1038E"/>
    <w:rsid w:val="6B5B4EDE"/>
    <w:rsid w:val="6BAA4A2F"/>
    <w:rsid w:val="6C6236F0"/>
    <w:rsid w:val="6DDEC5C0"/>
    <w:rsid w:val="6EFC0924"/>
    <w:rsid w:val="6FB74722"/>
    <w:rsid w:val="6FEF8B7E"/>
    <w:rsid w:val="717FE77F"/>
    <w:rsid w:val="71A6591B"/>
    <w:rsid w:val="737D59BA"/>
    <w:rsid w:val="737F32B1"/>
    <w:rsid w:val="73BD3FCA"/>
    <w:rsid w:val="776BDA01"/>
    <w:rsid w:val="77C37683"/>
    <w:rsid w:val="77EC1C4C"/>
    <w:rsid w:val="79FF515B"/>
    <w:rsid w:val="7CDB7866"/>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toa heading"/>
    <w:basedOn w:val="1"/>
    <w:next w:val="1"/>
    <w:qFormat/>
    <w:uiPriority w:val="99"/>
    <w:pPr>
      <w:spacing w:before="120" w:after="200" w:line="276" w:lineRule="auto"/>
    </w:pPr>
    <w:rPr>
      <w:rFonts w:ascii="Arial" w:hAnsi="Arial"/>
      <w:sz w:val="24"/>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6262</Words>
  <Characters>6829</Characters>
  <Lines>63</Lines>
  <Paragraphs>18</Paragraphs>
  <TotalTime>4</TotalTime>
  <ScaleCrop>false</ScaleCrop>
  <LinksUpToDate>false</LinksUpToDate>
  <CharactersWithSpaces>6862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Administrator</cp:lastModifiedBy>
  <cp:lastPrinted>2025-09-19T07:56:22Z</cp:lastPrinted>
  <dcterms:modified xsi:type="dcterms:W3CDTF">2025-09-19T07:56:36Z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FC6C64BDA0DC41A99E9E318540A0B76D</vt:lpwstr>
  </property>
  <property fmtid="{D5CDD505-2E9C-101B-9397-08002B2CF9AE}" pid="4" name="KSOTemplateDocerSaveRecord">
    <vt:lpwstr>eyJoZGlkIjoiZjU5OGMyMDFhOGVkZTI4YTliOWY4YzhlZDU0ZjFmYTMiLCJ1c2VySWQiOiI0NDc5ODk4MTcifQ==</vt:lpwstr>
  </property>
</Properties>
</file>