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DCFF1">
      <w:pPr>
        <w:pStyle w:val="13"/>
        <w:jc w:val="center"/>
        <w:rPr>
          <w:sz w:val="56"/>
          <w:szCs w:val="56"/>
        </w:rPr>
      </w:pPr>
    </w:p>
    <w:p w14:paraId="3BDF5AB8">
      <w:pPr>
        <w:pStyle w:val="13"/>
        <w:jc w:val="center"/>
        <w:rPr>
          <w:sz w:val="56"/>
          <w:szCs w:val="56"/>
        </w:rPr>
      </w:pPr>
    </w:p>
    <w:p w14:paraId="60CA4575">
      <w:pPr>
        <w:pStyle w:val="13"/>
        <w:jc w:val="center"/>
        <w:rPr>
          <w:sz w:val="84"/>
          <w:szCs w:val="84"/>
        </w:rPr>
      </w:pPr>
    </w:p>
    <w:p w14:paraId="215EB31D">
      <w:pPr>
        <w:pStyle w:val="13"/>
        <w:jc w:val="center"/>
        <w:rPr>
          <w:sz w:val="84"/>
          <w:szCs w:val="84"/>
        </w:rPr>
      </w:pPr>
    </w:p>
    <w:p w14:paraId="376C8602"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202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年度</w:t>
      </w:r>
    </w:p>
    <w:p w14:paraId="31AFD7AE"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国家统计局岳阳调查队</w:t>
      </w:r>
    </w:p>
    <w:p w14:paraId="6934EBE9"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</w:t>
      </w:r>
    </w:p>
    <w:p w14:paraId="3A699C16">
      <w:pPr>
        <w:pStyle w:val="13"/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</w:p>
    <w:p w14:paraId="72C8FB58">
      <w:pPr>
        <w:pStyle w:val="13"/>
        <w:jc w:val="center"/>
        <w:rPr>
          <w:sz w:val="56"/>
          <w:szCs w:val="56"/>
        </w:rPr>
      </w:pPr>
    </w:p>
    <w:p w14:paraId="25018D25">
      <w:pPr>
        <w:pStyle w:val="13"/>
        <w:jc w:val="center"/>
        <w:rPr>
          <w:sz w:val="56"/>
          <w:szCs w:val="56"/>
        </w:rPr>
      </w:pPr>
    </w:p>
    <w:p w14:paraId="5EE73A38">
      <w:pPr>
        <w:pStyle w:val="13"/>
        <w:jc w:val="center"/>
        <w:rPr>
          <w:sz w:val="56"/>
          <w:szCs w:val="56"/>
        </w:rPr>
      </w:pPr>
    </w:p>
    <w:p w14:paraId="297571C5">
      <w:pPr>
        <w:pStyle w:val="13"/>
        <w:jc w:val="center"/>
        <w:rPr>
          <w:sz w:val="32"/>
          <w:szCs w:val="32"/>
        </w:rPr>
      </w:pPr>
    </w:p>
    <w:p w14:paraId="08493D1E">
      <w:pPr>
        <w:pStyle w:val="13"/>
        <w:jc w:val="center"/>
        <w:rPr>
          <w:sz w:val="32"/>
          <w:szCs w:val="32"/>
        </w:rPr>
      </w:pPr>
    </w:p>
    <w:p w14:paraId="5BD6E8BD">
      <w:pPr>
        <w:pStyle w:val="13"/>
        <w:jc w:val="center"/>
        <w:rPr>
          <w:sz w:val="32"/>
          <w:szCs w:val="32"/>
        </w:rPr>
      </w:pPr>
    </w:p>
    <w:p w14:paraId="1062A3B4">
      <w:pPr>
        <w:pStyle w:val="13"/>
        <w:jc w:val="center"/>
        <w:rPr>
          <w:sz w:val="32"/>
          <w:szCs w:val="32"/>
        </w:rPr>
      </w:pPr>
    </w:p>
    <w:p w14:paraId="24F3309B">
      <w:pPr>
        <w:pStyle w:val="13"/>
        <w:spacing w:line="5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 w14:paraId="6CBD0C22"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第一部分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国家统计局岳阳调查队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概况</w:t>
      </w:r>
    </w:p>
    <w:p w14:paraId="060CB1DC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一、部门职责</w:t>
      </w:r>
    </w:p>
    <w:p w14:paraId="315E49DA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二、机构设置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及决算单位构成</w:t>
      </w:r>
    </w:p>
    <w:p w14:paraId="3CE431DD"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第二部分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部门决算表</w:t>
      </w:r>
    </w:p>
    <w:p w14:paraId="4B1DE222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一、收入支出决算总表</w:t>
      </w:r>
    </w:p>
    <w:p w14:paraId="28DAEA9B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二、收入决算表</w:t>
      </w:r>
    </w:p>
    <w:p w14:paraId="4189E141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三、支出决算表</w:t>
      </w:r>
    </w:p>
    <w:p w14:paraId="0621647E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四、财政拨款收入支出决算总表</w:t>
      </w:r>
    </w:p>
    <w:p w14:paraId="28E0B171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五、一般公共预算财政拨款支出决算表</w:t>
      </w:r>
    </w:p>
    <w:p w14:paraId="0A1DA969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六、一般公共预算财政拨款基本支出决算明细表</w:t>
      </w:r>
    </w:p>
    <w:p w14:paraId="62E9A333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七、政府性基金预算财政拨款收入支出决算表</w:t>
      </w:r>
    </w:p>
    <w:p w14:paraId="316661B6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八、国有资本经营预算财政拨款支出决算表</w:t>
      </w:r>
    </w:p>
    <w:p w14:paraId="23827588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九、财政拨款“三公”经费支出决算表</w:t>
      </w:r>
    </w:p>
    <w:p w14:paraId="69B4707F"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第三部分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部门决算情况说明</w:t>
      </w:r>
    </w:p>
    <w:p w14:paraId="30D2819C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一、收入支出决算总体情况说明</w:t>
      </w:r>
    </w:p>
    <w:p w14:paraId="2F99AFEC">
      <w:pPr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二、收入决算情况说明</w:t>
      </w:r>
    </w:p>
    <w:p w14:paraId="69796A82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三、支出决算情况说明</w:t>
      </w:r>
    </w:p>
    <w:p w14:paraId="42F5763D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 w14:paraId="4551B6B2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 w14:paraId="0BC2CE30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 w14:paraId="11D85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七、政府性基金预算收入支出决算情况</w:t>
      </w:r>
    </w:p>
    <w:p w14:paraId="5F6B5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八、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国有资本经营预算财政拨款支出决算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情况</w:t>
      </w:r>
    </w:p>
    <w:p w14:paraId="71D91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九、财政拨款三公经费支出决算情况说明</w:t>
      </w:r>
    </w:p>
    <w:p w14:paraId="371B6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十、关于机关运行经费支出说明</w:t>
      </w:r>
    </w:p>
    <w:p w14:paraId="1624E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十一、一般性支出情况说明</w:t>
      </w:r>
    </w:p>
    <w:p w14:paraId="6C86A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关于政府采购支出说明</w:t>
      </w:r>
    </w:p>
    <w:p w14:paraId="5E15A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十三、关于国有资产占用情况说明</w:t>
      </w:r>
    </w:p>
    <w:p w14:paraId="5BD7D26C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  <w:t>十四、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关于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绩效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情况的说明</w:t>
      </w:r>
    </w:p>
    <w:p w14:paraId="51852483"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第四部分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名词解释</w:t>
      </w:r>
    </w:p>
    <w:p w14:paraId="7D866A9C"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附件</w:t>
      </w:r>
    </w:p>
    <w:p w14:paraId="2E7F14A9"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1095DEAB"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0DEEC249"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 xml:space="preserve">第一部分 </w:t>
      </w:r>
    </w:p>
    <w:p w14:paraId="5C6A94F8"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5EF69A9D">
      <w:pPr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国家统计局岳阳调查队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概况</w:t>
      </w:r>
    </w:p>
    <w:p w14:paraId="77A0C778">
      <w:pPr>
        <w:pStyle w:val="7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397AC3FB">
      <w:pPr>
        <w:pStyle w:val="3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13F2C40A">
      <w:pPr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128B0AE2">
      <w:pPr>
        <w:pStyle w:val="7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1469560B">
      <w:pPr>
        <w:pStyle w:val="3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55E857AF">
      <w:pPr>
        <w:pStyle w:val="14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部门职责</w:t>
      </w:r>
    </w:p>
    <w:p w14:paraId="0F81BF1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主要职能</w:t>
      </w:r>
    </w:p>
    <w:p w14:paraId="462DEF24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国家统计局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岳阳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调查队主要工作职能是：（1）反映社情。主要是反映在岳阳市辖区内经济、社会发展基本情况，为国家统计局组织的城市综合竞争力排位提供依据； （2）了解民情。通过抽样调查方式，在城、乡抽取足够样本居民户进行记帐，反映其住房、就业、入学、家庭生产经营及收入、财产等全方位信息，为各级党政机关了解民情服务；（3）把握商情。主要采用国际通行的抽样调查方法对当地经济运行情况进行描述，包括对工业、农业、建筑业、交通运输业、金融业、服务业等进行调查，为各级领导机关提供情报，并计算各种经济运行情况指数，为国家制定宏观经济政策提供依据；（4）知晓民意。根据各级党政机关中心工作需要、及社会经济运行的特点、焦点、难点问题适时进行民众意见调查，向上级党政机关反映广大人民群众意向；（5）经济运行监测。主要工作内容有：环境监测（包括政治环境、经济环境、自然环境监测）、城乡居民小康、贫困监测、退耕还林监测、畜禽生产检测、粮食产量调查等。</w:t>
      </w:r>
    </w:p>
    <w:p w14:paraId="2DC82B10">
      <w:pPr>
        <w:widowControl/>
        <w:spacing w:line="60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二、机构设置及决算单位构成</w:t>
      </w:r>
    </w:p>
    <w:p w14:paraId="465F2F23"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（一）内设机构设置。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国家统计局岳阳调查队成立于2007年12月26日，内设办公室、综合与执法监督科、价格调查科、住户调查科、劳动力调查科、专项调查科、农业农村科，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何宁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担任党组书记、队长。岳阳调查队是经国务院批准设立、由国家统计局垂直管理的正处级政府统计调查机构。我单位现有在职地方人员9人。</w:t>
      </w:r>
    </w:p>
    <w:p w14:paraId="38F8B787"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（二）决算单位构成。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本单位无独立核算的下属单位，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2024年度部门决算汇总公开单位仅包括国家统计局岳阳调查队单位本级（地方）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056E4ECA">
      <w:pPr>
        <w:pStyle w:val="3"/>
      </w:pPr>
    </w:p>
    <w:p w14:paraId="602F4421"/>
    <w:p w14:paraId="3288C9C5"/>
    <w:p w14:paraId="14507043">
      <w:pPr>
        <w:pStyle w:val="7"/>
      </w:pPr>
    </w:p>
    <w:p w14:paraId="465EA8BD">
      <w:pPr>
        <w:pStyle w:val="3"/>
      </w:pPr>
    </w:p>
    <w:p w14:paraId="49E51758"/>
    <w:p w14:paraId="3DC8C6CD">
      <w:pPr>
        <w:pStyle w:val="7"/>
      </w:pPr>
    </w:p>
    <w:p w14:paraId="36E702E5">
      <w:pPr>
        <w:pStyle w:val="3"/>
      </w:pPr>
    </w:p>
    <w:p w14:paraId="0416550A"/>
    <w:p w14:paraId="7E57D272"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661BBFC8"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第二部分</w:t>
      </w:r>
    </w:p>
    <w:p w14:paraId="5FB02ED5"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3860F185"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部门决算表</w:t>
      </w:r>
    </w:p>
    <w:p w14:paraId="50A5962C"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  <w:t>（见附件）</w:t>
      </w:r>
    </w:p>
    <w:p w14:paraId="325AF5B5"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0568D1B8"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5C65B646"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62EA5E89"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63BFFD84"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4565BABE"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6EEAB3EF"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603C04A7"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7A44A82E"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06211665">
      <w:pPr>
        <w:pStyle w:val="13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7804FBAA"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第三部分</w:t>
      </w:r>
    </w:p>
    <w:p w14:paraId="7D53C949"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4F77A5A6"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202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年度部门决算情况说明</w:t>
      </w:r>
    </w:p>
    <w:p w14:paraId="17862F93"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6EEC30AB"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417367C1"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5EF1049C"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7E4B3CF9"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111D7AB8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决算编制时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明细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至“金额单位：元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本套部门决算文字说明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和公开表格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取数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转换为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金额单位：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万元”，可能导致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以下文字说明中的各项数据取数以及公开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表格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中的各项数据取数之间存在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0.01的尾数差异。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2、以下文字说明中，部分科目由于预算数为0，无法计算完成年初预算的百分比，故未描述“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完成年初预算的XX%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2411C08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一、收入支出决算总体情况说明</w:t>
      </w:r>
    </w:p>
    <w:p w14:paraId="4E624C65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年度收、支总计664.76万元。与上年相比，减少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92.72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12.24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主要原因是2023年度收到市农业农村局拨付2022年全市粮食生产调查无人机航拍及野外调查委托费115.5万元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2024年未开展此项调查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导致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2024年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其他收入较上年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幅度较大。</w:t>
      </w:r>
    </w:p>
    <w:p w14:paraId="07DA9E3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二、收入决算情况说明</w:t>
      </w:r>
    </w:p>
    <w:p w14:paraId="2A53B2A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521.5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万元，其中：财政拨款收入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312.14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59.85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%；上级补助收入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%；事业收入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%；附属单位上缴收入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%；其他收入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209.37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40.15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2D1A2B4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三、支出决算情况说明</w:t>
      </w:r>
    </w:p>
    <w:p w14:paraId="2822293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年度支出合计561.21万元，其中：基本支出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149.50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26.64</w:t>
      </w:r>
      <w:r>
        <w:rPr>
          <w:rFonts w:hint="eastAsia" w:ascii="仿宋_GB2312" w:hAnsi="仿宋_GB2312" w:eastAsia="仿宋_GB2312" w:cs="仿宋_GB2312"/>
          <w:sz w:val="32"/>
          <w:szCs w:val="32"/>
        </w:rPr>
        <w:t>%；项目支出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411.71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73.36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%；上缴上级支出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%；对附属单位补助支出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6258318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四、财政拨款收入支出决算总体情况说明</w:t>
      </w:r>
    </w:p>
    <w:p w14:paraId="75EEE20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楷体" w:hAnsi="楷体" w:eastAsia="仿宋_GB2312" w:cs="楷体"/>
          <w:i/>
          <w:i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年度财政拨款收、支总计312.14万元，与上年相比，减少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38.37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10.95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统计抽样调查的文明城市测评和城乡住户调查经费减少。</w:t>
      </w:r>
    </w:p>
    <w:p w14:paraId="4BB30A6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五、一般公共预算财政拨款支出决算情况说明</w:t>
      </w:r>
    </w:p>
    <w:p w14:paraId="6023283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（一）一般公共预算财政拨款支出决算总体情况</w:t>
      </w:r>
    </w:p>
    <w:p w14:paraId="5DD6C231">
      <w:pPr>
        <w:widowControl w:val="0"/>
        <w:autoSpaceDE w:val="0"/>
        <w:autoSpaceDN w:val="0"/>
        <w:adjustRightInd w:val="0"/>
        <w:ind w:firstLine="640" w:firstLineChars="200"/>
        <w:rPr>
          <w:rFonts w:hint="default" w:ascii="楷体" w:hAnsi="楷体" w:eastAsia="仿宋_GB2312" w:cs="楷体"/>
          <w:i/>
          <w:i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312.14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万元，占本年支出合计的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55.62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%，与上年相比，财政拨款支出减少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38.37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万元，减少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10.95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统计抽样调查的文明城市测评和城乡住户调查经费减少。</w:t>
      </w:r>
    </w:p>
    <w:p w14:paraId="66C54C8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（二）一般公共预算财政拨款支出决算结构情况</w:t>
      </w:r>
    </w:p>
    <w:p w14:paraId="100B560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312.14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万元，主要用于以下方面：一般公共服务（类）支出276.91万元，占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88.71</w:t>
      </w:r>
      <w:r>
        <w:rPr>
          <w:rFonts w:hint="eastAsia" w:ascii="仿宋_GB2312" w:hAnsi="仿宋_GB2312" w:eastAsia="仿宋_GB2312" w:cs="仿宋_GB2312"/>
          <w:sz w:val="32"/>
          <w:szCs w:val="32"/>
        </w:rPr>
        <w:t>%；社会保障和就业支出18.72万元，占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6.00</w:t>
      </w:r>
      <w:r>
        <w:rPr>
          <w:rFonts w:hint="eastAsia" w:ascii="仿宋_GB2312" w:hAnsi="仿宋_GB2312" w:eastAsia="仿宋_GB2312" w:cs="仿宋_GB2312"/>
          <w:sz w:val="32"/>
          <w:szCs w:val="32"/>
        </w:rPr>
        <w:t>%;卫生健康支出5.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1.86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；住房保障支出10.71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3.43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</w:p>
    <w:p w14:paraId="5CDBADF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（三）一般公共预算财政拨款支出决算具体情况</w:t>
      </w:r>
    </w:p>
    <w:p w14:paraId="5B07DAE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年度财政拨款支出年初预算数为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330.58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312.14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94.42</w:t>
      </w:r>
      <w:r>
        <w:rPr>
          <w:rFonts w:hint="eastAsia" w:ascii="仿宋_GB2312" w:hAnsi="仿宋_GB2312" w:eastAsia="仿宋_GB2312" w:cs="仿宋_GB2312"/>
          <w:sz w:val="32"/>
          <w:szCs w:val="32"/>
        </w:rPr>
        <w:t>%，其中：</w:t>
      </w:r>
    </w:p>
    <w:p w14:paraId="237A4D6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1、一般公共服务（类）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统计信息服务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行政运行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（项）</w:t>
      </w:r>
    </w:p>
    <w:p w14:paraId="494FA6A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123.78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122.28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98.71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%，决算数小于年初预算数的主要原因是：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日常经费公务用车费用指标结余1.5万元。</w:t>
      </w:r>
    </w:p>
    <w:p w14:paraId="36A18F1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、一般公共服务（类）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统计信息服务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统计抽样调查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（项）</w:t>
      </w:r>
    </w:p>
    <w:p w14:paraId="3BA10E4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164.44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147.50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89.70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决算数于年初预算数的主要原因是：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2024年省补助就业事业监测及信息化建设项目经费13.44万元和2024年部分食品药品监管专项经费3.5万元结转至2025年执行。</w:t>
      </w:r>
    </w:p>
    <w:p w14:paraId="2F40129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、一般公共服务（类）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统计信息服务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宣传事务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（项）</w:t>
      </w:r>
    </w:p>
    <w:p w14:paraId="454C2AE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7.13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FDEC72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、一般公共服务（类）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社会保障和就业支出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行政事业单位养老支出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（项）。</w:t>
      </w:r>
    </w:p>
    <w:p w14:paraId="6D40D85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14.62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14.62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3FCA82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、一般公共服务（类）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社会保障和就业支出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残疾人事业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（项）</w:t>
      </w:r>
    </w:p>
    <w:p w14:paraId="1F16EBD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1.03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1.03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4C2D3C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、一般公共服务（类）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社会保障和就业支出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其他社会保障和就业支出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（项）</w:t>
      </w:r>
    </w:p>
    <w:p w14:paraId="2502757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3.07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3.07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2437C2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卫生健康支出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行政事业单位医疗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事业单位医疗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（项）</w:t>
      </w:r>
    </w:p>
    <w:p w14:paraId="2EFAA74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7A9258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住房保障支出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住房改革支出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住房公积金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（项）</w:t>
      </w:r>
    </w:p>
    <w:p w14:paraId="701C036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10.71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10.71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73E8BA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六、一般公共预算财政拨款基本支出决算情况说明</w:t>
      </w:r>
    </w:p>
    <w:p w14:paraId="48A9D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149.51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人员经费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134.04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89.65</w:t>
      </w:r>
      <w:r>
        <w:rPr>
          <w:rFonts w:hint="eastAsia" w:ascii="仿宋_GB2312" w:hAnsi="仿宋_GB2312" w:eastAsia="仿宋_GB2312" w:cs="仿宋_GB2312"/>
          <w:sz w:val="32"/>
          <w:szCs w:val="32"/>
        </w:rPr>
        <w:t>%,主要包括基本工资、津贴补贴、奖金、伙食补助费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机关事业单位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基本养老保险缴费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、职工基本医疗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保险缴费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、其他社会保障缴费、住房公积金。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公用经费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15.47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10.35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主要包括办公费、工会经费 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福利费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公务用车运行维护费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38B276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七、政府性基金预算收入支出决算情况</w:t>
      </w:r>
    </w:p>
    <w:p w14:paraId="7B96C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2024年度政府性基金预算财政拨款收入0万元；年初结转和结余0万元；支出0万元，其中基本支出0万元，项目支出0万元；年末结转和结余0万元。</w:t>
      </w:r>
    </w:p>
    <w:p w14:paraId="28BDC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八、国有资本经营预算财政拨款支出决算情况</w:t>
      </w:r>
    </w:p>
    <w:p w14:paraId="64D19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2024年度国有资本经营预算财政拨款收入0万元；年初结转和结余0万；支出0万元，其中：基本支出0万元，项目支出0万元；年末结转和结余0万元。</w:t>
      </w:r>
    </w:p>
    <w:p w14:paraId="5876C25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hAnsi="黑体" w:cs="黑体"/>
          <w:b w:val="0"/>
          <w:bCs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财政拨款三公经费支出决算情况说明</w:t>
      </w:r>
    </w:p>
    <w:p w14:paraId="6298EF1D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（一）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  <w:t>“三公”</w:t>
      </w:r>
      <w:r>
        <w:rPr>
          <w:rFonts w:ascii="Times New Roman" w:hAnsi="Times New Roman" w:eastAsia="楷体_GB2312" w:cs="Times New Roman"/>
          <w:b/>
          <w:sz w:val="32"/>
          <w:szCs w:val="32"/>
        </w:rPr>
        <w:t>经费财政拨款支出决算总体情况说明</w:t>
      </w:r>
    </w:p>
    <w:p w14:paraId="730E9443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2024年度“三公”经费财政拨款支出预算为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4.5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75</w:t>
      </w:r>
      <w:r>
        <w:rPr>
          <w:rFonts w:ascii="Times New Roman" w:hAnsi="Times New Roman" w:eastAsia="仿宋_GB2312" w:cs="Times New Roman"/>
          <w:sz w:val="32"/>
          <w:szCs w:val="32"/>
        </w:rPr>
        <w:t>%；与上年相比增加（减少）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1.27</w:t>
      </w:r>
      <w:r>
        <w:rPr>
          <w:rFonts w:ascii="Times New Roman" w:hAnsi="Times New Roman" w:eastAsia="仿宋_GB2312" w:cs="Times New Roman"/>
          <w:sz w:val="32"/>
          <w:szCs w:val="32"/>
        </w:rPr>
        <w:t>万元，降低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22.01</w:t>
      </w:r>
      <w:r>
        <w:rPr>
          <w:rFonts w:ascii="Times New Roman" w:hAnsi="Times New Roman" w:eastAsia="仿宋_GB2312" w:cs="Times New Roman"/>
          <w:sz w:val="32"/>
          <w:szCs w:val="32"/>
        </w:rPr>
        <w:t>%。决算数小于预算数的主要原因是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2024年预算调整1.5万元的公务用车运行费用</w:t>
      </w:r>
      <w:r>
        <w:rPr>
          <w:rFonts w:ascii="Times New Roman" w:hAnsi="Times New Roman" w:eastAsia="仿宋_GB2312" w:cs="Times New Roman"/>
          <w:sz w:val="32"/>
          <w:szCs w:val="32"/>
        </w:rPr>
        <w:t>。决算数小于上年数的主要原因是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位按有关政策厉行节约，严控“公务用车”支出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352D03A7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（二）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  <w:t>“三公”</w:t>
      </w:r>
      <w:r>
        <w:rPr>
          <w:rFonts w:ascii="Times New Roman" w:hAnsi="Times New Roman" w:eastAsia="楷体_GB2312" w:cs="Times New Roman"/>
          <w:b/>
          <w:sz w:val="32"/>
          <w:szCs w:val="32"/>
        </w:rPr>
        <w:t>经费财政拨款支出决算具体情况说明</w:t>
      </w:r>
    </w:p>
    <w:p w14:paraId="090611E7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1.因公出国（境）费支出预算为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决算数等于预算数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，主要原因是我单位严格按预算执行决算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与上年一致，无增减变动，主要原因是未安排因公出国（境）活动。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2024年度安排因公出国（境）团组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个，累计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人次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65978CAB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2.公务用车购置费及运行维护费支出预算为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4.5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75</w:t>
      </w:r>
      <w:r>
        <w:rPr>
          <w:rFonts w:ascii="Times New Roman" w:hAnsi="Times New Roman" w:eastAsia="仿宋_GB2312" w:cs="Times New Roman"/>
          <w:sz w:val="32"/>
          <w:szCs w:val="32"/>
        </w:rPr>
        <w:t>%；与上年相比增加减少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1.27</w:t>
      </w:r>
      <w:r>
        <w:rPr>
          <w:rFonts w:ascii="Times New Roman" w:hAnsi="Times New Roman" w:eastAsia="仿宋_GB2312" w:cs="Times New Roman"/>
          <w:sz w:val="32"/>
          <w:szCs w:val="32"/>
        </w:rPr>
        <w:t>万元，降低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22.01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主要原因是按有关政策厉行节约，严控“三公经费”支出。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其中：</w:t>
      </w:r>
    </w:p>
    <w:p w14:paraId="4ACE6718">
      <w:p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公务用车购置费支出预算为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决算数等于预算数，主要原因是我单位严格按预算执行决算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与上年一致，无增减变动，主要原因是两年均未购置公务用车。本单位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更新公务用车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5A272CE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" w:cs="Times New Roman"/>
          <w:b/>
          <w:bCs/>
          <w:i/>
          <w:color w:val="FF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公务用车运行维护费支出预算为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4.5</w:t>
      </w:r>
      <w:r>
        <w:rPr>
          <w:rFonts w:ascii="Times New Roman" w:hAnsi="Times New Roman" w:eastAsia="仿宋_GB2312" w:cs="Times New Roman"/>
          <w:sz w:val="32"/>
          <w:szCs w:val="32"/>
        </w:rPr>
        <w:t>万元，主要是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车辆维修</w:t>
      </w:r>
      <w:r>
        <w:rPr>
          <w:rFonts w:ascii="Times New Roman" w:hAnsi="Times New Roman" w:eastAsia="仿宋_GB2312" w:cs="Times New Roman"/>
          <w:sz w:val="32"/>
          <w:szCs w:val="32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和ETC高速公路过路费等</w:t>
      </w:r>
      <w:r>
        <w:rPr>
          <w:rFonts w:ascii="Times New Roman" w:hAnsi="Times New Roman" w:eastAsia="仿宋_GB2312" w:cs="Times New Roman"/>
          <w:sz w:val="32"/>
          <w:szCs w:val="32"/>
        </w:rPr>
        <w:t>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75</w:t>
      </w:r>
      <w:r>
        <w:rPr>
          <w:rFonts w:ascii="Times New Roman" w:hAnsi="Times New Roman" w:eastAsia="仿宋_GB2312" w:cs="Times New Roman"/>
          <w:sz w:val="32"/>
          <w:szCs w:val="32"/>
        </w:rPr>
        <w:t>%；与上年相比减少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1.07</w:t>
      </w:r>
      <w:r>
        <w:rPr>
          <w:rFonts w:ascii="Times New Roman" w:hAnsi="Times New Roman" w:eastAsia="仿宋_GB2312" w:cs="Times New Roman"/>
          <w:sz w:val="32"/>
          <w:szCs w:val="32"/>
        </w:rPr>
        <w:t>万元，降低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22.01</w:t>
      </w:r>
      <w:r>
        <w:rPr>
          <w:rFonts w:ascii="Times New Roman" w:hAnsi="Times New Roman" w:eastAsia="仿宋_GB2312" w:cs="Times New Roman"/>
          <w:sz w:val="32"/>
          <w:szCs w:val="32"/>
        </w:rPr>
        <w:t>%。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2024年预算调整1.5万元的公务用车运行费用</w:t>
      </w:r>
      <w:r>
        <w:rPr>
          <w:rFonts w:ascii="Times New Roman" w:hAnsi="Times New Roman" w:eastAsia="仿宋_GB2312" w:cs="Times New Roman"/>
          <w:sz w:val="32"/>
          <w:szCs w:val="32"/>
        </w:rPr>
        <w:t>。决算数小于上年数的主要原因是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位按有关政策厉行节约，严控“公务用车”支出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截止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到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2024年12月31日，我单位开支财政拨款的公务用车保有量</w:t>
      </w:r>
      <w:r>
        <w:rPr>
          <w:rFonts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辆。</w:t>
      </w:r>
    </w:p>
    <w:p w14:paraId="235B6718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公务接待费支出预算为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决算数等于预算数，主要原因是严格执行中央八项规定；与上年一致，无增减变动，主要原因是按有关政策厉行节约，严控公务接待支出。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2024年度共接待来访团组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个、来宾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人次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3D06ACE2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、关于机关运行经费支出说明</w:t>
      </w:r>
    </w:p>
    <w:p w14:paraId="38BA3ACD">
      <w:pPr>
        <w:pStyle w:val="13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年度机关运行经费支出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15.47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比年初预算数减少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万元，降低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8.84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%。主要原因是：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按有关政策厉行节约，严控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公务用车运行维护费等机关运行经费支出</w:t>
      </w:r>
      <w:r>
        <w:rPr>
          <w:rFonts w:hint="eastAsia" w:ascii="楷体" w:hAnsi="楷体" w:eastAsia="楷体" w:cs="楷体"/>
          <w:sz w:val="32"/>
          <w:szCs w:val="32"/>
        </w:rPr>
        <w:t>。</w:t>
      </w:r>
    </w:p>
    <w:p w14:paraId="39684EF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、一般性支出情况说明</w:t>
      </w:r>
    </w:p>
    <w:p w14:paraId="5E588319">
      <w:pPr>
        <w:pStyle w:val="1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，会议费年初预算0.87万元，支出决算为0.87万元，完成年初预算的100%。用于召开2024年全市统计调查工作会议，人数100人，内容为贯彻落实总结2023年工作，部署2024年全年统计工作任务。召开2024年全市国调工作座谈会，人数40人，内容为贯彻落实全市统计调查工作会议精神，圆满完成全年工作任务。</w:t>
      </w:r>
    </w:p>
    <w:p w14:paraId="2B3DA9E0">
      <w:pPr>
        <w:pStyle w:val="1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费年初预算7.00万元，支出决算为7.00万元，完成年初预算的100%。用于开展文明城市测评培训，人数91人次，内容为文明城市测评辅助调查员业务培训。开展居民消费、低收入、房地产、工业品价格调查业务培训，人数554人次，内容为消费、低收入、房地产、工业品价格调查业务培训。开展城乡住户调查培训，人数160人次，内容全市住户调查业务培训。</w:t>
      </w:r>
    </w:p>
    <w:p w14:paraId="362F9A0F">
      <w:pPr>
        <w:pStyle w:val="1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本单位无举办节庆、晚会、论坛、赛事等活动的预算和支出决算数。</w:t>
      </w:r>
    </w:p>
    <w:p w14:paraId="252D0BE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、关于政府采购支出说明</w:t>
      </w:r>
    </w:p>
    <w:p w14:paraId="32FBD496">
      <w:pPr>
        <w:pStyle w:val="1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门2024年度政府采购支出总额0万元，其中：政府采购货物支出0万元、政府采购工程支出0万元、政府采购服务支出0万元。授予中小企业合同金额0万元（由于政府采购支出总额为0，故无法计算占政府采购支出总额的比重），其中：授予小微企业合同金额0万元（由于授予中小企业合同金额为0，故无法计算占授予中小企业合同金额的比重）。货物采购授予中小企业合同金额占货物支出金额的比重，工程采购授予中小企业合同金额占工程支出金额的比重，服务采购授予中小企业合同金额占服务支出金额的比重，由于以上各项合同金额为0，故无法计算各项占比。</w:t>
      </w:r>
    </w:p>
    <w:p w14:paraId="087F52B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/>
          <w:i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/>
          <w:color w:val="auto"/>
          <w:kern w:val="0"/>
          <w:sz w:val="32"/>
          <w:szCs w:val="32"/>
          <w:lang w:val="en-US" w:eastAsia="zh-CN" w:bidi="ar-SA"/>
        </w:rPr>
        <w:t>政府采购金额的计算口径为：1、本部门纳入2024年度部门预算范围的各项政府采购支出金额之和，不包括涉密采购项目的支出金额。</w:t>
      </w:r>
    </w:p>
    <w:p w14:paraId="246A0DF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、关于国有资产占用情况说明</w:t>
      </w:r>
    </w:p>
    <w:p w14:paraId="37C9D95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截至202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年12月31日，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部门（单位）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共有车辆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，副部（省）级及以上领导用车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机要通信用车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辆、应急保障用车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辆、执法执勤用车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辆、特种专业技术用车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离退休干部服务用车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辆、其他用车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辆，其他用车主要是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农产量等调查用车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；单位价值100万元以上设备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（不含车辆）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台（套）。</w:t>
      </w:r>
    </w:p>
    <w:p w14:paraId="0A8224A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、关于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年度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预算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绩效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管理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情况的说明</w:t>
      </w:r>
    </w:p>
    <w:p w14:paraId="0EB60D67">
      <w:pPr>
        <w:overflowPunct w:val="0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（一）绩效评价工作开展情况</w:t>
      </w:r>
    </w:p>
    <w:p w14:paraId="2559DDC6"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绩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效自评开展情况。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组织对2024年度本部门（单位）整体支出开展绩效自评，涉及项目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个，共涉及资金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312.14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万元。其中，一般公共预算项目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312.14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万元，占一般公共预算支出总额的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%；政府性基金预算项目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；国有资本经营预算项目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社会保险基金预算项目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。</w:t>
      </w:r>
    </w:p>
    <w:p w14:paraId="7C65853C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部门评价开展情况。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本单位及所属单位本年度未开展项目，所以无部门评价开展情况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 w14:paraId="2B23DD89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事前绩效评估开展情况。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本单位及所属单位本年度未新增重大政策和重大项目，所以无事前绩效评估开展情况。</w:t>
      </w:r>
    </w:p>
    <w:p w14:paraId="6FC8205B">
      <w:pPr>
        <w:overflowPunct w:val="0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（二）绩效评价结果</w:t>
      </w:r>
    </w:p>
    <w:p w14:paraId="1F305C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 w:val="0"/>
        <w:bidi w:val="0"/>
        <w:spacing w:before="0" w:beforeAutospacing="0" w:after="0" w:afterAutospacing="0"/>
        <w:ind w:left="0" w:right="0" w:firstLineChars="200"/>
        <w:jc w:val="left"/>
        <w:textAlignment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绩效自评结果。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2024年度本部门（单位）整体支出</w:t>
      </w:r>
      <w:r>
        <w:rPr>
          <w:rFonts w:ascii="Times New Roman" w:hAnsi="Times New Roman" w:eastAsia="仿宋_GB2312" w:cs="Times New Roman"/>
          <w:sz w:val="32"/>
          <w:szCs w:val="32"/>
        </w:rPr>
        <w:t>全年预算数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312.14</w:t>
      </w:r>
      <w:r>
        <w:rPr>
          <w:rFonts w:ascii="Times New Roman" w:hAnsi="Times New Roman" w:eastAsia="仿宋_GB2312" w:cs="Times New Roman"/>
          <w:sz w:val="32"/>
          <w:szCs w:val="32"/>
        </w:rPr>
        <w:t>万元，执行数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312.14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，绩效自评得分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，评价等级为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优</w:t>
      </w:r>
      <w:r>
        <w:rPr>
          <w:rFonts w:ascii="Times New Roman" w:hAnsi="Times New Roman" w:eastAsia="仿宋_GB2312" w:cs="Times New Roman"/>
          <w:sz w:val="32"/>
          <w:szCs w:val="32"/>
        </w:rPr>
        <w:t>”。</w:t>
      </w:r>
    </w:p>
    <w:p w14:paraId="1FDFA4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 w:val="0"/>
        <w:bidi w:val="0"/>
        <w:spacing w:before="0" w:beforeAutospacing="0" w:after="0" w:afterAutospacing="0"/>
        <w:ind w:left="0" w:right="0" w:firstLineChars="200"/>
        <w:jc w:val="left"/>
        <w:textAlignment w:val="center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绩效目标完成情况：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整体支出绩效定性目标及实施计划完成情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 w:bidi="ar"/>
        </w:rPr>
        <w:t>况：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圆满完成了各项统计调查工作任务，为各级政府领导决策和社会大众提供了真实有效的调查数据。整体支出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绩效定量目标及实施计划完成情况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产出目标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数量指标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调查对象达到规定数量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发布规定数量数据产品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今年通过各类媒体平台向社会群众解读城乡居民收入、市场物价、粮食生产等“国调数据”，在岳阳日报、岳阳电视台等媒体上发布城乡居民收入数据，通过统计法制宣传栏向社会公众解释调查指标口径、数据采集过程，增进社会公众对统计调查的知晓度和认可度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质量指标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原始数据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岳阳队以绩效考核管理办法为抓手，每季度实施考核抽查，由综合科牵头组成检查小组，对各科室按照规范化标准要求，从业务工作制度、样本管理、数据采集方法和数据操作流程、资料整理和台账、数据评估和上报审核程序等方面进行检查，对不合格的项目按照《考核评价》方案条款予以扣分，计入全年度绩效--考核总分，实现了全部业务的自检自查。采集完成预期要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主要数据产品达到预期要求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撰写专业分析、重要信息161篇次，总队内网全文采用86篇次，市领导批示11篇次。承办并顺利完成总队在岳举办的“第十五届中国统计开放日”活动和2024年全省劳动力调查培训班。邀请省总队党组成员、副总队长李建伟到岳阳市委党校授课，以推动岳阳地区党员领导干部的学习统计、了解统计。选派干部参加总队统计建模竞赛组队，在国家统计局荣获二等奖，协助总队完成多项课题研究。受市绩效办委托，组织开展全市绩效考核满意度民意调查，调查结果成为评价各县市区和市直部门的综合绩效的重要依据。住户调查与发改委联合开展总结表彰、分区培训；劳动力调查与人生部门，房地产价格调查与住建、资规等部门定期召开联席会议，共同研判经济发展形势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时效指标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原始数据采集按期完成并报告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 w:bidi="ar"/>
        </w:rPr>
        <w:t>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数据产品按期生产并报告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2024年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年底前全部完成。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成本指标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项目支出符合国家或部门相关标准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严格规范地方调查项目管理。一是严格落实申报标准与程序报批。严格执行预申请制度，在正式行文前，报总队法规制度处预审。二是坚决杜绝违法调查。未经总队审批同意的地方调查项目，一律不得开展。培训成本低于上年可比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。经济效率，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项目支出低于国内市场机构可比支出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进一步完善和细化了各专业业务规范化标准，不断改进数据生产全流程控制办法，建立数据质量责任体系、监督体系和考评体系；健全调查员包点包片制度和直接调查制度；建立数据采集痕迹管理办法，健全重点环节记录台帐，形成“步步有记录，环环有监督”的源头数据质量管控机制；建立健全各专业数据质量核查制度；全面执行统计监督检查办法、统计违法举报工作制度、统计执法检查“双随机”抽查办法。项目支出是否低于国际统计机构可比支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严格依法组织实施统计调查。严格执行国家统计标准，执行国家统计调查制度，按照制度规定的内容、范围、程序、方法、操作规程开展调查。按照《湖南统计调查规范化管理办法汇编》，把业务规范落到实处。坚持直接调查与独立调查，充分发挥调查队直接管理的体制优势，坚持从调查对象直接采集数据，坚持数字直接上报，提高抗干扰能力。可持续影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项目对提高统计能力建设的价值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把辅助调查员和调查对象作为重点普法目标，利用各种会议法，基本做到逢会必讲；在入户、下点和电话回访的时候，对辅助调查员和调查对象进行普法，将普法较好地融入了工作实际。每年利用统计开放日、国家宪法日、统计法颁布纪念日等重点时段开展大型统计法制宣传活动。项目对提高政府统计公信力的价值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加强年轻干部队伍建设，在40岁以下的干部中，提拔正科级领导干部1名，晋升三级主任科员2名，推荐系统业务骨干人才2名，均进入考察环节。举办系统青年干部综合素质提升培训班，邀请国家级职业指导专家和资深记者进行授课。鼓励年轻干部组队参加总队建模预选赛，开展队内课题竞赛，共完成研究课题6个。派员参加国家局统计建模比赛组队，荣获全国统计建模比赛二等奖。全面开展党建知识、业务技能练兵比武、解放思想大讨论等活动达到11次，通过各类活动选树“党员突击队”“党员先锋岗”13个，充分发挥业务标杆、作风标杆模范带头作用。加强信息化建设，提升科室信息化联络员水平，积极开展攻防演练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社会公众或服务对象满意度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群众满意度达95%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存在的问题及原因分析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：主要存在干部队伍隐忧，能力不足短板，数据质量风险等问题和挑战。</w:t>
      </w:r>
      <w:r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下一改进措施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：加强队伍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建设，提升能力水平，加强数据质量风险管理。</w:t>
      </w:r>
    </w:p>
    <w:p w14:paraId="1F555EDA"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部门评价结果。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本单位及所属单位本年度未开展部门评价，所以无部门评价结果。</w:t>
      </w:r>
    </w:p>
    <w:p w14:paraId="594CEC69"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事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前绩效评估结果。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本单位及所属单位本年度未开展事前绩效评估，所以无事前绩效评估结果。</w:t>
      </w:r>
    </w:p>
    <w:p w14:paraId="2C89E516">
      <w:pPr>
        <w:numPr>
          <w:ilvl w:val="0"/>
          <w:numId w:val="2"/>
        </w:num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评价结果应用情况</w:t>
      </w:r>
    </w:p>
    <w:p w14:paraId="2E1CBAA7">
      <w:pPr>
        <w:numPr>
          <w:ilvl w:val="0"/>
          <w:numId w:val="0"/>
        </w:num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请根据2024年度绩效自评结果、部门评价结果、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事前绩效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评价结果对本部门2025年度预算安排，支出结构调整，资金管理，制度建设等方面结果运用进行简要说明。</w:t>
      </w:r>
    </w:p>
    <w:p w14:paraId="5E8AD5A5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预算绩效管理开展情况、绩效目标和绩效评价报告等，已在市财政部门预决算公开平台上向社会公开，详见附件。</w:t>
      </w:r>
    </w:p>
    <w:p w14:paraId="5C11092E">
      <w:pPr>
        <w:pStyle w:val="7"/>
        <w:rPr>
          <w:rFonts w:hint="eastAsia"/>
          <w:lang w:val="en-US" w:eastAsia="zh-CN"/>
        </w:rPr>
      </w:pPr>
    </w:p>
    <w:p w14:paraId="3D83FDA1"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475C1000"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36E35AB7"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37D7CC01"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6FD538AE"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0E71B533"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63535943"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6A5A782C"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第四部分</w:t>
      </w:r>
    </w:p>
    <w:p w14:paraId="2DDD6447"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</w:pPr>
    </w:p>
    <w:p w14:paraId="41992F86">
      <w:pPr>
        <w:pStyle w:val="13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  <w:t>名词解释</w:t>
      </w:r>
    </w:p>
    <w:p w14:paraId="1A0E4C77">
      <w:pPr>
        <w:pStyle w:val="13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</w:pPr>
    </w:p>
    <w:p w14:paraId="05E1232B">
      <w:pPr>
        <w:pStyle w:val="13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</w:pPr>
    </w:p>
    <w:p w14:paraId="0E34D1C4">
      <w:pPr>
        <w:pStyle w:val="13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</w:pPr>
    </w:p>
    <w:p w14:paraId="7B0DFB16">
      <w:pPr>
        <w:pStyle w:val="13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</w:pPr>
    </w:p>
    <w:p w14:paraId="25ACEC75">
      <w:pPr>
        <w:pStyle w:val="13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  <w:lang w:eastAsia="zh-CN"/>
        </w:rPr>
      </w:pPr>
    </w:p>
    <w:p w14:paraId="571298D0">
      <w:pPr>
        <w:pStyle w:val="7"/>
      </w:pPr>
    </w:p>
    <w:p w14:paraId="702A86BA"/>
    <w:p w14:paraId="26BE4D01"/>
    <w:p w14:paraId="266AED74"/>
    <w:p w14:paraId="4AA5B067"/>
    <w:p w14:paraId="21F5A91C"/>
    <w:p w14:paraId="754BC716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14:paraId="575346AC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二、机关运行经费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，指为保障行政单位（包括参照公务员法管理的事业单位）运行用于购买货物和服务的各项资金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，包括办公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费、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印刷费、邮电费、差旅费、会议费、日常维修费、专用材料及一般设备购置费、办公用房水电费、办公用房取暖费、办公用房物业管理费、公务用车运行维护费以及其他费用。</w:t>
      </w:r>
    </w:p>
    <w:p w14:paraId="2AE81CE8">
      <w:pPr>
        <w:pStyle w:val="13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47518A">
      <w:pPr>
        <w:pStyle w:val="3"/>
      </w:pPr>
    </w:p>
    <w:p w14:paraId="354ECFD8">
      <w:pPr>
        <w:pStyle w:val="3"/>
      </w:pPr>
    </w:p>
    <w:p w14:paraId="51C67B38"/>
    <w:p w14:paraId="4D131F3E"/>
    <w:p w14:paraId="7CFBCE3C">
      <w:pPr>
        <w:pStyle w:val="7"/>
      </w:pPr>
    </w:p>
    <w:p w14:paraId="5C3DE094">
      <w:pPr>
        <w:pStyle w:val="13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0E5FD2FD">
      <w:pPr>
        <w:pStyle w:val="13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39EFA75E">
      <w:pPr>
        <w:pStyle w:val="13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7211336F">
      <w:pPr>
        <w:pStyle w:val="13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456901E8">
      <w:pPr>
        <w:pStyle w:val="13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759F4C15">
      <w:pPr>
        <w:pStyle w:val="13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0C1858E3"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</w:t>
      </w: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部分</w:t>
      </w:r>
    </w:p>
    <w:p w14:paraId="592BF6CA">
      <w:pPr>
        <w:pStyle w:val="13"/>
        <w:jc w:val="both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 w14:paraId="490142D3"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附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件</w:t>
      </w:r>
    </w:p>
    <w:p w14:paraId="3243C04E"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</w:p>
    <w:p w14:paraId="4EAC9354"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年部门决算公开表格</w:t>
      </w:r>
    </w:p>
    <w:p w14:paraId="27E2EE8B">
      <w:pPr>
        <w:ind w:firstLine="640" w:firstLineChars="200"/>
        <w:jc w:val="left"/>
        <w:rPr>
          <w:rFonts w:ascii="宋体" w:hAnsi="宋体" w:eastAsia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年度部门整体支出绩效评价报告</w:t>
      </w:r>
      <w:bookmarkStart w:id="0" w:name="_GoBack"/>
      <w:bookmarkEnd w:id="0"/>
    </w:p>
    <w:p w14:paraId="045AD96C"/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ECFD4"/>
    <w:multiLevelType w:val="singleLevel"/>
    <w:tmpl w:val="8EDECFD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B4D8E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1C73ACA"/>
    <w:rsid w:val="01CF3D6E"/>
    <w:rsid w:val="024D29CD"/>
    <w:rsid w:val="02EB4148"/>
    <w:rsid w:val="032C536F"/>
    <w:rsid w:val="059958AD"/>
    <w:rsid w:val="05E01F5E"/>
    <w:rsid w:val="067C02C5"/>
    <w:rsid w:val="06B84730"/>
    <w:rsid w:val="06C857E7"/>
    <w:rsid w:val="0705637A"/>
    <w:rsid w:val="086A1FB2"/>
    <w:rsid w:val="08C24A73"/>
    <w:rsid w:val="099C619C"/>
    <w:rsid w:val="0A187AF5"/>
    <w:rsid w:val="0B440899"/>
    <w:rsid w:val="0BD706ED"/>
    <w:rsid w:val="0E8A0CB9"/>
    <w:rsid w:val="0EC16987"/>
    <w:rsid w:val="0EF07E13"/>
    <w:rsid w:val="0FD078A6"/>
    <w:rsid w:val="11944E2C"/>
    <w:rsid w:val="11FB06C6"/>
    <w:rsid w:val="12583BA5"/>
    <w:rsid w:val="12895BDC"/>
    <w:rsid w:val="13BA5B9C"/>
    <w:rsid w:val="146647A1"/>
    <w:rsid w:val="15CE5F71"/>
    <w:rsid w:val="160C6457"/>
    <w:rsid w:val="168B7CC4"/>
    <w:rsid w:val="17544559"/>
    <w:rsid w:val="18787DD4"/>
    <w:rsid w:val="19B65058"/>
    <w:rsid w:val="1A824F3A"/>
    <w:rsid w:val="1AEC3341"/>
    <w:rsid w:val="1AF644BC"/>
    <w:rsid w:val="1B4944AD"/>
    <w:rsid w:val="1C2564C4"/>
    <w:rsid w:val="1CDD28FB"/>
    <w:rsid w:val="1CEC0D90"/>
    <w:rsid w:val="1D8F418E"/>
    <w:rsid w:val="1D97DEFF"/>
    <w:rsid w:val="1DFF72E5"/>
    <w:rsid w:val="1EFC6F07"/>
    <w:rsid w:val="1F0527A6"/>
    <w:rsid w:val="202A40A9"/>
    <w:rsid w:val="22AC03C2"/>
    <w:rsid w:val="23825FAA"/>
    <w:rsid w:val="23A7783E"/>
    <w:rsid w:val="24274153"/>
    <w:rsid w:val="25493BD9"/>
    <w:rsid w:val="26445799"/>
    <w:rsid w:val="27A218AD"/>
    <w:rsid w:val="283B15FE"/>
    <w:rsid w:val="2C1526A6"/>
    <w:rsid w:val="2D086FCF"/>
    <w:rsid w:val="2D5C76E6"/>
    <w:rsid w:val="2DCE076A"/>
    <w:rsid w:val="2E3507E9"/>
    <w:rsid w:val="2E742A54"/>
    <w:rsid w:val="2ED973C6"/>
    <w:rsid w:val="2FB12379"/>
    <w:rsid w:val="2FC35981"/>
    <w:rsid w:val="2FDF85B8"/>
    <w:rsid w:val="2FFFEE04"/>
    <w:rsid w:val="31C95635"/>
    <w:rsid w:val="34DF85B0"/>
    <w:rsid w:val="39316501"/>
    <w:rsid w:val="39880447"/>
    <w:rsid w:val="3A541A29"/>
    <w:rsid w:val="3A81229B"/>
    <w:rsid w:val="3B8F36BC"/>
    <w:rsid w:val="3BEB2067"/>
    <w:rsid w:val="3CCE38B6"/>
    <w:rsid w:val="3D5F1DF8"/>
    <w:rsid w:val="3E7964D0"/>
    <w:rsid w:val="3F1E0E25"/>
    <w:rsid w:val="3F7D78FA"/>
    <w:rsid w:val="40B30B43"/>
    <w:rsid w:val="40B83B58"/>
    <w:rsid w:val="40BD426D"/>
    <w:rsid w:val="412D33E0"/>
    <w:rsid w:val="421A3B26"/>
    <w:rsid w:val="43346E69"/>
    <w:rsid w:val="43D63A7D"/>
    <w:rsid w:val="43EB5BA5"/>
    <w:rsid w:val="43F130FA"/>
    <w:rsid w:val="444906F3"/>
    <w:rsid w:val="45194F13"/>
    <w:rsid w:val="45682DFA"/>
    <w:rsid w:val="474D57A3"/>
    <w:rsid w:val="47EC192A"/>
    <w:rsid w:val="481B4154"/>
    <w:rsid w:val="490663DE"/>
    <w:rsid w:val="491FF225"/>
    <w:rsid w:val="4A217D42"/>
    <w:rsid w:val="4A851D59"/>
    <w:rsid w:val="4B2C69C6"/>
    <w:rsid w:val="4B7255AD"/>
    <w:rsid w:val="4EC310A1"/>
    <w:rsid w:val="4F1A4BE0"/>
    <w:rsid w:val="4FAA0A2C"/>
    <w:rsid w:val="4FFD214C"/>
    <w:rsid w:val="51CB6BEB"/>
    <w:rsid w:val="51FC385C"/>
    <w:rsid w:val="521045FE"/>
    <w:rsid w:val="52C35B14"/>
    <w:rsid w:val="5352765A"/>
    <w:rsid w:val="544B5DC1"/>
    <w:rsid w:val="54E60F2F"/>
    <w:rsid w:val="55C2766E"/>
    <w:rsid w:val="562B25A4"/>
    <w:rsid w:val="5777D4F5"/>
    <w:rsid w:val="57804526"/>
    <w:rsid w:val="57F22B6F"/>
    <w:rsid w:val="58495894"/>
    <w:rsid w:val="587358E6"/>
    <w:rsid w:val="58D32A5A"/>
    <w:rsid w:val="58DD6390"/>
    <w:rsid w:val="59883613"/>
    <w:rsid w:val="59DD8326"/>
    <w:rsid w:val="59F929DF"/>
    <w:rsid w:val="5CD050B5"/>
    <w:rsid w:val="5D105DFA"/>
    <w:rsid w:val="5D952C7C"/>
    <w:rsid w:val="5DB00FE8"/>
    <w:rsid w:val="5DEF592A"/>
    <w:rsid w:val="5E287A3D"/>
    <w:rsid w:val="5FC6BB1E"/>
    <w:rsid w:val="5FEE5FA9"/>
    <w:rsid w:val="5FF720F1"/>
    <w:rsid w:val="60172FFB"/>
    <w:rsid w:val="622964C1"/>
    <w:rsid w:val="64DC3870"/>
    <w:rsid w:val="65B06EDB"/>
    <w:rsid w:val="678A05B2"/>
    <w:rsid w:val="67E67E83"/>
    <w:rsid w:val="67FF5C0B"/>
    <w:rsid w:val="6B2334C7"/>
    <w:rsid w:val="6BAA4A2F"/>
    <w:rsid w:val="6D5E670D"/>
    <w:rsid w:val="6DCF13B9"/>
    <w:rsid w:val="6DDEC5C0"/>
    <w:rsid w:val="6EF2535F"/>
    <w:rsid w:val="6EFC0924"/>
    <w:rsid w:val="6FB74722"/>
    <w:rsid w:val="6FEF8B7E"/>
    <w:rsid w:val="717FE77F"/>
    <w:rsid w:val="71A6591B"/>
    <w:rsid w:val="737D59BA"/>
    <w:rsid w:val="737F32B1"/>
    <w:rsid w:val="73BD3FCA"/>
    <w:rsid w:val="759324E4"/>
    <w:rsid w:val="75BD2C9A"/>
    <w:rsid w:val="76A26A07"/>
    <w:rsid w:val="776BDA01"/>
    <w:rsid w:val="77C37683"/>
    <w:rsid w:val="79FF515B"/>
    <w:rsid w:val="7A410F49"/>
    <w:rsid w:val="7AD51D81"/>
    <w:rsid w:val="7B2B79F6"/>
    <w:rsid w:val="7B555B44"/>
    <w:rsid w:val="7B58479C"/>
    <w:rsid w:val="7BF546E1"/>
    <w:rsid w:val="7C4023E2"/>
    <w:rsid w:val="7DFBFF20"/>
    <w:rsid w:val="7E617E0B"/>
    <w:rsid w:val="7E9E1962"/>
    <w:rsid w:val="7E9F11B4"/>
    <w:rsid w:val="7F37EC1E"/>
    <w:rsid w:val="7F55167C"/>
    <w:rsid w:val="7F7C0DDA"/>
    <w:rsid w:val="7F7DCD9D"/>
    <w:rsid w:val="7F970A6F"/>
    <w:rsid w:val="7FC1FFF3"/>
    <w:rsid w:val="7FC69637"/>
    <w:rsid w:val="7FDF8620"/>
    <w:rsid w:val="7FFB242F"/>
    <w:rsid w:val="7FFDB408"/>
    <w:rsid w:val="7FFE4EEB"/>
    <w:rsid w:val="95FB2B98"/>
    <w:rsid w:val="9A639BC2"/>
    <w:rsid w:val="9FF7D786"/>
    <w:rsid w:val="ABBFB23D"/>
    <w:rsid w:val="B6BE5A03"/>
    <w:rsid w:val="B8C93228"/>
    <w:rsid w:val="C3B4DA5A"/>
    <w:rsid w:val="C4FF458C"/>
    <w:rsid w:val="C7BBD038"/>
    <w:rsid w:val="CBFF70E0"/>
    <w:rsid w:val="CFF50B82"/>
    <w:rsid w:val="CFFFAD89"/>
    <w:rsid w:val="DFFE359E"/>
    <w:rsid w:val="DFFE4FFD"/>
    <w:rsid w:val="DFFF5403"/>
    <w:rsid w:val="EBC3E00A"/>
    <w:rsid w:val="EDFBE100"/>
    <w:rsid w:val="EEABED75"/>
    <w:rsid w:val="EF7E8003"/>
    <w:rsid w:val="F56FDF51"/>
    <w:rsid w:val="F5F3EE78"/>
    <w:rsid w:val="F6B69F17"/>
    <w:rsid w:val="F6E5BB3A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94102"/>
    <w:rsid w:val="FFFF1C8B"/>
    <w:rsid w:val="FF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7245</Words>
  <Characters>7806</Characters>
  <Lines>63</Lines>
  <Paragraphs>18</Paragraphs>
  <TotalTime>8</TotalTime>
  <ScaleCrop>false</ScaleCrop>
  <LinksUpToDate>false</LinksUpToDate>
  <CharactersWithSpaces>7830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2020-07-10T18:32:00Z</dcterms:created>
  <dc:creator>李航 null</dc:creator>
  <cp:lastModifiedBy>好高耶</cp:lastModifiedBy>
  <cp:lastPrinted>2024-08-11T02:20:00Z</cp:lastPrinted>
  <dcterms:modified xsi:type="dcterms:W3CDTF">2025-09-26T07:49:28Z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98623D6660B449428EB8E073C6C952EA</vt:lpwstr>
  </property>
  <property fmtid="{D5CDD505-2E9C-101B-9397-08002B2CF9AE}" pid="4" name="KSOTemplateDocerSaveRecord">
    <vt:lpwstr>eyJoZGlkIjoiYzY2NDllYzZhODhkZjYwNjA2YzA4YWRiOTFkMzA4YjkiLCJ1c2VySWQiOiI1ODM1MDg5ODEifQ==</vt:lpwstr>
  </property>
</Properties>
</file>