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DCFF1">
      <w:pPr>
        <w:pStyle w:val="14"/>
        <w:jc w:val="center"/>
        <w:rPr>
          <w:sz w:val="56"/>
          <w:szCs w:val="56"/>
        </w:rPr>
      </w:pPr>
    </w:p>
    <w:p w14:paraId="3BDF5AB8">
      <w:pPr>
        <w:pStyle w:val="14"/>
        <w:jc w:val="center"/>
        <w:rPr>
          <w:sz w:val="56"/>
          <w:szCs w:val="56"/>
        </w:rPr>
      </w:pPr>
    </w:p>
    <w:p w14:paraId="60CA4575">
      <w:pPr>
        <w:pStyle w:val="14"/>
        <w:jc w:val="center"/>
        <w:rPr>
          <w:sz w:val="84"/>
          <w:szCs w:val="84"/>
        </w:rPr>
      </w:pPr>
    </w:p>
    <w:p w14:paraId="49CC743E">
      <w:pPr>
        <w:pStyle w:val="14"/>
        <w:jc w:val="both"/>
        <w:rPr>
          <w:sz w:val="84"/>
          <w:szCs w:val="84"/>
        </w:rPr>
      </w:pPr>
    </w:p>
    <w:p w14:paraId="62AEA5A6">
      <w:pPr>
        <w:pStyle w:val="14"/>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33F89FA9">
      <w:pPr>
        <w:pStyle w:val="14"/>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岳阳市委政法委部门决算</w:t>
      </w:r>
    </w:p>
    <w:p w14:paraId="7516FD5E">
      <w:pPr>
        <w:pStyle w:val="14"/>
        <w:jc w:val="center"/>
        <w:rPr>
          <w:rFonts w:ascii="方正小标宋_GBK" w:hAnsi="方正小标宋_GBK" w:eastAsia="方正小标宋_GBK" w:cs="方正小标宋_GBK"/>
          <w:sz w:val="56"/>
          <w:szCs w:val="56"/>
        </w:rPr>
      </w:pPr>
    </w:p>
    <w:p w14:paraId="0BE64BD3">
      <w:pPr>
        <w:pStyle w:val="14"/>
        <w:jc w:val="center"/>
        <w:rPr>
          <w:sz w:val="56"/>
          <w:szCs w:val="56"/>
        </w:rPr>
      </w:pPr>
    </w:p>
    <w:p w14:paraId="119F7EB7">
      <w:pPr>
        <w:pStyle w:val="14"/>
        <w:jc w:val="center"/>
        <w:rPr>
          <w:sz w:val="56"/>
          <w:szCs w:val="56"/>
        </w:rPr>
      </w:pPr>
    </w:p>
    <w:p w14:paraId="046EF4D1">
      <w:pPr>
        <w:pStyle w:val="14"/>
        <w:jc w:val="center"/>
        <w:rPr>
          <w:sz w:val="56"/>
          <w:szCs w:val="56"/>
        </w:rPr>
      </w:pPr>
    </w:p>
    <w:p w14:paraId="03974A29">
      <w:pPr>
        <w:pStyle w:val="14"/>
        <w:jc w:val="center"/>
        <w:rPr>
          <w:sz w:val="32"/>
          <w:szCs w:val="32"/>
        </w:rPr>
      </w:pPr>
    </w:p>
    <w:p w14:paraId="2FF46E07">
      <w:pPr>
        <w:pStyle w:val="14"/>
        <w:spacing w:line="500" w:lineRule="exact"/>
        <w:rPr>
          <w:b/>
          <w:sz w:val="36"/>
          <w:szCs w:val="28"/>
        </w:rPr>
      </w:pPr>
    </w:p>
    <w:p w14:paraId="459C483D">
      <w:pPr>
        <w:pStyle w:val="14"/>
        <w:spacing w:line="500" w:lineRule="exact"/>
        <w:jc w:val="both"/>
        <w:rPr>
          <w:rFonts w:hint="eastAsia" w:eastAsia="黑体"/>
          <w:b/>
          <w:sz w:val="36"/>
          <w:szCs w:val="28"/>
          <w:lang w:val="en-US" w:eastAsia="zh-CN"/>
        </w:rPr>
      </w:pPr>
    </w:p>
    <w:p w14:paraId="5FB56113">
      <w:pPr>
        <w:pStyle w:val="14"/>
        <w:spacing w:line="500" w:lineRule="exact"/>
        <w:jc w:val="both"/>
        <w:rPr>
          <w:rFonts w:hint="eastAsia" w:eastAsia="黑体"/>
          <w:b/>
          <w:sz w:val="36"/>
          <w:szCs w:val="28"/>
          <w:lang w:val="en-US" w:eastAsia="zh-CN"/>
        </w:rPr>
      </w:pPr>
    </w:p>
    <w:p w14:paraId="53ECF545">
      <w:pPr>
        <w:pStyle w:val="14"/>
        <w:spacing w:line="500" w:lineRule="exact"/>
        <w:jc w:val="both"/>
        <w:rPr>
          <w:rFonts w:hint="eastAsia" w:eastAsia="黑体"/>
          <w:b/>
          <w:sz w:val="36"/>
          <w:szCs w:val="28"/>
          <w:lang w:val="en-US" w:eastAsia="zh-CN"/>
        </w:rPr>
      </w:pPr>
    </w:p>
    <w:p w14:paraId="76925891">
      <w:pPr>
        <w:pStyle w:val="14"/>
        <w:spacing w:line="500" w:lineRule="exact"/>
        <w:jc w:val="both"/>
        <w:rPr>
          <w:rFonts w:hint="eastAsia" w:eastAsia="黑体"/>
          <w:b/>
          <w:sz w:val="36"/>
          <w:szCs w:val="28"/>
          <w:lang w:val="en-US" w:eastAsia="zh-CN"/>
        </w:rPr>
      </w:pPr>
    </w:p>
    <w:p w14:paraId="03341A3C">
      <w:pPr>
        <w:pStyle w:val="14"/>
        <w:spacing w:line="500" w:lineRule="exact"/>
        <w:jc w:val="both"/>
        <w:rPr>
          <w:rFonts w:hint="eastAsia" w:eastAsia="黑体"/>
          <w:b/>
          <w:sz w:val="36"/>
          <w:szCs w:val="28"/>
          <w:lang w:val="en-US" w:eastAsia="zh-CN"/>
        </w:rPr>
      </w:pPr>
    </w:p>
    <w:p w14:paraId="4A274937">
      <w:pPr>
        <w:pStyle w:val="14"/>
        <w:spacing w:line="500" w:lineRule="exact"/>
        <w:jc w:val="both"/>
        <w:rPr>
          <w:rFonts w:hint="eastAsia" w:eastAsia="黑体"/>
          <w:b/>
          <w:sz w:val="36"/>
          <w:szCs w:val="28"/>
          <w:lang w:val="en-US" w:eastAsia="zh-CN"/>
        </w:rPr>
      </w:pPr>
    </w:p>
    <w:p w14:paraId="24F3309B">
      <w:pPr>
        <w:pStyle w:val="14"/>
        <w:spacing w:line="500" w:lineRule="exact"/>
        <w:jc w:val="center"/>
        <w:rPr>
          <w:b/>
          <w:sz w:val="36"/>
          <w:szCs w:val="28"/>
        </w:rPr>
      </w:pPr>
      <w:r>
        <w:rPr>
          <w:rFonts w:hint="eastAsia"/>
          <w:b/>
          <w:sz w:val="36"/>
          <w:szCs w:val="28"/>
        </w:rPr>
        <w:t>目录</w:t>
      </w:r>
    </w:p>
    <w:p w14:paraId="7979D8D0">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bCs/>
          <w:sz w:val="28"/>
          <w:szCs w:val="28"/>
        </w:rPr>
        <w:t>岳阳市委政法委部门概况</w:t>
      </w:r>
    </w:p>
    <w:p w14:paraId="060CB1DC">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15E49DA">
      <w:pPr>
        <w:pStyle w:val="14"/>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14:paraId="3CE431DD">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4B1DE222">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8DAEA9B">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189E141">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621647E">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8E0B171">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0A1DA969">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2E9A333">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16661B6">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3827588">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9B4707F">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30D2819C">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F99AFEC">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9796A8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42F5763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551B6B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0BC2CE3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1D85543">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5F6B554B">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highlight w:val="yellow"/>
        </w:rPr>
      </w:pPr>
      <w:r>
        <w:rPr>
          <w:rFonts w:hint="eastAsia" w:ascii="仿宋_GB2312" w:hAnsi="仿宋_GB2312" w:eastAsia="仿宋_GB2312" w:cs="仿宋_GB2312"/>
          <w:color w:val="000000"/>
          <w:kern w:val="0"/>
          <w:sz w:val="28"/>
          <w:szCs w:val="28"/>
          <w:highlight w:val="none"/>
        </w:rPr>
        <w:t>八、</w:t>
      </w:r>
      <w:r>
        <w:rPr>
          <w:rFonts w:hint="eastAsia" w:ascii="仿宋_GB2312" w:hAnsi="仿宋_GB2312" w:eastAsia="仿宋_GB2312" w:cs="仿宋_GB2312"/>
          <w:sz w:val="28"/>
          <w:szCs w:val="28"/>
          <w:highlight w:val="none"/>
        </w:rPr>
        <w:t>国有资本经营预算财政拨款支出决算</w:t>
      </w:r>
      <w:r>
        <w:rPr>
          <w:rFonts w:hint="eastAsia" w:ascii="仿宋_GB2312" w:hAnsi="仿宋_GB2312" w:eastAsia="仿宋_GB2312" w:cs="仿宋_GB2312"/>
          <w:sz w:val="28"/>
          <w:szCs w:val="28"/>
          <w:highlight w:val="none"/>
          <w:lang w:eastAsia="zh-CN"/>
        </w:rPr>
        <w:t>情况</w:t>
      </w:r>
    </w:p>
    <w:p w14:paraId="71D9102A">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14:paraId="371B64F5">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1624E73C">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6C86A3EF">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5E15A642">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14:paraId="5BD7D26C">
      <w:pPr>
        <w:pStyle w:val="14"/>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SA"/>
        </w:rPr>
        <w:t>十四、</w:t>
      </w:r>
      <w:r>
        <w:rPr>
          <w:rFonts w:hint="eastAsia" w:ascii="仿宋_GB2312" w:hAnsi="仿宋_GB2312" w:eastAsia="仿宋_GB2312" w:cs="仿宋_GB2312"/>
          <w:sz w:val="28"/>
          <w:szCs w:val="28"/>
          <w:highlight w:val="none"/>
        </w:rPr>
        <w:t>关于</w:t>
      </w:r>
      <w:r>
        <w:rPr>
          <w:rFonts w:hint="default" w:ascii="Times New Roman" w:hAnsi="Times New Roman" w:eastAsia="仿宋_GB2312" w:cs="Times New Roman"/>
          <w:sz w:val="28"/>
          <w:szCs w:val="28"/>
          <w:highlight w:val="none"/>
        </w:rPr>
        <w:t>202</w:t>
      </w:r>
      <w:r>
        <w:rPr>
          <w:rFonts w:hint="eastAsia" w:ascii="Times New Roman" w:hAnsi="Times New Roman" w:eastAsia="仿宋_GB2312" w:cs="Times New Roman"/>
          <w:sz w:val="28"/>
          <w:szCs w:val="28"/>
          <w:highlight w:val="none"/>
          <w:lang w:val="en-US" w:eastAsia="zh-CN"/>
        </w:rPr>
        <w:t>4</w:t>
      </w:r>
      <w:r>
        <w:rPr>
          <w:rFonts w:hint="eastAsia" w:ascii="仿宋_GB2312" w:hAnsi="仿宋_GB2312" w:eastAsia="仿宋_GB2312" w:cs="仿宋_GB2312"/>
          <w:sz w:val="28"/>
          <w:szCs w:val="28"/>
          <w:highlight w:val="none"/>
        </w:rPr>
        <w:t>年度</w:t>
      </w:r>
      <w:r>
        <w:rPr>
          <w:rFonts w:hint="eastAsia" w:ascii="仿宋_GB2312" w:hAnsi="仿宋_GB2312" w:eastAsia="仿宋_GB2312" w:cs="仿宋_GB2312"/>
          <w:sz w:val="28"/>
          <w:szCs w:val="28"/>
          <w:highlight w:val="none"/>
          <w:lang w:eastAsia="zh-CN"/>
        </w:rPr>
        <w:t>预算</w:t>
      </w:r>
      <w:r>
        <w:rPr>
          <w:rFonts w:hint="eastAsia" w:ascii="仿宋_GB2312" w:hAnsi="仿宋_GB2312" w:eastAsia="仿宋_GB2312" w:cs="仿宋_GB2312"/>
          <w:sz w:val="28"/>
          <w:szCs w:val="28"/>
          <w:highlight w:val="none"/>
        </w:rPr>
        <w:t>绩效</w:t>
      </w:r>
      <w:r>
        <w:rPr>
          <w:rFonts w:hint="eastAsia" w:ascii="仿宋_GB2312" w:hAnsi="仿宋_GB2312" w:eastAsia="仿宋_GB2312" w:cs="仿宋_GB2312"/>
          <w:sz w:val="28"/>
          <w:szCs w:val="28"/>
          <w:highlight w:val="none"/>
          <w:lang w:eastAsia="zh-CN"/>
        </w:rPr>
        <w:t>管理</w:t>
      </w:r>
      <w:r>
        <w:rPr>
          <w:rFonts w:hint="eastAsia" w:ascii="仿宋_GB2312" w:hAnsi="仿宋_GB2312" w:eastAsia="仿宋_GB2312" w:cs="仿宋_GB2312"/>
          <w:sz w:val="28"/>
          <w:szCs w:val="28"/>
          <w:highlight w:val="none"/>
        </w:rPr>
        <w:t>情况的说明</w:t>
      </w:r>
    </w:p>
    <w:p w14:paraId="51852483">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7D866A9C">
      <w:pPr>
        <w:pStyle w:val="14"/>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2E7F14A9">
      <w:pPr>
        <w:pStyle w:val="14"/>
        <w:jc w:val="center"/>
        <w:rPr>
          <w:rFonts w:hint="eastAsia" w:ascii="方正小标宋_GBK" w:hAnsi="方正小标宋_GBK" w:eastAsia="方正小标宋_GBK" w:cs="方正小标宋_GBK"/>
          <w:sz w:val="84"/>
          <w:szCs w:val="84"/>
        </w:rPr>
      </w:pPr>
    </w:p>
    <w:p w14:paraId="1095DEAB">
      <w:pPr>
        <w:pStyle w:val="14"/>
        <w:jc w:val="center"/>
        <w:rPr>
          <w:rFonts w:hint="eastAsia" w:ascii="方正小标宋_GBK" w:hAnsi="方正小标宋_GBK" w:eastAsia="方正小标宋_GBK" w:cs="方正小标宋_GBK"/>
          <w:sz w:val="84"/>
          <w:szCs w:val="84"/>
        </w:rPr>
      </w:pPr>
    </w:p>
    <w:p w14:paraId="0DEEC249">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5C6A94F8">
      <w:pPr>
        <w:pStyle w:val="14"/>
        <w:jc w:val="center"/>
        <w:rPr>
          <w:rFonts w:hint="eastAsia" w:ascii="方正小标宋_GBK" w:hAnsi="方正小标宋_GBK" w:eastAsia="方正小标宋_GBK" w:cs="方正小标宋_GBK"/>
          <w:sz w:val="84"/>
          <w:szCs w:val="84"/>
        </w:rPr>
      </w:pPr>
    </w:p>
    <w:p w14:paraId="5EF69A9D">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岳阳市委政法委</w:t>
      </w:r>
      <w:r>
        <w:rPr>
          <w:rFonts w:hint="eastAsia" w:ascii="方正小标宋_GBK" w:hAnsi="方正小标宋_GBK" w:eastAsia="方正小标宋_GBK" w:cs="方正小标宋_GBK"/>
          <w:sz w:val="84"/>
          <w:szCs w:val="84"/>
          <w:lang w:eastAsia="zh-CN"/>
        </w:rPr>
        <w:t>部门</w:t>
      </w:r>
      <w:r>
        <w:rPr>
          <w:rFonts w:hint="eastAsia" w:ascii="方正小标宋_GBK" w:hAnsi="方正小标宋_GBK" w:eastAsia="方正小标宋_GBK" w:cs="方正小标宋_GBK"/>
          <w:sz w:val="84"/>
          <w:szCs w:val="84"/>
        </w:rPr>
        <w:t>概况</w:t>
      </w:r>
    </w:p>
    <w:p w14:paraId="77A0C778">
      <w:pPr>
        <w:pStyle w:val="2"/>
        <w:rPr>
          <w:rFonts w:hint="eastAsia" w:ascii="方正小标宋_GBK" w:hAnsi="方正小标宋_GBK" w:eastAsia="方正小标宋_GBK" w:cs="方正小标宋_GBK"/>
          <w:sz w:val="84"/>
          <w:szCs w:val="84"/>
        </w:rPr>
      </w:pPr>
    </w:p>
    <w:p w14:paraId="397AC3FB">
      <w:pPr>
        <w:pStyle w:val="3"/>
        <w:rPr>
          <w:rFonts w:hint="eastAsia" w:ascii="方正小标宋_GBK" w:hAnsi="方正小标宋_GBK" w:eastAsia="方正小标宋_GBK" w:cs="方正小标宋_GBK"/>
          <w:sz w:val="84"/>
          <w:szCs w:val="84"/>
        </w:rPr>
      </w:pPr>
    </w:p>
    <w:p w14:paraId="13F2C40A">
      <w:pPr>
        <w:rPr>
          <w:rFonts w:hint="eastAsia" w:ascii="方正小标宋_GBK" w:hAnsi="方正小标宋_GBK" w:eastAsia="方正小标宋_GBK" w:cs="方正小标宋_GBK"/>
          <w:sz w:val="84"/>
          <w:szCs w:val="84"/>
        </w:rPr>
      </w:pPr>
    </w:p>
    <w:p w14:paraId="128B0AE2">
      <w:pPr>
        <w:pStyle w:val="2"/>
        <w:rPr>
          <w:rFonts w:hint="eastAsia" w:ascii="方正小标宋_GBK" w:hAnsi="方正小标宋_GBK" w:eastAsia="方正小标宋_GBK" w:cs="方正小标宋_GBK"/>
          <w:sz w:val="84"/>
          <w:szCs w:val="84"/>
        </w:rPr>
      </w:pPr>
    </w:p>
    <w:p w14:paraId="498D4C06">
      <w:pPr>
        <w:pStyle w:val="3"/>
        <w:rPr>
          <w:rFonts w:hint="eastAsia" w:ascii="方正小标宋_GBK" w:hAnsi="方正小标宋_GBK" w:eastAsia="方正小标宋_GBK" w:cs="方正小标宋_GBK"/>
          <w:sz w:val="84"/>
          <w:szCs w:val="84"/>
        </w:rPr>
      </w:pPr>
    </w:p>
    <w:p w14:paraId="5450460C">
      <w:pPr>
        <w:rPr>
          <w:rFonts w:hint="eastAsia"/>
        </w:rPr>
      </w:pPr>
    </w:p>
    <w:p w14:paraId="404CC108">
      <w:pPr>
        <w:pStyle w:val="20"/>
        <w:keepNext w:val="0"/>
        <w:keepLines w:val="0"/>
        <w:pageBreakBefore w:val="0"/>
        <w:kinsoku/>
        <w:wordWrap/>
        <w:overflowPunct/>
        <w:topLinePunct w:val="0"/>
        <w:autoSpaceDE/>
        <w:autoSpaceDN/>
        <w:bidi w:val="0"/>
        <w:spacing w:line="520" w:lineRule="exact"/>
        <w:ind w:firstLine="640"/>
        <w:jc w:val="left"/>
        <w:rPr>
          <w:rFonts w:ascii="黑体" w:hAnsi="黑体" w:eastAsia="黑体"/>
          <w:sz w:val="32"/>
          <w:szCs w:val="32"/>
        </w:rPr>
      </w:pPr>
      <w:r>
        <w:rPr>
          <w:rFonts w:hint="eastAsia" w:ascii="黑体" w:hAnsi="黑体" w:eastAsia="黑体"/>
          <w:sz w:val="32"/>
          <w:szCs w:val="32"/>
        </w:rPr>
        <w:t>一、部门职责</w:t>
      </w:r>
    </w:p>
    <w:p w14:paraId="6DB1E6B7">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Fonts w:ascii="仿宋" w:hAnsi="仿宋" w:eastAsia="仿宋"/>
          <w:b/>
          <w:bCs/>
          <w:sz w:val="32"/>
          <w:szCs w:val="32"/>
        </w:rPr>
      </w:pPr>
      <w:r>
        <w:rPr>
          <w:rFonts w:hint="eastAsia" w:ascii="仿宋" w:hAnsi="仿宋" w:eastAsia="仿宋"/>
          <w:b/>
          <w:bCs/>
          <w:sz w:val="32"/>
          <w:szCs w:val="32"/>
        </w:rPr>
        <w:t>部门职能职责</w:t>
      </w:r>
    </w:p>
    <w:p w14:paraId="255B37E9">
      <w:pPr>
        <w:keepNext w:val="0"/>
        <w:keepLines w:val="0"/>
        <w:pageBreakBefore w:val="0"/>
        <w:kinsoku/>
        <w:wordWrap/>
        <w:overflowPunct/>
        <w:topLinePunct w:val="0"/>
        <w:autoSpaceDE/>
        <w:autoSpaceDN/>
        <w:bidi w:val="0"/>
        <w:spacing w:line="520" w:lineRule="exact"/>
        <w:ind w:firstLine="640" w:firstLineChars="200"/>
        <w:rPr>
          <w:rFonts w:ascii="仿宋" w:hAnsi="仿宋" w:eastAsia="仿宋"/>
          <w:sz w:val="32"/>
          <w:szCs w:val="32"/>
        </w:rPr>
      </w:pPr>
      <w:r>
        <w:rPr>
          <w:rFonts w:hint="eastAsia" w:ascii="仿宋" w:hAnsi="仿宋" w:eastAsia="仿宋"/>
          <w:sz w:val="32"/>
          <w:szCs w:val="32"/>
        </w:rPr>
        <w:t>市委政法委是市委主管政法工作的职能部门。主要职责：1、深入贯彻习近平新时代中国特色社会主义思想，深入贯彻党的路线方针政策和决策部署；2、深入贯彻党中央决定和省委、市委决策，对全市政法工作研究提出全局性部署，推进平安岳阳、法治岳阳建设，加强过硬队伍建设，深化智能化建设，坚决维护国家政治安全、确保社会大局稳定、促进社会公平正义、保障人民安居乐业；3、了解掌握和分析研判政法工作情况动态；4、加强对政法工作的督查，统筹协调社会治安综合治理；5、组织开展政法领域的调查研究，研究拟订政法工作的重要措施；6、掌握分析政法舆情动态；7、监督和支持政法各部门依法行使职权；8、指导推动政法系统党的建设和政法队伍建设；9、完成市委交办的其也事项。</w:t>
      </w:r>
    </w:p>
    <w:p w14:paraId="5A48BCDD">
      <w:pPr>
        <w:keepNext w:val="0"/>
        <w:keepLines w:val="0"/>
        <w:pageBreakBefore w:val="0"/>
        <w:widowControl/>
        <w:kinsoku/>
        <w:wordWrap/>
        <w:overflowPunct/>
        <w:topLinePunct w:val="0"/>
        <w:autoSpaceDE/>
        <w:autoSpaceDN/>
        <w:bidi w:val="0"/>
        <w:adjustRightInd w:val="0"/>
        <w:snapToGrid w:val="0"/>
        <w:spacing w:line="520" w:lineRule="exact"/>
        <w:ind w:firstLine="627" w:firstLineChars="196"/>
        <w:rPr>
          <w:rFonts w:ascii="黑体" w:hAnsi="黑体" w:eastAsia="黑体"/>
          <w:b/>
          <w:bCs/>
          <w:color w:val="333333"/>
          <w:sz w:val="32"/>
          <w:szCs w:val="32"/>
        </w:rPr>
      </w:pPr>
      <w:r>
        <w:rPr>
          <w:rFonts w:hint="eastAsia" w:ascii="黑体" w:hAnsi="黑体" w:eastAsia="黑体"/>
          <w:b/>
          <w:bCs/>
          <w:color w:val="333333"/>
          <w:sz w:val="32"/>
          <w:szCs w:val="32"/>
        </w:rPr>
        <w:t>二、机构设置及决算单位构成</w:t>
      </w:r>
    </w:p>
    <w:p w14:paraId="3167AA58">
      <w:pPr>
        <w:keepNext w:val="0"/>
        <w:keepLines w:val="0"/>
        <w:pageBreakBefore w:val="0"/>
        <w:widowControl/>
        <w:kinsoku/>
        <w:wordWrap/>
        <w:overflowPunct/>
        <w:topLinePunct w:val="0"/>
        <w:autoSpaceDE/>
        <w:autoSpaceDN/>
        <w:bidi w:val="0"/>
        <w:spacing w:line="520" w:lineRule="exact"/>
        <w:ind w:firstLine="640" w:firstLineChars="200"/>
        <w:jc w:val="left"/>
        <w:textAlignment w:val="center"/>
        <w:rPr>
          <w:rFonts w:ascii="仿宋_GB2312" w:hAnsi="宋体" w:eastAsia="仿宋_GB2312"/>
          <w:kern w:val="0"/>
          <w:sz w:val="30"/>
          <w:szCs w:val="30"/>
        </w:rPr>
      </w:pPr>
      <w:r>
        <w:rPr>
          <w:rFonts w:hint="eastAsia" w:ascii="仿宋" w:hAnsi="仿宋" w:eastAsia="仿宋"/>
          <w:sz w:val="32"/>
          <w:szCs w:val="32"/>
        </w:rPr>
        <w:t>（一）</w:t>
      </w:r>
      <w:r>
        <w:rPr>
          <w:rFonts w:hint="eastAsia" w:ascii="仿宋" w:hAnsi="仿宋" w:eastAsia="仿宋"/>
          <w:b/>
          <w:sz w:val="32"/>
          <w:szCs w:val="32"/>
        </w:rPr>
        <w:t>内设</w:t>
      </w:r>
      <w:r>
        <w:rPr>
          <w:rFonts w:hint="eastAsia" w:ascii="仿宋" w:hAnsi="仿宋" w:eastAsia="仿宋"/>
          <w:b/>
          <w:bCs/>
          <w:sz w:val="32"/>
          <w:szCs w:val="32"/>
        </w:rPr>
        <w:t>机构设置</w:t>
      </w:r>
      <w:r>
        <w:rPr>
          <w:rFonts w:hint="eastAsia" w:ascii="仿宋" w:hAnsi="仿宋" w:eastAsia="仿宋"/>
          <w:sz w:val="32"/>
          <w:szCs w:val="32"/>
        </w:rPr>
        <w:t>：</w:t>
      </w:r>
      <w:r>
        <w:rPr>
          <w:rFonts w:hint="eastAsia" w:ascii="仿宋_GB2312" w:eastAsia="仿宋_GB2312"/>
          <w:kern w:val="0"/>
          <w:sz w:val="30"/>
          <w:szCs w:val="30"/>
        </w:rPr>
        <w:t>根据市委编办核定，我委设置1</w:t>
      </w:r>
      <w:r>
        <w:rPr>
          <w:rFonts w:hint="eastAsia" w:ascii="仿宋_GB2312" w:eastAsia="仿宋_GB2312"/>
          <w:kern w:val="0"/>
          <w:sz w:val="30"/>
          <w:szCs w:val="30"/>
          <w:lang w:val="en-US" w:eastAsia="zh-CN"/>
        </w:rPr>
        <w:t>2</w:t>
      </w:r>
      <w:r>
        <w:rPr>
          <w:rFonts w:hint="eastAsia" w:ascii="仿宋_GB2312" w:eastAsia="仿宋_GB2312"/>
          <w:kern w:val="0"/>
          <w:sz w:val="30"/>
          <w:szCs w:val="30"/>
        </w:rPr>
        <w:t>个内设部室和</w:t>
      </w:r>
      <w:r>
        <w:rPr>
          <w:rFonts w:hint="eastAsia" w:ascii="仿宋_GB2312" w:eastAsia="仿宋_GB2312"/>
          <w:kern w:val="0"/>
          <w:sz w:val="30"/>
          <w:szCs w:val="30"/>
          <w:lang w:val="en-US" w:eastAsia="zh-CN"/>
        </w:rPr>
        <w:t>2</w:t>
      </w:r>
      <w:r>
        <w:rPr>
          <w:rFonts w:hint="eastAsia" w:ascii="仿宋_GB2312" w:eastAsia="仿宋_GB2312"/>
          <w:kern w:val="0"/>
          <w:sz w:val="30"/>
          <w:szCs w:val="30"/>
        </w:rPr>
        <w:t>个</w:t>
      </w:r>
      <w:r>
        <w:rPr>
          <w:rFonts w:hint="eastAsia" w:ascii="仿宋_GB2312" w:eastAsia="仿宋_GB2312"/>
          <w:kern w:val="0"/>
          <w:sz w:val="30"/>
          <w:szCs w:val="30"/>
          <w:lang w:val="en-US" w:eastAsia="zh-CN"/>
        </w:rPr>
        <w:t>事业单位</w:t>
      </w:r>
      <w:r>
        <w:rPr>
          <w:rFonts w:hint="eastAsia" w:ascii="仿宋_GB2312" w:eastAsia="仿宋_GB2312"/>
          <w:kern w:val="0"/>
          <w:sz w:val="30"/>
          <w:szCs w:val="30"/>
        </w:rPr>
        <w:t>，</w:t>
      </w:r>
      <w:r>
        <w:rPr>
          <w:rFonts w:hint="eastAsia" w:ascii="仿宋_GB2312" w:hAnsi="宋体" w:eastAsia="仿宋_GB2312"/>
          <w:kern w:val="0"/>
          <w:sz w:val="30"/>
          <w:szCs w:val="30"/>
        </w:rPr>
        <w:t>内设科室包括：办公室、政治部、政策研究室、政治安全室、维稳指导室、综治督导室、基层社会治理室、反邪教协调室、执法监督室、法治室、宣传教育室、扫黑除恶指导室</w:t>
      </w:r>
    </w:p>
    <w:p w14:paraId="2170808F">
      <w:pPr>
        <w:keepNext w:val="0"/>
        <w:keepLines w:val="0"/>
        <w:pageBreakBefore w:val="0"/>
        <w:widowControl/>
        <w:kinsoku/>
        <w:wordWrap/>
        <w:overflowPunct/>
        <w:topLinePunct w:val="0"/>
        <w:autoSpaceDE/>
        <w:autoSpaceDN/>
        <w:bidi w:val="0"/>
        <w:spacing w:line="520" w:lineRule="exact"/>
        <w:ind w:firstLine="600"/>
        <w:jc w:val="left"/>
        <w:textAlignment w:val="center"/>
        <w:rPr>
          <w:rFonts w:ascii="仿宋_GB2312" w:hAnsi="宋体" w:eastAsia="仿宋_GB2312"/>
          <w:kern w:val="0"/>
          <w:sz w:val="30"/>
          <w:szCs w:val="30"/>
        </w:rPr>
      </w:pPr>
      <w:r>
        <w:rPr>
          <w:rFonts w:hint="eastAsia" w:ascii="仿宋_GB2312" w:hAnsi="宋体" w:eastAsia="仿宋_GB2312"/>
          <w:kern w:val="0"/>
          <w:sz w:val="30"/>
          <w:szCs w:val="30"/>
        </w:rPr>
        <w:t>机关党委（纪委）按章程设置。</w:t>
      </w:r>
    </w:p>
    <w:p w14:paraId="71D0F9E1">
      <w:pPr>
        <w:keepNext w:val="0"/>
        <w:keepLines w:val="0"/>
        <w:pageBreakBefore w:val="0"/>
        <w:widowControl/>
        <w:kinsoku/>
        <w:wordWrap/>
        <w:overflowPunct/>
        <w:topLinePunct w:val="0"/>
        <w:autoSpaceDE/>
        <w:autoSpaceDN/>
        <w:bidi w:val="0"/>
        <w:spacing w:line="520" w:lineRule="exact"/>
        <w:ind w:firstLine="600"/>
        <w:jc w:val="left"/>
        <w:textAlignment w:val="center"/>
        <w:rPr>
          <w:rFonts w:hint="default" w:ascii="黑体" w:hAnsi="黑体" w:eastAsia="仿宋"/>
          <w:b/>
          <w:bCs/>
          <w:color w:val="333333"/>
          <w:sz w:val="32"/>
          <w:szCs w:val="32"/>
          <w:lang w:val="en-US" w:eastAsia="zh-CN"/>
        </w:rPr>
      </w:pPr>
      <w:r>
        <w:rPr>
          <w:rFonts w:hint="eastAsia" w:ascii="仿宋" w:hAnsi="仿宋" w:eastAsia="仿宋"/>
          <w:sz w:val="32"/>
          <w:szCs w:val="32"/>
        </w:rPr>
        <w:t>正科级</w:t>
      </w:r>
      <w:r>
        <w:rPr>
          <w:rFonts w:hint="eastAsia" w:ascii="仿宋" w:hAnsi="仿宋" w:eastAsia="仿宋"/>
          <w:sz w:val="32"/>
          <w:szCs w:val="32"/>
          <w:lang w:val="en-US" w:eastAsia="zh-CN"/>
        </w:rPr>
        <w:t>事业单位</w:t>
      </w:r>
      <w:r>
        <w:rPr>
          <w:rFonts w:hint="eastAsia" w:ascii="仿宋" w:hAnsi="仿宋" w:eastAsia="仿宋"/>
          <w:sz w:val="32"/>
          <w:szCs w:val="32"/>
        </w:rPr>
        <w:t>：</w:t>
      </w:r>
      <w:r>
        <w:rPr>
          <w:rFonts w:hint="eastAsia" w:ascii="仿宋" w:hAnsi="仿宋" w:eastAsia="仿宋"/>
          <w:sz w:val="32"/>
          <w:szCs w:val="32"/>
          <w:lang w:val="en-US" w:eastAsia="zh-CN"/>
        </w:rPr>
        <w:t>市</w:t>
      </w:r>
      <w:r>
        <w:rPr>
          <w:rFonts w:hint="eastAsia" w:ascii="仿宋" w:hAnsi="仿宋" w:eastAsia="仿宋"/>
          <w:sz w:val="32"/>
          <w:szCs w:val="32"/>
        </w:rPr>
        <w:t>法学会办公室</w:t>
      </w:r>
      <w:r>
        <w:rPr>
          <w:rFonts w:hint="eastAsia" w:ascii="仿宋" w:hAnsi="仿宋" w:eastAsia="仿宋"/>
          <w:sz w:val="32"/>
          <w:szCs w:val="32"/>
          <w:lang w:eastAsia="zh-CN"/>
        </w:rPr>
        <w:t>、</w:t>
      </w:r>
      <w:r>
        <w:rPr>
          <w:rFonts w:hint="eastAsia" w:ascii="仿宋" w:hAnsi="仿宋" w:eastAsia="仿宋"/>
          <w:sz w:val="32"/>
          <w:szCs w:val="32"/>
          <w:lang w:val="en-US" w:eastAsia="zh-CN"/>
        </w:rPr>
        <w:t>市社会治安综合治理中心</w:t>
      </w:r>
    </w:p>
    <w:p w14:paraId="294A85B2">
      <w:pPr>
        <w:keepNext w:val="0"/>
        <w:keepLines w:val="0"/>
        <w:pageBreakBefore w:val="0"/>
        <w:widowControl/>
        <w:kinsoku/>
        <w:wordWrap/>
        <w:overflowPunct/>
        <w:topLinePunct w:val="0"/>
        <w:autoSpaceDE/>
        <w:autoSpaceDN/>
        <w:bidi w:val="0"/>
        <w:spacing w:line="520" w:lineRule="exact"/>
        <w:ind w:firstLine="600"/>
        <w:jc w:val="left"/>
        <w:textAlignment w:val="center"/>
        <w:rPr>
          <w:rFonts w:hint="eastAsia" w:ascii="方正小标宋_GBK" w:hAnsi="方正小标宋_GBK" w:eastAsia="方正小标宋_GBK" w:cs="方正小标宋_GBK"/>
          <w:sz w:val="84"/>
          <w:szCs w:val="84"/>
        </w:rPr>
      </w:pPr>
      <w:r>
        <w:rPr>
          <w:rFonts w:hint="eastAsia" w:ascii="黑体" w:hAnsi="黑体" w:eastAsia="仿宋"/>
          <w:b/>
          <w:bCs/>
          <w:color w:val="333333"/>
          <w:sz w:val="32"/>
          <w:szCs w:val="32"/>
        </w:rPr>
        <w:t>（二）决算单位构成：</w:t>
      </w:r>
      <w:r>
        <w:rPr>
          <w:rFonts w:hint="eastAsia" w:ascii="仿宋" w:hAnsi="仿宋" w:eastAsia="仿宋" w:cs="楷体_GB2312"/>
          <w:kern w:val="0"/>
          <w:sz w:val="32"/>
          <w:szCs w:val="32"/>
        </w:rPr>
        <w:t>本单位无独立核算的下属单位，</w:t>
      </w:r>
      <w:r>
        <w:rPr>
          <w:rFonts w:hint="eastAsia" w:ascii="仿宋_GB2312" w:eastAsia="仿宋_GB2312"/>
          <w:kern w:val="0"/>
          <w:sz w:val="32"/>
          <w:szCs w:val="32"/>
        </w:rPr>
        <w:t>202</w:t>
      </w:r>
      <w:r>
        <w:rPr>
          <w:rFonts w:hint="eastAsia" w:ascii="仿宋_GB2312" w:eastAsia="仿宋_GB2312"/>
          <w:kern w:val="0"/>
          <w:sz w:val="32"/>
          <w:szCs w:val="32"/>
          <w:lang w:val="en-US" w:eastAsia="zh-CN"/>
        </w:rPr>
        <w:t>4</w:t>
      </w:r>
      <w:r>
        <w:rPr>
          <w:rFonts w:hint="eastAsia" w:ascii="仿宋_GB2312" w:eastAsia="仿宋_GB2312"/>
          <w:kern w:val="0"/>
          <w:sz w:val="32"/>
          <w:szCs w:val="32"/>
        </w:rPr>
        <w:t>年部门决算汇总公开单位仅包括中共岳阳市委政法委员会本级。</w:t>
      </w:r>
    </w:p>
    <w:p w14:paraId="38F8B787">
      <w:pPr>
        <w:pStyle w:val="15"/>
        <w:keepNext w:val="0"/>
        <w:keepLines w:val="0"/>
        <w:pageBreakBefore w:val="0"/>
        <w:numPr>
          <w:ilvl w:val="0"/>
          <w:numId w:val="0"/>
        </w:numPr>
        <w:kinsoku/>
        <w:wordWrap/>
        <w:overflowPunct/>
        <w:topLinePunct w:val="0"/>
        <w:autoSpaceDE/>
        <w:autoSpaceDN/>
        <w:bidi w:val="0"/>
        <w:spacing w:line="520" w:lineRule="exact"/>
        <w:ind w:leftChars="0"/>
        <w:jc w:val="left"/>
        <w:rPr>
          <w:rFonts w:hint="eastAsia" w:ascii="仿宋" w:hAnsi="仿宋" w:eastAsia="仿宋" w:cs="仿宋"/>
          <w:color w:val="auto"/>
          <w:sz w:val="32"/>
          <w:szCs w:val="32"/>
        </w:rPr>
      </w:pPr>
    </w:p>
    <w:p w14:paraId="38152785">
      <w:pPr>
        <w:keepNext w:val="0"/>
        <w:keepLines w:val="0"/>
        <w:pageBreakBefore w:val="0"/>
        <w:kinsoku/>
        <w:wordWrap/>
        <w:overflowPunct/>
        <w:topLinePunct w:val="0"/>
        <w:autoSpaceDE/>
        <w:autoSpaceDN/>
        <w:bidi w:val="0"/>
        <w:spacing w:line="520" w:lineRule="exact"/>
        <w:rPr>
          <w:rFonts w:hint="eastAsia" w:ascii="仿宋" w:hAnsi="仿宋" w:eastAsia="仿宋" w:cs="仿宋"/>
          <w:color w:val="auto"/>
          <w:sz w:val="32"/>
          <w:szCs w:val="32"/>
        </w:rPr>
      </w:pPr>
    </w:p>
    <w:p w14:paraId="3CE56614">
      <w:pPr>
        <w:pStyle w:val="2"/>
      </w:pPr>
    </w:p>
    <w:p w14:paraId="70B4D569">
      <w:pPr>
        <w:pStyle w:val="3"/>
      </w:pPr>
    </w:p>
    <w:p w14:paraId="5B1D6CBC"/>
    <w:p w14:paraId="7D6C31E4">
      <w:pPr>
        <w:pStyle w:val="2"/>
      </w:pPr>
    </w:p>
    <w:p w14:paraId="056E4ECA">
      <w:pPr>
        <w:pStyle w:val="3"/>
      </w:pPr>
    </w:p>
    <w:p w14:paraId="3288C9C5"/>
    <w:p w14:paraId="14507043">
      <w:pPr>
        <w:pStyle w:val="2"/>
      </w:pPr>
    </w:p>
    <w:p w14:paraId="465EA8BD">
      <w:pPr>
        <w:pStyle w:val="3"/>
      </w:pPr>
    </w:p>
    <w:p w14:paraId="49E51758"/>
    <w:p w14:paraId="3DC8C6CD">
      <w:pPr>
        <w:pStyle w:val="2"/>
      </w:pPr>
    </w:p>
    <w:p w14:paraId="36E702E5">
      <w:pPr>
        <w:pStyle w:val="3"/>
      </w:pPr>
    </w:p>
    <w:p w14:paraId="28828498">
      <w:pPr>
        <w:pStyle w:val="3"/>
        <w:ind w:left="0" w:leftChars="0" w:firstLine="0" w:firstLineChars="0"/>
      </w:pPr>
    </w:p>
    <w:p w14:paraId="04E62672"/>
    <w:p w14:paraId="38554E46">
      <w:pPr>
        <w:pStyle w:val="2"/>
      </w:pPr>
    </w:p>
    <w:p w14:paraId="089CD354">
      <w:pPr>
        <w:pStyle w:val="3"/>
      </w:pPr>
    </w:p>
    <w:p w14:paraId="2B49F2B7">
      <w:pPr>
        <w:pStyle w:val="14"/>
        <w:jc w:val="both"/>
        <w:rPr>
          <w:rFonts w:hint="eastAsia" w:ascii="方正小标宋_GBK" w:hAnsi="方正小标宋_GBK" w:eastAsia="方正小标宋_GBK" w:cs="方正小标宋_GBK"/>
          <w:sz w:val="84"/>
          <w:szCs w:val="84"/>
        </w:rPr>
      </w:pPr>
    </w:p>
    <w:p w14:paraId="661BBFC8">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FB02ED5">
      <w:pPr>
        <w:pStyle w:val="14"/>
        <w:jc w:val="center"/>
        <w:rPr>
          <w:rFonts w:hint="eastAsia" w:ascii="方正小标宋_GBK" w:hAnsi="方正小标宋_GBK" w:eastAsia="方正小标宋_GBK" w:cs="方正小标宋_GBK"/>
          <w:sz w:val="84"/>
          <w:szCs w:val="84"/>
        </w:rPr>
      </w:pPr>
    </w:p>
    <w:p w14:paraId="3860F185">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50A5962C">
      <w:pPr>
        <w:pStyle w:val="14"/>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14:paraId="325AF5B5">
      <w:pPr>
        <w:pStyle w:val="14"/>
        <w:jc w:val="center"/>
        <w:rPr>
          <w:rFonts w:hint="eastAsia" w:ascii="仿宋_GB2312" w:hAnsi="仿宋_GB2312" w:eastAsia="仿宋_GB2312" w:cs="仿宋_GB2312"/>
          <w:b w:val="0"/>
          <w:bCs w:val="0"/>
          <w:sz w:val="72"/>
          <w:szCs w:val="72"/>
          <w:lang w:eastAsia="zh-CN"/>
        </w:rPr>
      </w:pPr>
    </w:p>
    <w:p w14:paraId="0568D1B8">
      <w:pPr>
        <w:pStyle w:val="14"/>
        <w:jc w:val="center"/>
        <w:rPr>
          <w:rFonts w:hint="eastAsia" w:ascii="仿宋_GB2312" w:hAnsi="仿宋_GB2312" w:eastAsia="仿宋_GB2312" w:cs="仿宋_GB2312"/>
          <w:b w:val="0"/>
          <w:bCs w:val="0"/>
          <w:sz w:val="72"/>
          <w:szCs w:val="72"/>
          <w:lang w:eastAsia="zh-CN"/>
        </w:rPr>
      </w:pPr>
    </w:p>
    <w:p w14:paraId="5C65B646">
      <w:pPr>
        <w:pStyle w:val="14"/>
        <w:jc w:val="center"/>
        <w:rPr>
          <w:rFonts w:hint="eastAsia" w:ascii="仿宋_GB2312" w:hAnsi="仿宋_GB2312" w:eastAsia="仿宋_GB2312" w:cs="仿宋_GB2312"/>
          <w:b w:val="0"/>
          <w:bCs w:val="0"/>
          <w:sz w:val="72"/>
          <w:szCs w:val="72"/>
          <w:lang w:eastAsia="zh-CN"/>
        </w:rPr>
      </w:pPr>
    </w:p>
    <w:p w14:paraId="62EA5E89">
      <w:pPr>
        <w:pStyle w:val="14"/>
        <w:jc w:val="center"/>
        <w:rPr>
          <w:rFonts w:hint="eastAsia" w:ascii="仿宋_GB2312" w:hAnsi="仿宋_GB2312" w:eastAsia="仿宋_GB2312" w:cs="仿宋_GB2312"/>
          <w:b w:val="0"/>
          <w:bCs w:val="0"/>
          <w:sz w:val="72"/>
          <w:szCs w:val="72"/>
          <w:lang w:eastAsia="zh-CN"/>
        </w:rPr>
      </w:pPr>
    </w:p>
    <w:p w14:paraId="63BFFD84">
      <w:pPr>
        <w:pStyle w:val="14"/>
        <w:jc w:val="center"/>
        <w:rPr>
          <w:rFonts w:hint="eastAsia" w:ascii="仿宋_GB2312" w:hAnsi="仿宋_GB2312" w:eastAsia="仿宋_GB2312" w:cs="仿宋_GB2312"/>
          <w:b w:val="0"/>
          <w:bCs w:val="0"/>
          <w:sz w:val="72"/>
          <w:szCs w:val="72"/>
          <w:lang w:eastAsia="zh-CN"/>
        </w:rPr>
      </w:pPr>
    </w:p>
    <w:p w14:paraId="4565BABE">
      <w:pPr>
        <w:pStyle w:val="14"/>
        <w:jc w:val="center"/>
        <w:rPr>
          <w:rFonts w:hint="eastAsia" w:ascii="仿宋_GB2312" w:hAnsi="仿宋_GB2312" w:eastAsia="仿宋_GB2312" w:cs="仿宋_GB2312"/>
          <w:b w:val="0"/>
          <w:bCs w:val="0"/>
          <w:sz w:val="72"/>
          <w:szCs w:val="72"/>
          <w:lang w:eastAsia="zh-CN"/>
        </w:rPr>
      </w:pPr>
    </w:p>
    <w:p w14:paraId="6EEAB3EF">
      <w:pPr>
        <w:pStyle w:val="14"/>
        <w:jc w:val="center"/>
        <w:rPr>
          <w:rFonts w:hint="eastAsia" w:ascii="仿宋_GB2312" w:hAnsi="仿宋_GB2312" w:eastAsia="仿宋_GB2312" w:cs="仿宋_GB2312"/>
          <w:b w:val="0"/>
          <w:bCs w:val="0"/>
          <w:sz w:val="72"/>
          <w:szCs w:val="72"/>
          <w:lang w:eastAsia="zh-CN"/>
        </w:rPr>
      </w:pPr>
    </w:p>
    <w:p w14:paraId="603C04A7">
      <w:pPr>
        <w:pStyle w:val="14"/>
        <w:jc w:val="center"/>
        <w:rPr>
          <w:rFonts w:hint="eastAsia" w:ascii="方正小标宋_GBK" w:hAnsi="方正小标宋_GBK" w:eastAsia="方正小标宋_GBK" w:cs="方正小标宋_GBK"/>
          <w:sz w:val="72"/>
          <w:szCs w:val="72"/>
        </w:rPr>
      </w:pPr>
    </w:p>
    <w:p w14:paraId="7A44A82E">
      <w:pPr>
        <w:pStyle w:val="14"/>
        <w:jc w:val="center"/>
        <w:rPr>
          <w:rFonts w:hint="eastAsia" w:ascii="方正小标宋_GBK" w:hAnsi="方正小标宋_GBK" w:eastAsia="方正小标宋_GBK" w:cs="方正小标宋_GBK"/>
          <w:sz w:val="72"/>
          <w:szCs w:val="72"/>
        </w:rPr>
      </w:pPr>
    </w:p>
    <w:p w14:paraId="06211665">
      <w:pPr>
        <w:pStyle w:val="14"/>
        <w:jc w:val="both"/>
        <w:rPr>
          <w:rFonts w:hint="eastAsia" w:ascii="方正小标宋_GBK" w:hAnsi="方正小标宋_GBK" w:eastAsia="方正小标宋_GBK" w:cs="方正小标宋_GBK"/>
          <w:sz w:val="72"/>
          <w:szCs w:val="72"/>
        </w:rPr>
      </w:pPr>
    </w:p>
    <w:p w14:paraId="7804FBAA">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D53C949">
      <w:pPr>
        <w:pStyle w:val="14"/>
        <w:jc w:val="center"/>
        <w:rPr>
          <w:rFonts w:hint="eastAsia" w:ascii="方正小标宋_GBK" w:hAnsi="方正小标宋_GBK" w:eastAsia="方正小标宋_GBK" w:cs="方正小标宋_GBK"/>
          <w:sz w:val="70"/>
          <w:szCs w:val="70"/>
        </w:rPr>
      </w:pPr>
    </w:p>
    <w:p w14:paraId="4F77A5A6">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17862F93">
      <w:pPr>
        <w:pStyle w:val="14"/>
        <w:jc w:val="center"/>
        <w:rPr>
          <w:rFonts w:hint="eastAsia" w:ascii="方正小标宋_GBK" w:hAnsi="方正小标宋_GBK" w:eastAsia="方正小标宋_GBK" w:cs="方正小标宋_GBK"/>
          <w:sz w:val="70"/>
          <w:szCs w:val="70"/>
        </w:rPr>
      </w:pPr>
    </w:p>
    <w:p w14:paraId="6EEC30AB">
      <w:pPr>
        <w:pStyle w:val="14"/>
        <w:jc w:val="center"/>
        <w:rPr>
          <w:rFonts w:hint="eastAsia" w:ascii="方正小标宋_GBK" w:hAnsi="方正小标宋_GBK" w:eastAsia="方正小标宋_GBK" w:cs="方正小标宋_GBK"/>
          <w:sz w:val="70"/>
          <w:szCs w:val="70"/>
        </w:rPr>
      </w:pPr>
    </w:p>
    <w:p w14:paraId="417367C1">
      <w:pPr>
        <w:pStyle w:val="14"/>
        <w:jc w:val="center"/>
        <w:rPr>
          <w:rFonts w:hint="eastAsia" w:ascii="方正小标宋_GBK" w:hAnsi="方正小标宋_GBK" w:eastAsia="方正小标宋_GBK" w:cs="方正小标宋_GBK"/>
          <w:sz w:val="70"/>
          <w:szCs w:val="70"/>
        </w:rPr>
      </w:pPr>
    </w:p>
    <w:p w14:paraId="10E34602">
      <w:pPr>
        <w:pStyle w:val="14"/>
        <w:jc w:val="both"/>
        <w:rPr>
          <w:rFonts w:hint="eastAsia" w:ascii="方正小标宋_GBK" w:hAnsi="方正小标宋_GBK" w:eastAsia="方正小标宋_GBK" w:cs="方正小标宋_GBK"/>
          <w:sz w:val="70"/>
          <w:szCs w:val="70"/>
        </w:rPr>
      </w:pPr>
    </w:p>
    <w:p w14:paraId="0D61B65A">
      <w:pPr>
        <w:pStyle w:val="14"/>
        <w:jc w:val="both"/>
        <w:rPr>
          <w:rFonts w:hint="eastAsia" w:ascii="方正小标宋_GBK" w:hAnsi="方正小标宋_GBK" w:eastAsia="方正小标宋_GBK" w:cs="方正小标宋_GBK"/>
          <w:sz w:val="70"/>
          <w:szCs w:val="70"/>
        </w:rPr>
      </w:pPr>
    </w:p>
    <w:p w14:paraId="111D7AB8">
      <w:pPr>
        <w:keepNext w:val="0"/>
        <w:keepLines w:val="0"/>
        <w:pageBreakBefore w:val="0"/>
        <w:widowControl/>
        <w:kinsoku/>
        <w:wordWrap/>
        <w:topLinePunct w:val="0"/>
        <w:bidi w:val="0"/>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说明：</w:t>
      </w:r>
      <w:r>
        <w:rPr>
          <w:rFonts w:hint="eastAsia" w:ascii="仿宋" w:hAnsi="仿宋" w:eastAsia="仿宋" w:cs="仿宋"/>
          <w:sz w:val="32"/>
          <w:szCs w:val="32"/>
          <w:lang w:val="en-US" w:eastAsia="zh-CN"/>
        </w:rPr>
        <w:t>1、</w:t>
      </w:r>
      <w:r>
        <w:rPr>
          <w:rFonts w:hint="eastAsia" w:ascii="仿宋" w:hAnsi="仿宋" w:eastAsia="仿宋" w:cs="仿宋"/>
          <w:sz w:val="32"/>
          <w:szCs w:val="32"/>
        </w:rPr>
        <w:t>由于</w:t>
      </w:r>
      <w:r>
        <w:rPr>
          <w:rFonts w:hint="eastAsia" w:ascii="仿宋" w:hAnsi="仿宋" w:eastAsia="仿宋" w:cs="仿宋"/>
          <w:sz w:val="32"/>
          <w:szCs w:val="32"/>
          <w:lang w:eastAsia="zh-CN"/>
        </w:rPr>
        <w:t>部门</w:t>
      </w:r>
      <w:r>
        <w:rPr>
          <w:rFonts w:hint="eastAsia" w:ascii="仿宋" w:hAnsi="仿宋" w:eastAsia="仿宋" w:cs="仿宋"/>
          <w:sz w:val="32"/>
          <w:szCs w:val="32"/>
        </w:rPr>
        <w:t>决算编制时</w:t>
      </w:r>
      <w:r>
        <w:rPr>
          <w:rFonts w:hint="eastAsia" w:ascii="仿宋" w:hAnsi="仿宋" w:eastAsia="仿宋" w:cs="仿宋"/>
          <w:sz w:val="32"/>
          <w:szCs w:val="32"/>
          <w:lang w:eastAsia="zh-CN"/>
        </w:rPr>
        <w:t>数据</w:t>
      </w:r>
      <w:r>
        <w:rPr>
          <w:rFonts w:hint="eastAsia" w:ascii="仿宋" w:hAnsi="仿宋" w:eastAsia="仿宋" w:cs="仿宋"/>
          <w:sz w:val="32"/>
          <w:szCs w:val="32"/>
        </w:rPr>
        <w:t>明细</w:t>
      </w:r>
      <w:r>
        <w:rPr>
          <w:rFonts w:hint="eastAsia" w:ascii="仿宋" w:hAnsi="仿宋" w:eastAsia="仿宋" w:cs="仿宋"/>
          <w:sz w:val="32"/>
          <w:szCs w:val="32"/>
          <w:lang w:eastAsia="zh-CN"/>
        </w:rPr>
        <w:t>至“金额单位：元</w:t>
      </w:r>
      <w:r>
        <w:rPr>
          <w:rFonts w:hint="eastAsia" w:ascii="仿宋" w:hAnsi="仿宋" w:eastAsia="仿宋" w:cs="仿宋"/>
          <w:sz w:val="32"/>
          <w:szCs w:val="32"/>
        </w:rPr>
        <w:t>”，而</w:t>
      </w:r>
      <w:r>
        <w:rPr>
          <w:rFonts w:hint="eastAsia" w:ascii="仿宋" w:hAnsi="仿宋" w:eastAsia="仿宋" w:cs="仿宋"/>
          <w:sz w:val="32"/>
          <w:szCs w:val="32"/>
          <w:lang w:eastAsia="zh-CN"/>
        </w:rPr>
        <w:t>本套部门决算文字说明</w:t>
      </w:r>
      <w:r>
        <w:rPr>
          <w:rFonts w:hint="eastAsia" w:ascii="仿宋" w:hAnsi="仿宋" w:eastAsia="仿宋" w:cs="仿宋"/>
          <w:sz w:val="32"/>
          <w:szCs w:val="32"/>
        </w:rPr>
        <w:t>和公开表格</w:t>
      </w:r>
      <w:r>
        <w:rPr>
          <w:rFonts w:hint="eastAsia" w:ascii="仿宋" w:hAnsi="仿宋" w:eastAsia="仿宋" w:cs="仿宋"/>
          <w:sz w:val="32"/>
          <w:szCs w:val="32"/>
          <w:lang w:eastAsia="zh-CN"/>
        </w:rPr>
        <w:t>数据</w:t>
      </w:r>
      <w:r>
        <w:rPr>
          <w:rFonts w:hint="eastAsia" w:ascii="仿宋" w:hAnsi="仿宋" w:eastAsia="仿宋" w:cs="仿宋"/>
          <w:sz w:val="32"/>
          <w:szCs w:val="32"/>
        </w:rPr>
        <w:t>取数</w:t>
      </w:r>
      <w:r>
        <w:rPr>
          <w:rFonts w:hint="eastAsia" w:ascii="仿宋" w:hAnsi="仿宋" w:eastAsia="仿宋" w:cs="仿宋"/>
          <w:sz w:val="32"/>
          <w:szCs w:val="32"/>
          <w:lang w:eastAsia="zh-CN"/>
        </w:rPr>
        <w:t>转换为</w:t>
      </w:r>
      <w:r>
        <w:rPr>
          <w:rFonts w:hint="eastAsia" w:ascii="仿宋" w:hAnsi="仿宋" w:eastAsia="仿宋" w:cs="仿宋"/>
          <w:sz w:val="32"/>
          <w:szCs w:val="32"/>
        </w:rPr>
        <w:t>“</w:t>
      </w:r>
      <w:r>
        <w:rPr>
          <w:rFonts w:hint="eastAsia" w:ascii="仿宋" w:hAnsi="仿宋" w:eastAsia="仿宋" w:cs="仿宋"/>
          <w:sz w:val="32"/>
          <w:szCs w:val="32"/>
          <w:lang w:eastAsia="zh-CN"/>
        </w:rPr>
        <w:t>金额单位：</w:t>
      </w:r>
      <w:r>
        <w:rPr>
          <w:rFonts w:hint="eastAsia" w:ascii="仿宋" w:hAnsi="仿宋" w:eastAsia="仿宋" w:cs="仿宋"/>
          <w:sz w:val="32"/>
          <w:szCs w:val="32"/>
        </w:rPr>
        <w:t>万元”，可能导致</w:t>
      </w:r>
      <w:r>
        <w:rPr>
          <w:rFonts w:hint="eastAsia" w:ascii="仿宋" w:hAnsi="仿宋" w:eastAsia="仿宋" w:cs="仿宋"/>
          <w:sz w:val="32"/>
          <w:szCs w:val="32"/>
          <w:lang w:eastAsia="zh-CN"/>
        </w:rPr>
        <w:t>以下文字说明中的各项数据取数以及公开</w:t>
      </w:r>
      <w:r>
        <w:rPr>
          <w:rFonts w:hint="eastAsia" w:ascii="仿宋" w:hAnsi="仿宋" w:eastAsia="仿宋" w:cs="仿宋"/>
          <w:sz w:val="32"/>
          <w:szCs w:val="32"/>
        </w:rPr>
        <w:t>表格</w:t>
      </w:r>
      <w:r>
        <w:rPr>
          <w:rFonts w:hint="eastAsia" w:ascii="仿宋" w:hAnsi="仿宋" w:eastAsia="仿宋" w:cs="仿宋"/>
          <w:sz w:val="32"/>
          <w:szCs w:val="32"/>
          <w:lang w:eastAsia="zh-CN"/>
        </w:rPr>
        <w:t>中的各项数据取数之间存在</w:t>
      </w:r>
      <w:r>
        <w:rPr>
          <w:rFonts w:hint="eastAsia" w:ascii="仿宋" w:hAnsi="仿宋" w:eastAsia="仿宋" w:cs="仿宋"/>
          <w:sz w:val="32"/>
          <w:szCs w:val="32"/>
        </w:rPr>
        <w:t>0.01的尾数差异。</w:t>
      </w:r>
      <w:r>
        <w:rPr>
          <w:rFonts w:hint="eastAsia" w:ascii="仿宋" w:hAnsi="仿宋" w:eastAsia="仿宋" w:cs="仿宋"/>
          <w:sz w:val="32"/>
          <w:szCs w:val="32"/>
          <w:lang w:val="en-US" w:eastAsia="zh-CN"/>
        </w:rPr>
        <w:t>2、以下文字说明中，部分科目由于预算数为0，无法计算完成年初预算的百分比，故未描述“</w:t>
      </w:r>
      <w:r>
        <w:rPr>
          <w:rFonts w:hint="eastAsia" w:ascii="仿宋" w:hAnsi="仿宋" w:eastAsia="仿宋" w:cs="仿宋"/>
          <w:sz w:val="32"/>
          <w:szCs w:val="32"/>
        </w:rPr>
        <w:t>完成年初预算的XX%</w:t>
      </w:r>
      <w:r>
        <w:rPr>
          <w:rFonts w:hint="eastAsia" w:ascii="仿宋" w:hAnsi="仿宋" w:eastAsia="仿宋" w:cs="仿宋"/>
          <w:sz w:val="32"/>
          <w:szCs w:val="32"/>
          <w:lang w:val="en-US" w:eastAsia="zh-CN"/>
        </w:rPr>
        <w:t>”。</w:t>
      </w:r>
      <w:r>
        <w:rPr>
          <w:rFonts w:hint="eastAsia" w:ascii="仿宋" w:hAnsi="仿宋" w:eastAsia="仿宋" w:cs="仿宋"/>
          <w:sz w:val="32"/>
          <w:szCs w:val="32"/>
        </w:rPr>
        <w:t>）</w:t>
      </w:r>
    </w:p>
    <w:p w14:paraId="2411C081">
      <w:pPr>
        <w:pStyle w:val="14"/>
        <w:keepNext w:val="0"/>
        <w:keepLines w:val="0"/>
        <w:pageBreakBefore w:val="0"/>
        <w:widowControl w:val="0"/>
        <w:kinsoku/>
        <w:wordWrap/>
        <w:overflowPunct/>
        <w:topLinePunct w:val="0"/>
        <w:bidi w:val="0"/>
        <w:snapToGrid/>
        <w:spacing w:line="52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一、收入支出决算总体情况说明</w:t>
      </w:r>
    </w:p>
    <w:p w14:paraId="0E0052D8">
      <w:pPr>
        <w:pStyle w:val="14"/>
        <w:keepNext w:val="0"/>
        <w:keepLines w:val="0"/>
        <w:pageBreakBefore w:val="0"/>
        <w:widowControl w:val="0"/>
        <w:kinsoku/>
        <w:wordWrap/>
        <w:overflowPunct/>
        <w:topLinePunct w:val="0"/>
        <w:bidi w:val="0"/>
        <w:snapToGrid/>
        <w:spacing w:line="520" w:lineRule="exact"/>
        <w:ind w:firstLine="640" w:firstLineChars="200"/>
        <w:textAlignment w:val="auto"/>
        <w:rPr>
          <w:rFonts w:hint="eastAsia" w:ascii="仿宋" w:hAnsi="仿宋" w:eastAsia="仿宋" w:cs="仿宋"/>
          <w:i/>
          <w:iCs/>
          <w:color w:val="000000"/>
          <w:kern w:val="0"/>
          <w:sz w:val="32"/>
          <w:szCs w:val="32"/>
          <w:lang w:val="en-US" w:eastAsia="zh-CN" w:bidi="ar-SA"/>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年度收、支总计</w:t>
      </w:r>
      <w:r>
        <w:rPr>
          <w:rFonts w:hint="eastAsia" w:ascii="仿宋" w:hAnsi="仿宋" w:eastAsia="仿宋" w:cs="仿宋"/>
          <w:sz w:val="32"/>
          <w:szCs w:val="32"/>
          <w:lang w:val="en-US" w:eastAsia="zh-CN"/>
        </w:rPr>
        <w:t>1393.53</w:t>
      </w:r>
      <w:r>
        <w:rPr>
          <w:rFonts w:hint="eastAsia" w:ascii="仿宋" w:hAnsi="仿宋" w:eastAsia="仿宋" w:cs="仿宋"/>
          <w:sz w:val="32"/>
          <w:szCs w:val="32"/>
        </w:rPr>
        <w:t>万元。与上年相比，增加</w:t>
      </w:r>
      <w:r>
        <w:rPr>
          <w:rFonts w:hint="eastAsia" w:ascii="仿宋" w:hAnsi="仿宋" w:eastAsia="仿宋" w:cs="仿宋"/>
          <w:sz w:val="32"/>
          <w:szCs w:val="32"/>
          <w:lang w:val="en-US" w:eastAsia="zh-CN"/>
        </w:rPr>
        <w:t>11.06</w:t>
      </w:r>
      <w:r>
        <w:rPr>
          <w:rFonts w:hint="eastAsia" w:ascii="仿宋" w:hAnsi="仿宋" w:eastAsia="仿宋" w:cs="仿宋"/>
          <w:sz w:val="32"/>
          <w:szCs w:val="32"/>
        </w:rPr>
        <w:t>万元，增长</w:t>
      </w:r>
      <w:r>
        <w:rPr>
          <w:rFonts w:hint="eastAsia" w:ascii="仿宋" w:hAnsi="仿宋" w:eastAsia="仿宋" w:cs="仿宋"/>
          <w:sz w:val="32"/>
          <w:szCs w:val="32"/>
          <w:lang w:val="en-US" w:eastAsia="zh-CN"/>
        </w:rPr>
        <w:t>0.8</w:t>
      </w:r>
      <w:r>
        <w:rPr>
          <w:rFonts w:hint="eastAsia" w:ascii="仿宋" w:hAnsi="仿宋" w:eastAsia="仿宋" w:cs="仿宋"/>
          <w:sz w:val="32"/>
          <w:szCs w:val="32"/>
        </w:rPr>
        <w:t>%，主要是因为</w:t>
      </w:r>
      <w:r>
        <w:rPr>
          <w:rFonts w:hint="eastAsia" w:ascii="仿宋" w:hAnsi="仿宋" w:eastAsia="仿宋" w:cs="仿宋"/>
          <w:sz w:val="32"/>
          <w:szCs w:val="32"/>
          <w:lang w:val="en-US" w:eastAsia="zh-CN"/>
        </w:rPr>
        <w:t>人员工资调整正常晋档等。</w:t>
      </w:r>
    </w:p>
    <w:p w14:paraId="07DA9E3F">
      <w:pPr>
        <w:pStyle w:val="14"/>
        <w:keepNext w:val="0"/>
        <w:keepLines w:val="0"/>
        <w:pageBreakBefore w:val="0"/>
        <w:widowControl w:val="0"/>
        <w:kinsoku/>
        <w:wordWrap/>
        <w:overflowPunct/>
        <w:topLinePunct w:val="0"/>
        <w:bidi w:val="0"/>
        <w:snapToGrid/>
        <w:spacing w:line="52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二、收入决算情况说明</w:t>
      </w:r>
    </w:p>
    <w:p w14:paraId="31284672">
      <w:pPr>
        <w:pStyle w:val="14"/>
        <w:keepNext w:val="0"/>
        <w:keepLines w:val="0"/>
        <w:pageBreakBefore w:val="0"/>
        <w:widowControl w:val="0"/>
        <w:kinsoku/>
        <w:wordWrap/>
        <w:overflowPunct/>
        <w:topLinePunct w:val="0"/>
        <w:bidi w:val="0"/>
        <w:snapToGrid/>
        <w:spacing w:line="520" w:lineRule="exact"/>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年度收入合计</w:t>
      </w:r>
      <w:r>
        <w:rPr>
          <w:rFonts w:hint="eastAsia" w:ascii="仿宋" w:hAnsi="仿宋" w:eastAsia="仿宋" w:cs="仿宋"/>
          <w:sz w:val="32"/>
          <w:szCs w:val="32"/>
          <w:lang w:val="en-US" w:eastAsia="zh-CN"/>
        </w:rPr>
        <w:t>1393.53</w:t>
      </w:r>
      <w:r>
        <w:rPr>
          <w:rFonts w:hint="eastAsia" w:ascii="仿宋" w:hAnsi="仿宋" w:eastAsia="仿宋" w:cs="仿宋"/>
          <w:sz w:val="32"/>
          <w:szCs w:val="32"/>
        </w:rPr>
        <w:t>万元，其中：财政拨款收入</w:t>
      </w:r>
      <w:r>
        <w:rPr>
          <w:rFonts w:hint="eastAsia" w:ascii="仿宋" w:hAnsi="仿宋" w:eastAsia="仿宋" w:cs="仿宋"/>
          <w:sz w:val="32"/>
          <w:szCs w:val="32"/>
          <w:lang w:val="en-US" w:eastAsia="zh-CN"/>
        </w:rPr>
        <w:t>1375.45</w:t>
      </w:r>
      <w:r>
        <w:rPr>
          <w:rFonts w:hint="eastAsia" w:ascii="仿宋" w:hAnsi="仿宋" w:eastAsia="仿宋" w:cs="仿宋"/>
          <w:sz w:val="32"/>
          <w:szCs w:val="32"/>
        </w:rPr>
        <w:t>万元，占</w:t>
      </w:r>
      <w:r>
        <w:rPr>
          <w:rFonts w:hint="eastAsia" w:ascii="仿宋" w:hAnsi="仿宋" w:eastAsia="仿宋" w:cs="仿宋"/>
          <w:sz w:val="32"/>
          <w:szCs w:val="32"/>
          <w:lang w:val="en-US" w:eastAsia="zh-CN"/>
        </w:rPr>
        <w:t>98.71</w:t>
      </w:r>
      <w:r>
        <w:rPr>
          <w:rFonts w:hint="eastAsia" w:ascii="仿宋" w:hAnsi="仿宋" w:eastAsia="仿宋" w:cs="仿宋"/>
          <w:sz w:val="32"/>
          <w:szCs w:val="32"/>
        </w:rPr>
        <w:t>%；上级补助收入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%；事业收入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%；经营收入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%；附属单位上缴收入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%；其他收入</w:t>
      </w:r>
      <w:r>
        <w:rPr>
          <w:rFonts w:hint="eastAsia" w:ascii="仿宋" w:hAnsi="仿宋" w:eastAsia="仿宋" w:cs="仿宋"/>
          <w:sz w:val="32"/>
          <w:szCs w:val="32"/>
          <w:lang w:val="en-US" w:eastAsia="zh-CN"/>
        </w:rPr>
        <w:t>18.08</w:t>
      </w:r>
      <w:r>
        <w:rPr>
          <w:rFonts w:hint="eastAsia" w:ascii="仿宋" w:hAnsi="仿宋" w:eastAsia="仿宋" w:cs="仿宋"/>
          <w:sz w:val="32"/>
          <w:szCs w:val="32"/>
        </w:rPr>
        <w:t>万元，占</w:t>
      </w:r>
      <w:r>
        <w:rPr>
          <w:rFonts w:hint="eastAsia" w:ascii="仿宋" w:hAnsi="仿宋" w:eastAsia="仿宋" w:cs="仿宋"/>
          <w:sz w:val="32"/>
          <w:szCs w:val="32"/>
          <w:lang w:val="en-US" w:eastAsia="zh-CN"/>
        </w:rPr>
        <w:t>1.29</w:t>
      </w:r>
      <w:r>
        <w:rPr>
          <w:rFonts w:hint="eastAsia" w:ascii="仿宋" w:hAnsi="仿宋" w:eastAsia="仿宋" w:cs="仿宋"/>
          <w:sz w:val="32"/>
          <w:szCs w:val="32"/>
        </w:rPr>
        <w:t>%。</w:t>
      </w:r>
    </w:p>
    <w:p w14:paraId="2D1A2B4D">
      <w:pPr>
        <w:pStyle w:val="14"/>
        <w:keepNext w:val="0"/>
        <w:keepLines w:val="0"/>
        <w:pageBreakBefore w:val="0"/>
        <w:widowControl w:val="0"/>
        <w:kinsoku/>
        <w:wordWrap/>
        <w:overflowPunct/>
        <w:topLinePunct w:val="0"/>
        <w:bidi w:val="0"/>
        <w:snapToGrid/>
        <w:spacing w:line="52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三、支出决算情况说明</w:t>
      </w:r>
    </w:p>
    <w:p w14:paraId="306115A7">
      <w:pPr>
        <w:pStyle w:val="14"/>
        <w:keepNext w:val="0"/>
        <w:keepLines w:val="0"/>
        <w:pageBreakBefore w:val="0"/>
        <w:widowControl w:val="0"/>
        <w:kinsoku/>
        <w:wordWrap/>
        <w:overflowPunct/>
        <w:topLinePunct w:val="0"/>
        <w:bidi w:val="0"/>
        <w:snapToGrid/>
        <w:spacing w:line="520" w:lineRule="exact"/>
        <w:ind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年度支出合计</w:t>
      </w:r>
      <w:r>
        <w:rPr>
          <w:rFonts w:hint="eastAsia" w:ascii="仿宋" w:hAnsi="仿宋" w:eastAsia="仿宋" w:cs="仿宋"/>
          <w:sz w:val="32"/>
          <w:szCs w:val="32"/>
          <w:lang w:val="en-US" w:eastAsia="zh-CN"/>
        </w:rPr>
        <w:t>1393.44</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1085.02</w:t>
      </w:r>
      <w:r>
        <w:rPr>
          <w:rFonts w:hint="eastAsia" w:ascii="仿宋" w:hAnsi="仿宋" w:eastAsia="仿宋" w:cs="仿宋"/>
          <w:sz w:val="32"/>
          <w:szCs w:val="32"/>
        </w:rPr>
        <w:t>万元，占</w:t>
      </w:r>
      <w:r>
        <w:rPr>
          <w:rFonts w:hint="eastAsia" w:ascii="仿宋" w:hAnsi="仿宋" w:eastAsia="仿宋" w:cs="仿宋"/>
          <w:sz w:val="32"/>
          <w:szCs w:val="32"/>
          <w:lang w:val="en-US" w:eastAsia="zh-CN"/>
        </w:rPr>
        <w:t>77.87</w:t>
      </w:r>
      <w:r>
        <w:rPr>
          <w:rFonts w:hint="eastAsia" w:ascii="仿宋" w:hAnsi="仿宋" w:eastAsia="仿宋" w:cs="仿宋"/>
          <w:sz w:val="32"/>
          <w:szCs w:val="32"/>
        </w:rPr>
        <w:t>%；项目支出</w:t>
      </w:r>
      <w:r>
        <w:rPr>
          <w:rFonts w:hint="eastAsia" w:ascii="仿宋" w:hAnsi="仿宋" w:eastAsia="仿宋" w:cs="仿宋"/>
          <w:sz w:val="32"/>
          <w:szCs w:val="32"/>
          <w:lang w:val="en-US" w:eastAsia="zh-CN"/>
        </w:rPr>
        <w:t>308.42</w:t>
      </w:r>
      <w:r>
        <w:rPr>
          <w:rFonts w:hint="eastAsia" w:ascii="仿宋" w:hAnsi="仿宋" w:eastAsia="仿宋" w:cs="仿宋"/>
          <w:sz w:val="32"/>
          <w:szCs w:val="32"/>
        </w:rPr>
        <w:t>万元，占</w:t>
      </w:r>
      <w:r>
        <w:rPr>
          <w:rFonts w:hint="eastAsia" w:ascii="仿宋" w:hAnsi="仿宋" w:eastAsia="仿宋" w:cs="仿宋"/>
          <w:sz w:val="32"/>
          <w:szCs w:val="32"/>
          <w:lang w:val="en-US" w:eastAsia="zh-CN"/>
        </w:rPr>
        <w:t>22.13</w:t>
      </w:r>
      <w:r>
        <w:rPr>
          <w:rFonts w:hint="eastAsia" w:ascii="仿宋" w:hAnsi="仿宋" w:eastAsia="仿宋" w:cs="仿宋"/>
          <w:sz w:val="32"/>
          <w:szCs w:val="32"/>
        </w:rPr>
        <w:t>%；上缴上级支出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%；经营支出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%；对附属单位补助支出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w:t>
      </w:r>
    </w:p>
    <w:p w14:paraId="69857526">
      <w:pPr>
        <w:pStyle w:val="14"/>
        <w:keepNext w:val="0"/>
        <w:keepLines w:val="0"/>
        <w:pageBreakBefore w:val="0"/>
        <w:widowControl w:val="0"/>
        <w:kinsoku/>
        <w:wordWrap/>
        <w:overflowPunct/>
        <w:topLinePunct w:val="0"/>
        <w:bidi w:val="0"/>
        <w:snapToGrid/>
        <w:spacing w:line="52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四、财政拨款收入支出决算总体情况说明</w:t>
      </w:r>
    </w:p>
    <w:p w14:paraId="75EEE207">
      <w:pPr>
        <w:pStyle w:val="14"/>
        <w:keepNext w:val="0"/>
        <w:keepLines w:val="0"/>
        <w:pageBreakBefore w:val="0"/>
        <w:widowControl w:val="0"/>
        <w:kinsoku/>
        <w:wordWrap/>
        <w:overflowPunct/>
        <w:topLinePunct w:val="0"/>
        <w:bidi w:val="0"/>
        <w:snapToGrid/>
        <w:spacing w:line="520" w:lineRule="exact"/>
        <w:ind w:firstLine="640" w:firstLineChars="200"/>
        <w:textAlignment w:val="auto"/>
        <w:rPr>
          <w:rFonts w:hint="eastAsia" w:ascii="仿宋" w:hAnsi="仿宋" w:eastAsia="仿宋" w:cs="仿宋"/>
          <w:i/>
          <w:iCs/>
          <w:color w:val="000000"/>
          <w:kern w:val="0"/>
          <w:sz w:val="32"/>
          <w:szCs w:val="32"/>
          <w:lang w:val="en-US" w:eastAsia="zh-CN" w:bidi="ar-SA"/>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年度财政拨款收、支总计</w:t>
      </w:r>
      <w:r>
        <w:rPr>
          <w:rFonts w:hint="eastAsia" w:ascii="仿宋" w:hAnsi="仿宋" w:eastAsia="仿宋" w:cs="仿宋"/>
          <w:sz w:val="32"/>
          <w:szCs w:val="32"/>
          <w:lang w:val="en-US" w:eastAsia="zh-CN"/>
        </w:rPr>
        <w:t>1375.45</w:t>
      </w:r>
      <w:r>
        <w:rPr>
          <w:rFonts w:hint="eastAsia" w:ascii="仿宋" w:hAnsi="仿宋" w:eastAsia="仿宋" w:cs="仿宋"/>
          <w:sz w:val="32"/>
          <w:szCs w:val="32"/>
        </w:rPr>
        <w:t>万元，与上年相比，增加</w:t>
      </w:r>
      <w:r>
        <w:rPr>
          <w:rFonts w:hint="eastAsia" w:ascii="仿宋" w:hAnsi="仿宋" w:eastAsia="仿宋" w:cs="仿宋"/>
          <w:sz w:val="32"/>
          <w:szCs w:val="32"/>
          <w:lang w:val="en-US" w:eastAsia="zh-CN"/>
        </w:rPr>
        <w:t>82.26</w:t>
      </w:r>
      <w:r>
        <w:rPr>
          <w:rFonts w:hint="eastAsia" w:ascii="仿宋" w:hAnsi="仿宋" w:eastAsia="仿宋" w:cs="仿宋"/>
          <w:sz w:val="32"/>
          <w:szCs w:val="32"/>
        </w:rPr>
        <w:t>万元,增长</w:t>
      </w:r>
      <w:r>
        <w:rPr>
          <w:rFonts w:hint="eastAsia" w:ascii="仿宋" w:hAnsi="仿宋" w:eastAsia="仿宋" w:cs="仿宋"/>
          <w:sz w:val="32"/>
          <w:szCs w:val="32"/>
          <w:lang w:val="en-US" w:eastAsia="zh-CN"/>
        </w:rPr>
        <w:t>6.36</w:t>
      </w:r>
      <w:r>
        <w:rPr>
          <w:rFonts w:hint="eastAsia" w:ascii="仿宋" w:hAnsi="仿宋" w:eastAsia="仿宋" w:cs="仿宋"/>
          <w:sz w:val="32"/>
          <w:szCs w:val="32"/>
        </w:rPr>
        <w:t>%，主要是因为政策性增支（如工资标准上调等），导致人员经费刚性增长</w:t>
      </w:r>
      <w:r>
        <w:rPr>
          <w:rFonts w:hint="eastAsia" w:ascii="仿宋" w:hAnsi="仿宋" w:eastAsia="仿宋" w:cs="仿宋"/>
          <w:sz w:val="32"/>
          <w:szCs w:val="32"/>
          <w:lang w:val="en-US" w:eastAsia="zh-CN"/>
        </w:rPr>
        <w:t>以及</w:t>
      </w:r>
      <w:r>
        <w:rPr>
          <w:rFonts w:hint="eastAsia" w:ascii="仿宋" w:hAnsi="仿宋" w:eastAsia="仿宋" w:cs="仿宋"/>
          <w:sz w:val="32"/>
          <w:szCs w:val="32"/>
        </w:rPr>
        <w:t>为落实“平安建设”要求，综治维稳专项扩面等</w:t>
      </w:r>
      <w:r>
        <w:rPr>
          <w:rFonts w:hint="eastAsia" w:ascii="仿宋" w:hAnsi="仿宋" w:eastAsia="仿宋" w:cs="仿宋"/>
          <w:sz w:val="32"/>
          <w:szCs w:val="32"/>
          <w:lang w:val="en-US" w:eastAsia="zh-CN"/>
        </w:rPr>
        <w:t>费用</w:t>
      </w:r>
      <w:r>
        <w:rPr>
          <w:rFonts w:hint="eastAsia" w:ascii="仿宋" w:hAnsi="仿宋" w:eastAsia="仿宋" w:cs="仿宋"/>
          <w:sz w:val="32"/>
          <w:szCs w:val="32"/>
        </w:rPr>
        <w:t>同步增长。</w:t>
      </w:r>
    </w:p>
    <w:p w14:paraId="4BB30A62">
      <w:pPr>
        <w:pStyle w:val="14"/>
        <w:keepNext w:val="0"/>
        <w:keepLines w:val="0"/>
        <w:pageBreakBefore w:val="0"/>
        <w:widowControl w:val="0"/>
        <w:kinsoku/>
        <w:wordWrap/>
        <w:overflowPunct/>
        <w:topLinePunct w:val="0"/>
        <w:bidi w:val="0"/>
        <w:snapToGrid/>
        <w:spacing w:line="52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五、一般公共预算财政拨款支出决算情况说明</w:t>
      </w:r>
    </w:p>
    <w:p w14:paraId="60232831">
      <w:pPr>
        <w:pStyle w:val="14"/>
        <w:keepNext w:val="0"/>
        <w:keepLines w:val="0"/>
        <w:pageBreakBefore w:val="0"/>
        <w:widowControl w:val="0"/>
        <w:kinsoku/>
        <w:wordWrap/>
        <w:overflowPunct/>
        <w:topLinePunct w:val="0"/>
        <w:bidi w:val="0"/>
        <w:snapToGrid/>
        <w:spacing w:line="52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（一）一般公共预算财政拨款支出决算总体情况</w:t>
      </w:r>
    </w:p>
    <w:p w14:paraId="36F15B18">
      <w:pPr>
        <w:pStyle w:val="14"/>
        <w:keepNext w:val="0"/>
        <w:keepLines w:val="0"/>
        <w:pageBreakBefore w:val="0"/>
        <w:widowControl w:val="0"/>
        <w:kinsoku/>
        <w:wordWrap/>
        <w:overflowPunct/>
        <w:topLinePunct w:val="0"/>
        <w:bidi w:val="0"/>
        <w:snapToGrid/>
        <w:spacing w:line="520" w:lineRule="exact"/>
        <w:ind w:firstLine="800" w:firstLineChars="250"/>
        <w:textAlignment w:val="auto"/>
        <w:rPr>
          <w:rFonts w:hint="eastAsia" w:ascii="仿宋" w:hAnsi="仿宋" w:eastAsia="仿宋" w:cs="仿宋"/>
          <w:i/>
          <w:iCs/>
          <w:color w:val="FF0000"/>
          <w:sz w:val="32"/>
          <w:szCs w:val="32"/>
          <w:lang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年度财政拨款支出</w:t>
      </w:r>
      <w:r>
        <w:rPr>
          <w:rFonts w:hint="eastAsia" w:ascii="仿宋" w:hAnsi="仿宋" w:eastAsia="仿宋" w:cs="仿宋"/>
          <w:sz w:val="32"/>
          <w:szCs w:val="32"/>
          <w:lang w:val="en-US" w:eastAsia="zh-CN"/>
        </w:rPr>
        <w:t>1375.45</w:t>
      </w:r>
      <w:r>
        <w:rPr>
          <w:rFonts w:hint="eastAsia" w:ascii="仿宋" w:hAnsi="仿宋" w:eastAsia="仿宋" w:cs="仿宋"/>
          <w:sz w:val="32"/>
          <w:szCs w:val="32"/>
        </w:rPr>
        <w:t>万元，占本年支出合计的</w:t>
      </w:r>
      <w:r>
        <w:rPr>
          <w:rFonts w:hint="eastAsia" w:ascii="仿宋" w:hAnsi="仿宋" w:eastAsia="仿宋" w:cs="仿宋"/>
          <w:sz w:val="32"/>
          <w:szCs w:val="32"/>
          <w:lang w:val="en-US" w:eastAsia="zh-CN"/>
        </w:rPr>
        <w:t>98.71</w:t>
      </w:r>
      <w:r>
        <w:rPr>
          <w:rFonts w:hint="eastAsia" w:ascii="仿宋" w:hAnsi="仿宋" w:eastAsia="仿宋" w:cs="仿宋"/>
          <w:sz w:val="32"/>
          <w:szCs w:val="32"/>
        </w:rPr>
        <w:t>%，与上年相比，财政拨款支出增加</w:t>
      </w:r>
      <w:r>
        <w:rPr>
          <w:rFonts w:hint="eastAsia" w:ascii="仿宋" w:hAnsi="仿宋" w:eastAsia="仿宋" w:cs="仿宋"/>
          <w:sz w:val="32"/>
          <w:szCs w:val="32"/>
          <w:lang w:val="en-US" w:eastAsia="zh-CN"/>
        </w:rPr>
        <w:t>82.26</w:t>
      </w:r>
      <w:r>
        <w:rPr>
          <w:rFonts w:hint="eastAsia" w:ascii="仿宋" w:hAnsi="仿宋" w:eastAsia="仿宋" w:cs="仿宋"/>
          <w:sz w:val="32"/>
          <w:szCs w:val="32"/>
        </w:rPr>
        <w:t>万元，增长</w:t>
      </w:r>
      <w:r>
        <w:rPr>
          <w:rFonts w:hint="eastAsia" w:ascii="仿宋" w:hAnsi="仿宋" w:eastAsia="仿宋" w:cs="仿宋"/>
          <w:sz w:val="32"/>
          <w:szCs w:val="32"/>
          <w:lang w:val="en-US" w:eastAsia="zh-CN"/>
        </w:rPr>
        <w:t>6.36</w:t>
      </w:r>
      <w:r>
        <w:rPr>
          <w:rFonts w:hint="eastAsia" w:ascii="仿宋" w:hAnsi="仿宋" w:eastAsia="仿宋" w:cs="仿宋"/>
          <w:sz w:val="32"/>
          <w:szCs w:val="32"/>
        </w:rPr>
        <w:t>%，主要是因为政策性增支（如工资标准上调等）导致人员经费刚性增长</w:t>
      </w:r>
      <w:r>
        <w:rPr>
          <w:rFonts w:hint="eastAsia" w:ascii="仿宋" w:hAnsi="仿宋" w:eastAsia="仿宋" w:cs="仿宋"/>
          <w:sz w:val="32"/>
          <w:szCs w:val="32"/>
          <w:lang w:val="en-US" w:eastAsia="zh-CN"/>
        </w:rPr>
        <w:t>以及</w:t>
      </w:r>
      <w:r>
        <w:rPr>
          <w:rFonts w:hint="eastAsia" w:ascii="仿宋" w:hAnsi="仿宋" w:eastAsia="仿宋" w:cs="仿宋"/>
          <w:sz w:val="32"/>
          <w:szCs w:val="32"/>
        </w:rPr>
        <w:t>为落实“平安建设”要求，综治维稳专项扩面等</w:t>
      </w:r>
      <w:r>
        <w:rPr>
          <w:rFonts w:hint="eastAsia" w:ascii="仿宋" w:hAnsi="仿宋" w:eastAsia="仿宋" w:cs="仿宋"/>
          <w:sz w:val="32"/>
          <w:szCs w:val="32"/>
          <w:lang w:val="en-US" w:eastAsia="zh-CN"/>
        </w:rPr>
        <w:t>费用</w:t>
      </w:r>
      <w:r>
        <w:rPr>
          <w:rFonts w:hint="eastAsia" w:ascii="仿宋" w:hAnsi="仿宋" w:eastAsia="仿宋" w:cs="仿宋"/>
          <w:sz w:val="32"/>
          <w:szCs w:val="32"/>
        </w:rPr>
        <w:t>同步增长。</w:t>
      </w:r>
    </w:p>
    <w:p w14:paraId="66C54C85">
      <w:pPr>
        <w:pStyle w:val="14"/>
        <w:keepNext w:val="0"/>
        <w:keepLines w:val="0"/>
        <w:pageBreakBefore w:val="0"/>
        <w:widowControl w:val="0"/>
        <w:kinsoku/>
        <w:wordWrap/>
        <w:overflowPunct/>
        <w:topLinePunct w:val="0"/>
        <w:bidi w:val="0"/>
        <w:snapToGrid/>
        <w:spacing w:line="520" w:lineRule="exact"/>
        <w:ind w:firstLine="800" w:firstLineChars="25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（二）一般公共预算财政拨款支出决算结构情况</w:t>
      </w:r>
    </w:p>
    <w:p w14:paraId="100B560A">
      <w:pPr>
        <w:pStyle w:val="14"/>
        <w:keepNext w:val="0"/>
        <w:keepLines w:val="0"/>
        <w:pageBreakBefore w:val="0"/>
        <w:widowControl w:val="0"/>
        <w:kinsoku/>
        <w:wordWrap/>
        <w:overflowPunct/>
        <w:topLinePunct w:val="0"/>
        <w:bidi w:val="0"/>
        <w:snapToGrid/>
        <w:spacing w:line="520" w:lineRule="exact"/>
        <w:ind w:firstLine="640" w:firstLineChars="200"/>
        <w:textAlignment w:val="auto"/>
        <w:rPr>
          <w:rFonts w:hint="eastAsia" w:ascii="仿宋" w:hAnsi="仿宋" w:eastAsia="仿宋" w:cs="仿宋"/>
          <w:sz w:val="32"/>
          <w:szCs w:val="32"/>
          <w:lang w:val="en-US"/>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年度财政拨款支出</w:t>
      </w:r>
      <w:r>
        <w:rPr>
          <w:rFonts w:hint="eastAsia" w:ascii="仿宋" w:hAnsi="仿宋" w:eastAsia="仿宋" w:cs="仿宋"/>
          <w:sz w:val="32"/>
          <w:szCs w:val="32"/>
          <w:lang w:val="en-US" w:eastAsia="zh-CN"/>
        </w:rPr>
        <w:t>1375.45</w:t>
      </w:r>
      <w:r>
        <w:rPr>
          <w:rFonts w:hint="eastAsia" w:ascii="仿宋" w:hAnsi="仿宋" w:eastAsia="仿宋" w:cs="仿宋"/>
          <w:sz w:val="32"/>
          <w:szCs w:val="32"/>
        </w:rPr>
        <w:t>万元，主要用于以下方面：一般公共服务（类）支出</w:t>
      </w:r>
      <w:r>
        <w:rPr>
          <w:rFonts w:hint="eastAsia" w:ascii="仿宋" w:hAnsi="仿宋" w:eastAsia="仿宋" w:cs="仿宋"/>
          <w:sz w:val="32"/>
          <w:szCs w:val="32"/>
          <w:lang w:val="en-US" w:eastAsia="zh-CN"/>
        </w:rPr>
        <w:t>1092.46</w:t>
      </w:r>
      <w:r>
        <w:rPr>
          <w:rFonts w:hint="eastAsia" w:ascii="仿宋" w:hAnsi="仿宋" w:eastAsia="仿宋" w:cs="仿宋"/>
          <w:sz w:val="32"/>
          <w:szCs w:val="32"/>
        </w:rPr>
        <w:t>万元，占</w:t>
      </w:r>
      <w:r>
        <w:rPr>
          <w:rFonts w:hint="eastAsia" w:ascii="仿宋" w:hAnsi="仿宋" w:eastAsia="仿宋" w:cs="仿宋"/>
          <w:sz w:val="32"/>
          <w:szCs w:val="32"/>
          <w:lang w:val="en-US" w:eastAsia="zh-CN"/>
        </w:rPr>
        <w:t>79.43</w:t>
      </w:r>
      <w:r>
        <w:rPr>
          <w:rFonts w:hint="eastAsia" w:ascii="仿宋" w:hAnsi="仿宋" w:eastAsia="仿宋" w:cs="仿宋"/>
          <w:sz w:val="32"/>
          <w:szCs w:val="32"/>
        </w:rPr>
        <w:t>%；</w:t>
      </w:r>
      <w:r>
        <w:rPr>
          <w:rFonts w:hint="eastAsia" w:ascii="仿宋" w:hAnsi="仿宋" w:eastAsia="仿宋" w:cs="仿宋"/>
          <w:sz w:val="32"/>
          <w:szCs w:val="32"/>
          <w:lang w:val="en-US" w:eastAsia="zh-CN"/>
        </w:rPr>
        <w:t>公共安全</w:t>
      </w:r>
      <w:r>
        <w:rPr>
          <w:rFonts w:hint="eastAsia" w:ascii="仿宋" w:hAnsi="仿宋" w:eastAsia="仿宋" w:cs="仿宋"/>
          <w:sz w:val="32"/>
          <w:szCs w:val="32"/>
        </w:rPr>
        <w:t>（类）支出</w:t>
      </w:r>
      <w:r>
        <w:rPr>
          <w:rFonts w:hint="eastAsia" w:ascii="仿宋" w:hAnsi="仿宋" w:eastAsia="仿宋" w:cs="仿宋"/>
          <w:sz w:val="32"/>
          <w:szCs w:val="32"/>
          <w:lang w:val="en-US" w:eastAsia="zh-CN"/>
        </w:rPr>
        <w:t>74.15</w:t>
      </w:r>
      <w:r>
        <w:rPr>
          <w:rFonts w:hint="eastAsia" w:ascii="仿宋" w:hAnsi="仿宋" w:eastAsia="仿宋" w:cs="仿宋"/>
          <w:sz w:val="32"/>
          <w:szCs w:val="32"/>
        </w:rPr>
        <w:t>万元，占</w:t>
      </w:r>
      <w:r>
        <w:rPr>
          <w:rFonts w:hint="eastAsia" w:ascii="仿宋" w:hAnsi="仿宋" w:eastAsia="仿宋" w:cs="仿宋"/>
          <w:sz w:val="32"/>
          <w:szCs w:val="32"/>
          <w:lang w:val="en-US" w:eastAsia="zh-CN"/>
        </w:rPr>
        <w:t>5.39</w:t>
      </w:r>
      <w:r>
        <w:rPr>
          <w:rFonts w:hint="eastAsia" w:ascii="仿宋" w:hAnsi="仿宋" w:eastAsia="仿宋" w:cs="仿宋"/>
          <w:sz w:val="32"/>
          <w:szCs w:val="32"/>
        </w:rPr>
        <w:t>%;</w:t>
      </w:r>
      <w:r>
        <w:rPr>
          <w:rFonts w:hint="eastAsia" w:ascii="仿宋" w:hAnsi="仿宋" w:eastAsia="仿宋" w:cs="仿宋"/>
          <w:sz w:val="32"/>
          <w:szCs w:val="32"/>
          <w:lang w:val="en-US" w:eastAsia="zh-CN"/>
        </w:rPr>
        <w:t>科学技术（类）支出19.92万元，占1.45%；社会保障和就业（类）支出127.59万元，占9.27%；卫生健康（类）支出5.55万元，占0.4%；城乡社区（类）支出1.5万元，占0.11%；住房保障（类）支出54.27万元，占3.95%。</w:t>
      </w:r>
    </w:p>
    <w:p w14:paraId="5CDBADF9">
      <w:pPr>
        <w:pStyle w:val="14"/>
        <w:keepNext w:val="0"/>
        <w:keepLines w:val="0"/>
        <w:pageBreakBefore w:val="0"/>
        <w:widowControl w:val="0"/>
        <w:kinsoku/>
        <w:wordWrap/>
        <w:overflowPunct/>
        <w:topLinePunct w:val="0"/>
        <w:bidi w:val="0"/>
        <w:snapToGrid/>
        <w:spacing w:line="52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（三）一般公共预算财政拨款支出决算具体情况</w:t>
      </w:r>
    </w:p>
    <w:p w14:paraId="5B07DAE0">
      <w:pPr>
        <w:pStyle w:val="14"/>
        <w:keepNext w:val="0"/>
        <w:keepLines w:val="0"/>
        <w:pageBreakBefore w:val="0"/>
        <w:widowControl w:val="0"/>
        <w:kinsoku/>
        <w:wordWrap/>
        <w:overflowPunct/>
        <w:topLinePunct w:val="0"/>
        <w:bidi w:val="0"/>
        <w:snapToGrid/>
        <w:spacing w:line="52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年度财政拨款支出年初预算数为</w:t>
      </w:r>
      <w:r>
        <w:rPr>
          <w:rFonts w:hint="eastAsia" w:ascii="仿宋" w:hAnsi="仿宋" w:eastAsia="仿宋" w:cs="仿宋"/>
          <w:sz w:val="32"/>
          <w:szCs w:val="32"/>
          <w:lang w:val="en-US" w:eastAsia="zh-CN"/>
        </w:rPr>
        <w:t>1150</w:t>
      </w:r>
      <w:r>
        <w:rPr>
          <w:rFonts w:hint="eastAsia" w:ascii="仿宋" w:hAnsi="仿宋" w:eastAsia="仿宋" w:cs="仿宋"/>
          <w:sz w:val="32"/>
          <w:szCs w:val="32"/>
        </w:rPr>
        <w:t>万元，支出决算数为</w:t>
      </w:r>
      <w:r>
        <w:rPr>
          <w:rFonts w:hint="eastAsia" w:ascii="仿宋" w:hAnsi="仿宋" w:eastAsia="仿宋" w:cs="仿宋"/>
          <w:sz w:val="32"/>
          <w:szCs w:val="32"/>
          <w:lang w:val="en-US" w:eastAsia="zh-CN"/>
        </w:rPr>
        <w:t>1375.45</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119.60</w:t>
      </w:r>
      <w:r>
        <w:rPr>
          <w:rFonts w:hint="eastAsia" w:ascii="仿宋" w:hAnsi="仿宋" w:eastAsia="仿宋" w:cs="仿宋"/>
          <w:sz w:val="32"/>
          <w:szCs w:val="32"/>
        </w:rPr>
        <w:t>%，其中：</w:t>
      </w:r>
    </w:p>
    <w:p w14:paraId="3B4D2C5B">
      <w:pPr>
        <w:pStyle w:val="14"/>
        <w:keepNext w:val="0"/>
        <w:keepLines w:val="0"/>
        <w:pageBreakBefore w:val="0"/>
        <w:kinsoku/>
        <w:wordWrap/>
        <w:topLinePunct w:val="0"/>
        <w:bidi w:val="0"/>
        <w:snapToGrid/>
        <w:spacing w:line="520" w:lineRule="exact"/>
        <w:ind w:firstLine="800" w:firstLineChars="250"/>
        <w:jc w:val="both"/>
        <w:textAlignment w:val="auto"/>
        <w:rPr>
          <w:rFonts w:hint="eastAsia" w:ascii="仿宋" w:hAnsi="仿宋" w:eastAsia="仿宋" w:cs="仿宋"/>
          <w:sz w:val="32"/>
          <w:szCs w:val="32"/>
        </w:rPr>
      </w:pPr>
      <w:r>
        <w:rPr>
          <w:rFonts w:hint="eastAsia" w:ascii="仿宋" w:hAnsi="仿宋" w:eastAsia="仿宋" w:cs="仿宋"/>
          <w:sz w:val="32"/>
          <w:szCs w:val="32"/>
        </w:rPr>
        <w:t>1、一般公共服务（类）党委办公厅（室）及相关机构事务（款）行政运行（项）。</w:t>
      </w:r>
    </w:p>
    <w:p w14:paraId="1232A0E9">
      <w:pPr>
        <w:pStyle w:val="14"/>
        <w:keepNext w:val="0"/>
        <w:keepLines w:val="0"/>
        <w:pageBreakBefore w:val="0"/>
        <w:kinsoku/>
        <w:wordWrap/>
        <w:topLinePunct w:val="0"/>
        <w:bidi w:val="0"/>
        <w:snapToGrid/>
        <w:spacing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51.55</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116.7</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226.38</w:t>
      </w:r>
      <w:r>
        <w:rPr>
          <w:rFonts w:hint="eastAsia" w:ascii="仿宋" w:hAnsi="仿宋" w:eastAsia="仿宋" w:cs="仿宋"/>
          <w:sz w:val="32"/>
          <w:szCs w:val="32"/>
        </w:rPr>
        <w:t>%，决算数大于年初预算数的主要原因是：全国市域社会治理现代化试点合格城市验收及群英断是非工作等相关工作费用增加等。</w:t>
      </w:r>
    </w:p>
    <w:p w14:paraId="505C8E29">
      <w:pPr>
        <w:pStyle w:val="14"/>
        <w:keepNext w:val="0"/>
        <w:keepLines w:val="0"/>
        <w:pageBreakBefore w:val="0"/>
        <w:kinsoku/>
        <w:wordWrap/>
        <w:topLinePunct w:val="0"/>
        <w:bidi w:val="0"/>
        <w:snapToGrid/>
        <w:spacing w:line="520" w:lineRule="exact"/>
        <w:ind w:firstLine="800" w:firstLineChars="250"/>
        <w:jc w:val="both"/>
        <w:textAlignment w:val="auto"/>
        <w:rPr>
          <w:rFonts w:hint="eastAsia" w:ascii="仿宋" w:hAnsi="仿宋" w:eastAsia="仿宋" w:cs="仿宋"/>
          <w:sz w:val="32"/>
          <w:szCs w:val="32"/>
        </w:rPr>
      </w:pPr>
      <w:r>
        <w:rPr>
          <w:rFonts w:hint="eastAsia" w:ascii="仿宋" w:hAnsi="仿宋" w:eastAsia="仿宋" w:cs="仿宋"/>
          <w:sz w:val="32"/>
          <w:szCs w:val="32"/>
        </w:rPr>
        <w:t>2、一般公共服务（类）党委办公厅（室）及相关机构事务（款）行政管理事务（项）。</w:t>
      </w:r>
    </w:p>
    <w:p w14:paraId="54D4BE8E">
      <w:pPr>
        <w:pStyle w:val="14"/>
        <w:keepNext w:val="0"/>
        <w:keepLines w:val="0"/>
        <w:pageBreakBefore w:val="0"/>
        <w:kinsoku/>
        <w:wordWrap/>
        <w:topLinePunct w:val="0"/>
        <w:bidi w:val="0"/>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226.2</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223.5</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98.81</w:t>
      </w:r>
      <w:r>
        <w:rPr>
          <w:rFonts w:hint="eastAsia" w:ascii="仿宋" w:hAnsi="仿宋" w:eastAsia="仿宋" w:cs="仿宋"/>
          <w:sz w:val="32"/>
          <w:szCs w:val="32"/>
        </w:rPr>
        <w:t>%，决算数小于年初预算数的主要原因是厉行节约，严控专项支出。</w:t>
      </w:r>
    </w:p>
    <w:p w14:paraId="2FC84AAD">
      <w:pPr>
        <w:pStyle w:val="14"/>
        <w:keepNext w:val="0"/>
        <w:keepLines w:val="0"/>
        <w:pageBreakBefore w:val="0"/>
        <w:kinsoku/>
        <w:wordWrap/>
        <w:topLinePunct w:val="0"/>
        <w:bidi w:val="0"/>
        <w:snapToGrid/>
        <w:spacing w:line="520" w:lineRule="exact"/>
        <w:ind w:firstLine="800" w:firstLineChars="250"/>
        <w:jc w:val="both"/>
        <w:textAlignment w:val="auto"/>
        <w:rPr>
          <w:rFonts w:hint="eastAsia" w:ascii="仿宋" w:hAnsi="仿宋" w:eastAsia="仿宋" w:cs="仿宋"/>
          <w:sz w:val="32"/>
          <w:szCs w:val="32"/>
        </w:rPr>
      </w:pPr>
      <w:r>
        <w:rPr>
          <w:rFonts w:hint="eastAsia" w:ascii="仿宋" w:hAnsi="仿宋" w:eastAsia="仿宋" w:cs="仿宋"/>
          <w:sz w:val="32"/>
          <w:szCs w:val="32"/>
        </w:rPr>
        <w:t>3、一般公共服务（类）党委办公厅（室）及相关机构事务（款）其他党委办公厅（室）及相关机构事务支出（项）。</w:t>
      </w:r>
    </w:p>
    <w:p w14:paraId="0D54B2E9">
      <w:pPr>
        <w:pStyle w:val="14"/>
        <w:keepNext w:val="0"/>
        <w:keepLines w:val="0"/>
        <w:pageBreakBefore w:val="0"/>
        <w:kinsoku/>
        <w:wordWrap/>
        <w:topLinePunct w:val="0"/>
        <w:bidi w:val="0"/>
        <w:snapToGrid/>
        <w:spacing w:line="520" w:lineRule="exact"/>
        <w:ind w:firstLine="800" w:firstLineChars="250"/>
        <w:jc w:val="both"/>
        <w:textAlignment w:val="auto"/>
        <w:rPr>
          <w:rFonts w:hint="eastAsia" w:ascii="仿宋" w:hAnsi="仿宋" w:eastAsia="仿宋" w:cs="仿宋"/>
          <w:sz w:val="32"/>
          <w:szCs w:val="32"/>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669.91</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770.26</w:t>
      </w:r>
      <w:r>
        <w:rPr>
          <w:rFonts w:hint="eastAsia" w:ascii="仿宋" w:hAnsi="仿宋" w:eastAsia="仿宋" w:cs="仿宋"/>
          <w:sz w:val="32"/>
          <w:szCs w:val="32"/>
        </w:rPr>
        <w:t>万元，完成年初预算的11</w:t>
      </w:r>
      <w:r>
        <w:rPr>
          <w:rFonts w:hint="eastAsia" w:ascii="仿宋" w:hAnsi="仿宋" w:eastAsia="仿宋" w:cs="仿宋"/>
          <w:sz w:val="32"/>
          <w:szCs w:val="32"/>
          <w:lang w:val="en-US" w:eastAsia="zh-CN"/>
        </w:rPr>
        <w:t>4.98</w:t>
      </w:r>
      <w:r>
        <w:rPr>
          <w:rFonts w:hint="eastAsia" w:ascii="仿宋" w:hAnsi="仿宋" w:eastAsia="仿宋" w:cs="仿宋"/>
          <w:sz w:val="32"/>
          <w:szCs w:val="32"/>
        </w:rPr>
        <w:t>%，决算数大于年初预算数的主要原因是年度重点工作增加的相关工作费用。</w:t>
      </w:r>
    </w:p>
    <w:p w14:paraId="64627CBA">
      <w:pPr>
        <w:pStyle w:val="14"/>
        <w:keepNext w:val="0"/>
        <w:keepLines w:val="0"/>
        <w:pageBreakBefore w:val="0"/>
        <w:kinsoku/>
        <w:wordWrap/>
        <w:topLinePunct w:val="0"/>
        <w:bidi w:val="0"/>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4、公共安全支出（类）司法（款）一般行政管理事务支出（项）。</w:t>
      </w:r>
    </w:p>
    <w:p w14:paraId="6EB17C07">
      <w:pPr>
        <w:pStyle w:val="14"/>
        <w:keepNext w:val="0"/>
        <w:keepLines w:val="0"/>
        <w:pageBreakBefore w:val="0"/>
        <w:kinsoku/>
        <w:wordWrap/>
        <w:topLinePunct w:val="0"/>
        <w:bidi w:val="0"/>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年初预算为0万元，支出决算为</w:t>
      </w:r>
      <w:r>
        <w:rPr>
          <w:rFonts w:hint="eastAsia" w:ascii="仿宋" w:hAnsi="仿宋" w:eastAsia="仿宋" w:cs="仿宋"/>
          <w:sz w:val="32"/>
          <w:szCs w:val="32"/>
          <w:lang w:val="en-US" w:eastAsia="zh-CN"/>
        </w:rPr>
        <w:t>23</w:t>
      </w:r>
      <w:r>
        <w:rPr>
          <w:rFonts w:hint="eastAsia" w:ascii="仿宋" w:hAnsi="仿宋" w:eastAsia="仿宋" w:cs="仿宋"/>
          <w:sz w:val="32"/>
          <w:szCs w:val="32"/>
        </w:rPr>
        <w:t>万元，决算数大于年初预算数的主要原因是：新增专项</w:t>
      </w:r>
      <w:r>
        <w:rPr>
          <w:rFonts w:hint="eastAsia" w:ascii="仿宋" w:hAnsi="仿宋" w:eastAsia="仿宋" w:cs="仿宋"/>
          <w:sz w:val="32"/>
          <w:szCs w:val="32"/>
          <w:lang w:val="en-US" w:eastAsia="zh-CN"/>
        </w:rPr>
        <w:t>支出</w:t>
      </w:r>
      <w:r>
        <w:rPr>
          <w:rFonts w:hint="eastAsia" w:ascii="仿宋" w:hAnsi="仿宋" w:eastAsia="仿宋" w:cs="仿宋"/>
          <w:sz w:val="32"/>
          <w:szCs w:val="32"/>
        </w:rPr>
        <w:t>等。</w:t>
      </w:r>
    </w:p>
    <w:p w14:paraId="3C4F60CA">
      <w:pPr>
        <w:pStyle w:val="14"/>
        <w:keepNext w:val="0"/>
        <w:keepLines w:val="0"/>
        <w:pageBreakBefore w:val="0"/>
        <w:kinsoku/>
        <w:wordWrap/>
        <w:topLinePunct w:val="0"/>
        <w:bidi w:val="0"/>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5、公共安全支出（类）其他公共安全支出（款）其他公共安全支出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项）</w:t>
      </w:r>
      <w:r>
        <w:rPr>
          <w:rFonts w:hint="eastAsia" w:ascii="仿宋" w:hAnsi="仿宋" w:eastAsia="仿宋" w:cs="仿宋"/>
          <w:sz w:val="32"/>
          <w:szCs w:val="32"/>
        </w:rPr>
        <w:t>。</w:t>
      </w:r>
    </w:p>
    <w:p w14:paraId="71FAF4E3">
      <w:pPr>
        <w:pStyle w:val="14"/>
        <w:keepNext w:val="0"/>
        <w:keepLines w:val="0"/>
        <w:pageBreakBefore w:val="0"/>
        <w:kinsoku/>
        <w:wordWrap/>
        <w:topLinePunct w:val="0"/>
        <w:bidi w:val="0"/>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年初预算为0万元，支出决算为</w:t>
      </w:r>
      <w:r>
        <w:rPr>
          <w:rFonts w:hint="eastAsia" w:ascii="仿宋" w:hAnsi="仿宋" w:eastAsia="仿宋" w:cs="仿宋"/>
          <w:sz w:val="32"/>
          <w:szCs w:val="32"/>
          <w:lang w:val="en-US" w:eastAsia="zh-CN"/>
        </w:rPr>
        <w:t>37</w:t>
      </w:r>
      <w:r>
        <w:rPr>
          <w:rFonts w:hint="eastAsia" w:ascii="仿宋" w:hAnsi="仿宋" w:eastAsia="仿宋" w:cs="仿宋"/>
          <w:sz w:val="32"/>
          <w:szCs w:val="32"/>
        </w:rPr>
        <w:t>万元，决算数大于年初预算数的主要原因是：新增专项支出等。</w:t>
      </w:r>
    </w:p>
    <w:p w14:paraId="596B72EE">
      <w:pPr>
        <w:pStyle w:val="14"/>
        <w:keepNext w:val="0"/>
        <w:keepLines w:val="0"/>
        <w:pageBreakBefore w:val="0"/>
        <w:numPr>
          <w:ilvl w:val="0"/>
          <w:numId w:val="0"/>
        </w:numPr>
        <w:kinsoku/>
        <w:wordWrap/>
        <w:topLinePunct w:val="0"/>
        <w:bidi w:val="0"/>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6、科学技术支出（类）其它科学技术支出（款）其它科学技术支出（项）。</w:t>
      </w:r>
    </w:p>
    <w:p w14:paraId="2523771A">
      <w:pPr>
        <w:pStyle w:val="14"/>
        <w:keepNext w:val="0"/>
        <w:keepLines w:val="0"/>
        <w:pageBreakBefore w:val="0"/>
        <w:kinsoku/>
        <w:wordWrap/>
        <w:topLinePunct w:val="0"/>
        <w:bidi w:val="0"/>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年初预算为0万元，支出决算为</w:t>
      </w:r>
      <w:r>
        <w:rPr>
          <w:rFonts w:hint="eastAsia" w:ascii="仿宋" w:hAnsi="仿宋" w:eastAsia="仿宋" w:cs="仿宋"/>
          <w:sz w:val="32"/>
          <w:szCs w:val="32"/>
          <w:lang w:val="en-US" w:eastAsia="zh-CN"/>
        </w:rPr>
        <w:t>19.92</w:t>
      </w:r>
      <w:r>
        <w:rPr>
          <w:rFonts w:hint="eastAsia" w:ascii="仿宋" w:hAnsi="仿宋" w:eastAsia="仿宋" w:cs="仿宋"/>
          <w:sz w:val="32"/>
          <w:szCs w:val="32"/>
        </w:rPr>
        <w:t>万元，决算数大于年初预算数的主要原因是：新增专项支出等。</w:t>
      </w:r>
    </w:p>
    <w:p w14:paraId="504D41D1">
      <w:pPr>
        <w:pStyle w:val="14"/>
        <w:keepNext w:val="0"/>
        <w:keepLines w:val="0"/>
        <w:pageBreakBefore w:val="0"/>
        <w:kinsoku/>
        <w:wordWrap/>
        <w:topLinePunct w:val="0"/>
        <w:bidi w:val="0"/>
        <w:snapToGrid/>
        <w:spacing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、社会保障和就业支出（类）行政事业单位养老支出（款）机关事业单位基本养老保险缴费支出（项）。</w:t>
      </w:r>
    </w:p>
    <w:p w14:paraId="73DBDF17">
      <w:pPr>
        <w:pStyle w:val="14"/>
        <w:keepNext w:val="0"/>
        <w:keepLines w:val="0"/>
        <w:pageBreakBefore w:val="0"/>
        <w:kinsoku/>
        <w:wordWrap/>
        <w:topLinePunct w:val="0"/>
        <w:bidi w:val="0"/>
        <w:snapToGrid/>
        <w:spacing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105.18</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102</w:t>
      </w:r>
      <w:r>
        <w:rPr>
          <w:rFonts w:hint="eastAsia" w:ascii="仿宋" w:hAnsi="仿宋" w:eastAsia="仿宋" w:cs="仿宋"/>
          <w:sz w:val="32"/>
          <w:szCs w:val="32"/>
        </w:rPr>
        <w:t>万元，完成年初预算的9</w:t>
      </w:r>
      <w:r>
        <w:rPr>
          <w:rFonts w:hint="eastAsia" w:ascii="仿宋" w:hAnsi="仿宋" w:eastAsia="仿宋" w:cs="仿宋"/>
          <w:sz w:val="32"/>
          <w:szCs w:val="32"/>
          <w:lang w:val="en-US" w:eastAsia="zh-CN"/>
        </w:rPr>
        <w:t>6.98</w:t>
      </w:r>
      <w:r>
        <w:rPr>
          <w:rFonts w:hint="eastAsia" w:ascii="仿宋" w:hAnsi="仿宋" w:eastAsia="仿宋" w:cs="仿宋"/>
          <w:sz w:val="32"/>
          <w:szCs w:val="32"/>
        </w:rPr>
        <w:t>%，决算数小于年初预算数是因为人员异动差异。</w:t>
      </w:r>
    </w:p>
    <w:p w14:paraId="45630D02">
      <w:pPr>
        <w:pStyle w:val="14"/>
        <w:keepNext w:val="0"/>
        <w:keepLines w:val="0"/>
        <w:pageBreakBefore w:val="0"/>
        <w:kinsoku/>
        <w:wordWrap/>
        <w:topLinePunct w:val="0"/>
        <w:bidi w:val="0"/>
        <w:snapToGrid/>
        <w:spacing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、社会保障和就业支出（类）抚恤（款）其他优抚支出（项）。</w:t>
      </w:r>
    </w:p>
    <w:p w14:paraId="1DA51FA6">
      <w:pPr>
        <w:pStyle w:val="14"/>
        <w:keepNext w:val="0"/>
        <w:keepLines w:val="0"/>
        <w:pageBreakBefore w:val="0"/>
        <w:kinsoku/>
        <w:wordWrap/>
        <w:topLinePunct w:val="0"/>
        <w:bidi w:val="0"/>
        <w:snapToGrid/>
        <w:spacing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年初预算为0万元，支出决算为</w:t>
      </w:r>
      <w:r>
        <w:rPr>
          <w:rFonts w:hint="eastAsia" w:ascii="仿宋" w:hAnsi="仿宋" w:eastAsia="仿宋" w:cs="仿宋"/>
          <w:sz w:val="32"/>
          <w:szCs w:val="32"/>
          <w:lang w:val="en-US" w:eastAsia="zh-CN"/>
        </w:rPr>
        <w:t>20.55</w:t>
      </w:r>
      <w:r>
        <w:rPr>
          <w:rFonts w:hint="eastAsia" w:ascii="仿宋" w:hAnsi="仿宋" w:eastAsia="仿宋" w:cs="仿宋"/>
          <w:sz w:val="32"/>
          <w:szCs w:val="32"/>
        </w:rPr>
        <w:t>万元，决算数大于年初数，主要原因是退休人员</w:t>
      </w:r>
      <w:r>
        <w:rPr>
          <w:rFonts w:hint="eastAsia" w:ascii="仿宋" w:hAnsi="仿宋" w:eastAsia="仿宋" w:cs="仿宋"/>
          <w:sz w:val="32"/>
          <w:szCs w:val="32"/>
          <w:lang w:val="en-US" w:eastAsia="zh-CN"/>
        </w:rPr>
        <w:t>刘观日</w:t>
      </w:r>
      <w:r>
        <w:rPr>
          <w:rFonts w:hint="eastAsia" w:ascii="仿宋" w:hAnsi="仿宋" w:eastAsia="仿宋" w:cs="仿宋"/>
          <w:sz w:val="32"/>
          <w:szCs w:val="32"/>
        </w:rPr>
        <w:t>同志去世抚恤费。</w:t>
      </w:r>
    </w:p>
    <w:p w14:paraId="00C93C36">
      <w:pPr>
        <w:pStyle w:val="14"/>
        <w:keepNext w:val="0"/>
        <w:keepLines w:val="0"/>
        <w:pageBreakBefore w:val="0"/>
        <w:kinsoku/>
        <w:wordWrap/>
        <w:topLinePunct w:val="0"/>
        <w:bidi w:val="0"/>
        <w:snapToGrid/>
        <w:spacing w:line="520" w:lineRule="exact"/>
        <w:ind w:firstLine="800" w:firstLineChars="25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社会保障和就业支出（类）</w:t>
      </w:r>
      <w:r>
        <w:rPr>
          <w:rFonts w:hint="eastAsia" w:ascii="仿宋" w:hAnsi="仿宋" w:eastAsia="仿宋" w:cs="仿宋"/>
          <w:sz w:val="32"/>
          <w:szCs w:val="32"/>
          <w:lang w:val="en-US" w:eastAsia="zh-CN"/>
        </w:rPr>
        <w:t>残疾人事业</w:t>
      </w:r>
      <w:r>
        <w:rPr>
          <w:rFonts w:hint="eastAsia" w:ascii="仿宋" w:hAnsi="仿宋" w:eastAsia="仿宋" w:cs="仿宋"/>
          <w:sz w:val="32"/>
          <w:szCs w:val="32"/>
        </w:rPr>
        <w:t>（款）</w:t>
      </w:r>
      <w:r>
        <w:rPr>
          <w:rFonts w:hint="eastAsia" w:ascii="仿宋" w:hAnsi="仿宋" w:eastAsia="仿宋" w:cs="仿宋"/>
          <w:sz w:val="32"/>
          <w:szCs w:val="32"/>
          <w:lang w:val="en-US" w:eastAsia="zh-CN"/>
        </w:rPr>
        <w:t>其他残疾人事业支出</w:t>
      </w:r>
      <w:r>
        <w:rPr>
          <w:rFonts w:hint="eastAsia" w:ascii="仿宋" w:hAnsi="仿宋" w:eastAsia="仿宋" w:cs="仿宋"/>
          <w:sz w:val="32"/>
          <w:szCs w:val="32"/>
        </w:rPr>
        <w:t>（项）。</w:t>
      </w:r>
    </w:p>
    <w:p w14:paraId="2A1F3168">
      <w:pPr>
        <w:pStyle w:val="14"/>
        <w:keepNext w:val="0"/>
        <w:keepLines w:val="0"/>
        <w:pageBreakBefore w:val="0"/>
        <w:kinsoku/>
        <w:wordWrap/>
        <w:topLinePunct w:val="0"/>
        <w:bidi w:val="0"/>
        <w:snapToGrid/>
        <w:spacing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5.04</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5.04</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100</w:t>
      </w:r>
      <w:r>
        <w:rPr>
          <w:rFonts w:hint="eastAsia" w:ascii="仿宋" w:hAnsi="仿宋" w:eastAsia="仿宋" w:cs="仿宋"/>
          <w:sz w:val="32"/>
          <w:szCs w:val="32"/>
        </w:rPr>
        <w:t>%，决算数</w:t>
      </w:r>
      <w:r>
        <w:rPr>
          <w:rFonts w:hint="eastAsia" w:ascii="仿宋" w:hAnsi="仿宋" w:eastAsia="仿宋" w:cs="仿宋"/>
          <w:sz w:val="32"/>
          <w:szCs w:val="32"/>
          <w:lang w:val="en-US" w:eastAsia="zh-CN"/>
        </w:rPr>
        <w:t>等</w:t>
      </w:r>
      <w:r>
        <w:rPr>
          <w:rFonts w:hint="eastAsia" w:ascii="仿宋" w:hAnsi="仿宋" w:eastAsia="仿宋" w:cs="仿宋"/>
          <w:sz w:val="32"/>
          <w:szCs w:val="32"/>
        </w:rPr>
        <w:t>于年初预算数是</w:t>
      </w:r>
      <w:r>
        <w:rPr>
          <w:rFonts w:hint="eastAsia" w:ascii="仿宋" w:hAnsi="仿宋" w:eastAsia="仿宋" w:cs="仿宋"/>
          <w:sz w:val="32"/>
          <w:szCs w:val="32"/>
          <w:lang w:val="en-US" w:eastAsia="zh-CN"/>
        </w:rPr>
        <w:t>按年人员工资基数缴纳</w:t>
      </w:r>
      <w:r>
        <w:rPr>
          <w:rFonts w:hint="eastAsia" w:ascii="仿宋" w:hAnsi="仿宋" w:eastAsia="仿宋" w:cs="仿宋"/>
          <w:sz w:val="32"/>
          <w:szCs w:val="32"/>
        </w:rPr>
        <w:t>。</w:t>
      </w:r>
    </w:p>
    <w:p w14:paraId="2C34394A">
      <w:pPr>
        <w:pStyle w:val="14"/>
        <w:keepNext w:val="0"/>
        <w:keepLines w:val="0"/>
        <w:pageBreakBefore w:val="0"/>
        <w:kinsoku/>
        <w:wordWrap/>
        <w:topLinePunct w:val="0"/>
        <w:bidi w:val="0"/>
        <w:snapToGrid/>
        <w:spacing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、卫生健康支出（类）行政事业单位医疗（款）行政单位医疗（项）。</w:t>
      </w:r>
    </w:p>
    <w:p w14:paraId="6DF57064">
      <w:pPr>
        <w:pStyle w:val="14"/>
        <w:keepNext w:val="0"/>
        <w:keepLines w:val="0"/>
        <w:pageBreakBefore w:val="0"/>
        <w:kinsoku/>
        <w:wordWrap/>
        <w:topLinePunct w:val="0"/>
        <w:bidi w:val="0"/>
        <w:snapToGrid/>
        <w:spacing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24.98</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5.55</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22.22</w:t>
      </w:r>
      <w:r>
        <w:rPr>
          <w:rFonts w:hint="eastAsia" w:ascii="仿宋" w:hAnsi="仿宋" w:eastAsia="仿宋" w:cs="仿宋"/>
          <w:sz w:val="32"/>
          <w:szCs w:val="32"/>
        </w:rPr>
        <w:t>%，决算数</w:t>
      </w:r>
      <w:r>
        <w:rPr>
          <w:rFonts w:hint="eastAsia" w:ascii="仿宋" w:hAnsi="仿宋" w:eastAsia="仿宋" w:cs="仿宋"/>
          <w:sz w:val="32"/>
          <w:szCs w:val="32"/>
          <w:lang w:val="en-US" w:eastAsia="zh-CN"/>
        </w:rPr>
        <w:t>小于</w:t>
      </w:r>
      <w:r>
        <w:rPr>
          <w:rFonts w:hint="eastAsia" w:ascii="仿宋" w:hAnsi="仿宋" w:eastAsia="仿宋" w:cs="仿宋"/>
          <w:sz w:val="32"/>
          <w:szCs w:val="32"/>
        </w:rPr>
        <w:t>年初预算数，主要原因是支出科目调剂</w:t>
      </w:r>
      <w:r>
        <w:rPr>
          <w:rFonts w:hint="eastAsia" w:ascii="仿宋" w:hAnsi="仿宋" w:eastAsia="仿宋" w:cs="仿宋"/>
          <w:sz w:val="32"/>
          <w:szCs w:val="32"/>
          <w:lang w:eastAsia="zh-CN"/>
        </w:rPr>
        <w:t>，</w:t>
      </w:r>
      <w:r>
        <w:rPr>
          <w:rFonts w:hint="eastAsia" w:ascii="仿宋" w:hAnsi="仿宋" w:eastAsia="仿宋" w:cs="仿宋"/>
          <w:sz w:val="32"/>
          <w:szCs w:val="32"/>
        </w:rPr>
        <w:t>导致本科目决算数减少。</w:t>
      </w:r>
    </w:p>
    <w:p w14:paraId="437E7D0E">
      <w:pPr>
        <w:pStyle w:val="14"/>
        <w:keepNext w:val="0"/>
        <w:keepLines w:val="0"/>
        <w:pageBreakBefore w:val="0"/>
        <w:kinsoku/>
        <w:wordWrap/>
        <w:topLinePunct w:val="0"/>
        <w:bidi w:val="0"/>
        <w:snapToGrid/>
        <w:spacing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11</w:t>
      </w:r>
      <w:r>
        <w:rPr>
          <w:rFonts w:hint="eastAsia" w:ascii="仿宋" w:hAnsi="仿宋" w:eastAsia="仿宋" w:cs="仿宋"/>
          <w:sz w:val="32"/>
          <w:szCs w:val="32"/>
        </w:rPr>
        <w:t>、卫生健康支出（类）行政事业单位医疗（款）</w:t>
      </w:r>
      <w:r>
        <w:rPr>
          <w:rFonts w:hint="eastAsia" w:ascii="仿宋" w:hAnsi="仿宋" w:eastAsia="仿宋" w:cs="仿宋"/>
          <w:sz w:val="32"/>
          <w:szCs w:val="32"/>
          <w:lang w:val="en-US" w:eastAsia="zh-CN"/>
        </w:rPr>
        <w:t>公务员医疗补助</w:t>
      </w:r>
      <w:r>
        <w:rPr>
          <w:rFonts w:hint="eastAsia" w:ascii="仿宋" w:hAnsi="仿宋" w:eastAsia="仿宋" w:cs="仿宋"/>
          <w:sz w:val="32"/>
          <w:szCs w:val="32"/>
        </w:rPr>
        <w:t>（项）。</w:t>
      </w:r>
    </w:p>
    <w:p w14:paraId="1D9104CB">
      <w:pPr>
        <w:pStyle w:val="14"/>
        <w:keepNext w:val="0"/>
        <w:keepLines w:val="0"/>
        <w:pageBreakBefore w:val="0"/>
        <w:kinsoku/>
        <w:wordWrap/>
        <w:topLinePunct w:val="0"/>
        <w:bidi w:val="0"/>
        <w:snapToGrid/>
        <w:spacing w:line="52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12.87</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0</w:t>
      </w:r>
      <w:r>
        <w:rPr>
          <w:rFonts w:hint="eastAsia" w:ascii="仿宋" w:hAnsi="仿宋" w:eastAsia="仿宋" w:cs="仿宋"/>
          <w:sz w:val="32"/>
          <w:szCs w:val="32"/>
        </w:rPr>
        <w:t>%，</w:t>
      </w:r>
      <w:r>
        <w:rPr>
          <w:rFonts w:hint="eastAsia" w:ascii="仿宋" w:hAnsi="仿宋" w:eastAsia="仿宋" w:cs="仿宋"/>
          <w:sz w:val="32"/>
          <w:szCs w:val="32"/>
          <w:lang w:val="en-US" w:eastAsia="zh-CN"/>
        </w:rPr>
        <w:t>主要原因是未支出公务员医疗补助。</w:t>
      </w:r>
    </w:p>
    <w:p w14:paraId="2D187F38">
      <w:pPr>
        <w:pStyle w:val="14"/>
        <w:keepNext w:val="0"/>
        <w:keepLines w:val="0"/>
        <w:pageBreakBefore w:val="0"/>
        <w:kinsoku/>
        <w:wordWrap/>
        <w:topLinePunct w:val="0"/>
        <w:bidi w:val="0"/>
        <w:snapToGrid/>
        <w:spacing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12、</w:t>
      </w:r>
      <w:r>
        <w:rPr>
          <w:rFonts w:hint="eastAsia" w:ascii="仿宋" w:hAnsi="仿宋" w:eastAsia="仿宋" w:cs="仿宋"/>
          <w:sz w:val="32"/>
          <w:szCs w:val="32"/>
        </w:rPr>
        <w:t>住房保障支出（类）住房改革支出（款）住房公积金（项）。</w:t>
      </w:r>
    </w:p>
    <w:p w14:paraId="6D40D851">
      <w:pPr>
        <w:pStyle w:val="14"/>
        <w:keepNext w:val="0"/>
        <w:keepLines w:val="0"/>
        <w:pageBreakBefore w:val="0"/>
        <w:kinsoku/>
        <w:wordWrap/>
        <w:topLinePunct w:val="0"/>
        <w:bidi w:val="0"/>
        <w:snapToGrid/>
        <w:spacing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年初预算为5</w:t>
      </w:r>
      <w:r>
        <w:rPr>
          <w:rFonts w:hint="eastAsia" w:ascii="仿宋" w:hAnsi="仿宋" w:eastAsia="仿宋" w:cs="仿宋"/>
          <w:sz w:val="32"/>
          <w:szCs w:val="32"/>
          <w:lang w:val="en-US" w:eastAsia="zh-CN"/>
        </w:rPr>
        <w:t>4.27</w:t>
      </w:r>
      <w:r>
        <w:rPr>
          <w:rFonts w:hint="eastAsia" w:ascii="仿宋" w:hAnsi="仿宋" w:eastAsia="仿宋" w:cs="仿宋"/>
          <w:sz w:val="32"/>
          <w:szCs w:val="32"/>
        </w:rPr>
        <w:t>万元，支出决算为5</w:t>
      </w:r>
      <w:r>
        <w:rPr>
          <w:rFonts w:hint="eastAsia" w:ascii="仿宋" w:hAnsi="仿宋" w:eastAsia="仿宋" w:cs="仿宋"/>
          <w:sz w:val="32"/>
          <w:szCs w:val="32"/>
          <w:lang w:val="en-US" w:eastAsia="zh-CN"/>
        </w:rPr>
        <w:t>4.27</w:t>
      </w:r>
      <w:r>
        <w:rPr>
          <w:rFonts w:hint="eastAsia" w:ascii="仿宋" w:hAnsi="仿宋" w:eastAsia="仿宋" w:cs="仿宋"/>
          <w:sz w:val="32"/>
          <w:szCs w:val="32"/>
        </w:rPr>
        <w:t>万元，完成年初预算的100%，决算数与预算数持平，是因为年度人员异动相对稳定。</w:t>
      </w:r>
    </w:p>
    <w:p w14:paraId="3DD692A8">
      <w:pPr>
        <w:pStyle w:val="14"/>
        <w:keepNext w:val="0"/>
        <w:keepLines w:val="0"/>
        <w:pageBreakBefore w:val="0"/>
        <w:numPr>
          <w:ilvl w:val="0"/>
          <w:numId w:val="1"/>
        </w:numPr>
        <w:kinsoku/>
        <w:wordWrap/>
        <w:topLinePunct w:val="0"/>
        <w:bidi w:val="0"/>
        <w:snapToGrid/>
        <w:spacing w:line="52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其他支出（类）其他支出（款）其他支出（项）。</w:t>
      </w:r>
    </w:p>
    <w:p w14:paraId="7E230B73">
      <w:pPr>
        <w:pStyle w:val="14"/>
        <w:keepNext w:val="0"/>
        <w:keepLines w:val="0"/>
        <w:pageBreakBefore w:val="0"/>
        <w:numPr>
          <w:ilvl w:val="0"/>
          <w:numId w:val="0"/>
        </w:numPr>
        <w:kinsoku/>
        <w:wordWrap/>
        <w:topLinePunct w:val="0"/>
        <w:bidi w:val="0"/>
        <w:snapToGrid/>
        <w:spacing w:line="520" w:lineRule="exact"/>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年初预算为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0.08</w:t>
      </w:r>
      <w:r>
        <w:rPr>
          <w:rFonts w:hint="eastAsia" w:ascii="仿宋" w:hAnsi="仿宋" w:eastAsia="仿宋" w:cs="仿宋"/>
          <w:sz w:val="32"/>
          <w:szCs w:val="32"/>
        </w:rPr>
        <w:t>万元，决算数</w:t>
      </w:r>
      <w:r>
        <w:rPr>
          <w:rFonts w:hint="eastAsia" w:ascii="仿宋" w:hAnsi="仿宋" w:eastAsia="仿宋" w:cs="仿宋"/>
          <w:sz w:val="32"/>
          <w:szCs w:val="32"/>
          <w:lang w:val="en-US" w:eastAsia="zh-CN"/>
        </w:rPr>
        <w:t>大于年初</w:t>
      </w:r>
      <w:r>
        <w:rPr>
          <w:rFonts w:hint="eastAsia" w:ascii="仿宋" w:hAnsi="仿宋" w:eastAsia="仿宋" w:cs="仿宋"/>
          <w:sz w:val="32"/>
          <w:szCs w:val="32"/>
        </w:rPr>
        <w:t>预算数</w:t>
      </w:r>
      <w:r>
        <w:rPr>
          <w:rFonts w:hint="eastAsia" w:ascii="仿宋" w:hAnsi="仿宋" w:eastAsia="仿宋" w:cs="仿宋"/>
          <w:sz w:val="32"/>
          <w:szCs w:val="32"/>
          <w:lang w:val="en-US" w:eastAsia="zh-CN"/>
        </w:rPr>
        <w:t>是因为年初预算未细化，列入其他支出。</w:t>
      </w:r>
    </w:p>
    <w:p w14:paraId="373E8BA2">
      <w:pPr>
        <w:pStyle w:val="14"/>
        <w:keepNext w:val="0"/>
        <w:keepLines w:val="0"/>
        <w:pageBreakBefore w:val="0"/>
        <w:widowControl w:val="0"/>
        <w:kinsoku/>
        <w:wordWrap/>
        <w:overflowPunct/>
        <w:topLinePunct w:val="0"/>
        <w:bidi w:val="0"/>
        <w:snapToGrid/>
        <w:spacing w:line="52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六、一般公共预算财政拨款基本支出决算情况说明</w:t>
      </w:r>
    </w:p>
    <w:p w14:paraId="293AEB61">
      <w:pPr>
        <w:pStyle w:val="14"/>
        <w:keepNext w:val="0"/>
        <w:keepLines w:val="0"/>
        <w:pageBreakBefore w:val="0"/>
        <w:widowControl w:val="0"/>
        <w:kinsoku/>
        <w:wordWrap/>
        <w:overflowPunct/>
        <w:topLinePunct w:val="0"/>
        <w:bidi w:val="0"/>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w:t>
      </w:r>
      <w:r>
        <w:rPr>
          <w:rFonts w:hint="eastAsia" w:ascii="仿宋" w:hAnsi="仿宋" w:eastAsia="仿宋" w:cs="仿宋"/>
          <w:sz w:val="32"/>
          <w:szCs w:val="32"/>
          <w:lang w:eastAsia="zh-CN"/>
        </w:rPr>
        <w:t>一般公共预算</w:t>
      </w:r>
      <w:r>
        <w:rPr>
          <w:rFonts w:hint="eastAsia" w:ascii="仿宋" w:hAnsi="仿宋" w:eastAsia="仿宋" w:cs="仿宋"/>
          <w:sz w:val="32"/>
          <w:szCs w:val="32"/>
        </w:rPr>
        <w:t>财政拨款基本支出</w:t>
      </w:r>
      <w:r>
        <w:rPr>
          <w:rFonts w:hint="eastAsia" w:ascii="仿宋" w:hAnsi="仿宋" w:eastAsia="仿宋" w:cs="仿宋"/>
          <w:sz w:val="32"/>
          <w:szCs w:val="32"/>
          <w:lang w:val="en-US" w:eastAsia="zh-CN"/>
        </w:rPr>
        <w:t>1085.02</w:t>
      </w:r>
      <w:r>
        <w:rPr>
          <w:rFonts w:hint="eastAsia" w:ascii="仿宋" w:hAnsi="仿宋" w:eastAsia="仿宋" w:cs="仿宋"/>
          <w:sz w:val="32"/>
          <w:szCs w:val="32"/>
        </w:rPr>
        <w:t>万元，其中：</w:t>
      </w:r>
    </w:p>
    <w:p w14:paraId="763B7849">
      <w:pPr>
        <w:pStyle w:val="14"/>
        <w:keepNext w:val="0"/>
        <w:keepLines w:val="0"/>
        <w:pageBreakBefore w:val="0"/>
        <w:kinsoku/>
        <w:wordWrap/>
        <w:topLinePunct w:val="0"/>
        <w:bidi w:val="0"/>
        <w:snapToGrid/>
        <w:spacing w:line="520" w:lineRule="exact"/>
        <w:ind w:firstLine="640" w:firstLineChars="200"/>
        <w:textAlignment w:val="auto"/>
        <w:rPr>
          <w:rFonts w:hint="eastAsia" w:ascii="仿宋" w:hAnsi="仿宋" w:eastAsia="仿宋" w:cs="仿宋"/>
          <w:color w:val="FF0000"/>
          <w:sz w:val="32"/>
          <w:szCs w:val="32"/>
          <w:lang w:eastAsia="zh-CN"/>
        </w:rPr>
      </w:pPr>
      <w:r>
        <w:rPr>
          <w:rFonts w:hint="eastAsia" w:ascii="仿宋" w:hAnsi="仿宋" w:eastAsia="仿宋" w:cs="仿宋"/>
          <w:b/>
          <w:bCs/>
          <w:sz w:val="32"/>
          <w:szCs w:val="32"/>
        </w:rPr>
        <w:t>人员经费</w:t>
      </w:r>
      <w:r>
        <w:rPr>
          <w:rFonts w:hint="eastAsia" w:ascii="仿宋" w:hAnsi="仿宋" w:eastAsia="仿宋" w:cs="仿宋"/>
          <w:b w:val="0"/>
          <w:bCs w:val="0"/>
          <w:sz w:val="32"/>
          <w:szCs w:val="32"/>
          <w:lang w:val="en-US" w:eastAsia="zh-CN"/>
        </w:rPr>
        <w:t>972.63</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89.64</w:t>
      </w:r>
      <w:r>
        <w:rPr>
          <w:rFonts w:hint="eastAsia" w:ascii="仿宋" w:hAnsi="仿宋" w:eastAsia="仿宋" w:cs="仿宋"/>
          <w:sz w:val="32"/>
          <w:szCs w:val="32"/>
        </w:rPr>
        <w:t>%,主要包括基本工资、津贴补贴、奖金、伙食补助费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绩效工资、</w:t>
      </w:r>
      <w:r>
        <w:rPr>
          <w:rFonts w:hint="eastAsia" w:ascii="仿宋" w:hAnsi="仿宋" w:eastAsia="仿宋" w:cs="仿宋"/>
          <w:sz w:val="32"/>
          <w:szCs w:val="32"/>
        </w:rPr>
        <w:t>机关事业单位基本养老保险缴费、职业年金缴费、职工基本医疗保险缴费、公务员医疗补助缴费、其他社会保障缴费、住房公积金、医疗费、其他工资福利支出、</w:t>
      </w:r>
      <w:r>
        <w:rPr>
          <w:rFonts w:hint="eastAsia" w:ascii="仿宋" w:hAnsi="仿宋" w:eastAsia="仿宋" w:cs="仿宋"/>
          <w:sz w:val="32"/>
          <w:szCs w:val="32"/>
          <w:lang w:val="en-US" w:eastAsia="zh-CN"/>
        </w:rPr>
        <w:t>对个人和家庭的补助、</w:t>
      </w:r>
      <w:r>
        <w:rPr>
          <w:rFonts w:hint="eastAsia" w:ascii="仿宋" w:hAnsi="仿宋" w:eastAsia="仿宋" w:cs="仿宋"/>
          <w:sz w:val="32"/>
          <w:szCs w:val="32"/>
        </w:rPr>
        <w:t>退休费、抚恤金、生活补助、医疗费补助、奖励金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其他对个人和家庭的补助</w:t>
      </w:r>
      <w:r>
        <w:rPr>
          <w:rFonts w:hint="eastAsia" w:ascii="仿宋" w:hAnsi="仿宋" w:eastAsia="仿宋" w:cs="仿宋"/>
          <w:sz w:val="32"/>
          <w:szCs w:val="32"/>
        </w:rPr>
        <w:t>。</w:t>
      </w:r>
    </w:p>
    <w:p w14:paraId="48A9DFBB">
      <w:pPr>
        <w:pStyle w:val="14"/>
        <w:keepNext w:val="0"/>
        <w:keepLines w:val="0"/>
        <w:pageBreakBefore w:val="0"/>
        <w:widowControl w:val="0"/>
        <w:kinsoku/>
        <w:wordWrap/>
        <w:overflowPunct/>
        <w:topLinePunct w:val="0"/>
        <w:bidi w:val="0"/>
        <w:snapToGrid/>
        <w:spacing w:line="52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bCs/>
          <w:sz w:val="32"/>
          <w:szCs w:val="32"/>
        </w:rPr>
        <w:t>公用经费</w:t>
      </w:r>
      <w:r>
        <w:rPr>
          <w:rFonts w:hint="eastAsia" w:ascii="仿宋" w:hAnsi="仿宋" w:eastAsia="仿宋" w:cs="仿宋"/>
          <w:b w:val="0"/>
          <w:bCs w:val="0"/>
          <w:sz w:val="32"/>
          <w:szCs w:val="32"/>
          <w:lang w:val="en-US" w:eastAsia="zh-CN"/>
        </w:rPr>
        <w:t>112.4</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10.36</w:t>
      </w:r>
      <w:r>
        <w:rPr>
          <w:rFonts w:hint="eastAsia" w:ascii="仿宋" w:hAnsi="仿宋" w:eastAsia="仿宋" w:cs="仿宋"/>
          <w:sz w:val="32"/>
          <w:szCs w:val="32"/>
        </w:rPr>
        <w:t>%，主要包括办公费、印刷费、咨询费、手续</w:t>
      </w:r>
      <w:r>
        <w:rPr>
          <w:rFonts w:hint="eastAsia" w:ascii="仿宋" w:hAnsi="仿宋" w:eastAsia="仿宋" w:cs="仿宋"/>
          <w:sz w:val="32"/>
          <w:szCs w:val="32"/>
          <w:lang w:val="en-US" w:eastAsia="zh-CN"/>
        </w:rPr>
        <w:t>费、水费、电费、邮电费、取暖费、物业管理费、差旅费、工会经费、福利费、公务用车运行维护费、其他交通费用、其他商品和服务支出</w:t>
      </w:r>
      <w:r>
        <w:rPr>
          <w:rFonts w:hint="eastAsia" w:ascii="仿宋" w:hAnsi="仿宋" w:eastAsia="仿宋" w:cs="仿宋"/>
          <w:sz w:val="32"/>
          <w:szCs w:val="32"/>
        </w:rPr>
        <w:t>。</w:t>
      </w:r>
    </w:p>
    <w:p w14:paraId="238B2762">
      <w:pPr>
        <w:pStyle w:val="14"/>
        <w:keepNext w:val="0"/>
        <w:keepLines w:val="0"/>
        <w:pageBreakBefore w:val="0"/>
        <w:widowControl w:val="0"/>
        <w:kinsoku/>
        <w:wordWrap/>
        <w:overflowPunct/>
        <w:topLinePunct w:val="0"/>
        <w:bidi w:val="0"/>
        <w:snapToGrid/>
        <w:spacing w:line="52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七、政府性基金预算收入支出决算情况</w:t>
      </w:r>
    </w:p>
    <w:p w14:paraId="7B96C244">
      <w:pPr>
        <w:pStyle w:val="21"/>
        <w:keepNext w:val="0"/>
        <w:keepLines w:val="0"/>
        <w:pageBreakBefore w:val="0"/>
        <w:kinsoku/>
        <w:wordWrap/>
        <w:topLinePunct w:val="0"/>
        <w:bidi w:val="0"/>
        <w:snapToGrid/>
        <w:spacing w:line="520" w:lineRule="exact"/>
        <w:ind w:firstLine="640" w:firstLineChars="200"/>
        <w:textAlignment w:val="auto"/>
        <w:rPr>
          <w:rFonts w:hint="eastAsia" w:ascii="仿宋" w:hAnsi="仿宋" w:eastAsia="仿宋" w:cs="仿宋"/>
          <w:b w:val="0"/>
          <w:bCs/>
          <w:color w:val="000000"/>
          <w:kern w:val="0"/>
          <w:sz w:val="32"/>
          <w:szCs w:val="32"/>
          <w:highlight w:val="none"/>
          <w:lang w:val="en-US" w:eastAsia="zh-CN" w:bidi="ar-SA"/>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年度政府性基金预算财政拨款收入0万元；年初结转和结余0万元；支出0万元，其中基本支出0万元，项目支出0万元；年末结转和结余0万元。</w:t>
      </w:r>
    </w:p>
    <w:p w14:paraId="24CC7F4F">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rPr>
          <w:rFonts w:hint="eastAsia" w:ascii="仿宋" w:hAnsi="仿宋" w:eastAsia="仿宋" w:cs="仿宋"/>
          <w:color w:val="000000"/>
          <w:kern w:val="0"/>
          <w:sz w:val="32"/>
          <w:szCs w:val="32"/>
          <w:highlight w:val="none"/>
          <w:lang w:val="en-US" w:eastAsia="zh-CN" w:bidi="ar-SA"/>
        </w:rPr>
      </w:pPr>
      <w:r>
        <w:rPr>
          <w:rFonts w:hint="eastAsia" w:ascii="仿宋" w:hAnsi="仿宋" w:eastAsia="仿宋" w:cs="仿宋"/>
          <w:b w:val="0"/>
          <w:bCs/>
          <w:color w:val="000000"/>
          <w:kern w:val="0"/>
          <w:sz w:val="32"/>
          <w:szCs w:val="32"/>
          <w:lang w:val="en-US" w:eastAsia="zh-CN" w:bidi="ar-SA"/>
        </w:rPr>
        <w:t>八、国有资本经营预算财政拨款支出决算情况</w:t>
      </w:r>
    </w:p>
    <w:p w14:paraId="64D19482">
      <w:pPr>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i w:val="0"/>
          <w:iCs/>
          <w:color w:val="auto"/>
          <w:kern w:val="0"/>
          <w:sz w:val="32"/>
          <w:szCs w:val="32"/>
          <w:lang w:val="en-US" w:eastAsia="zh-CN" w:bidi="ar-SA"/>
        </w:rPr>
        <w:t>2024年度国有资本经营预算财政拨款收入0万元；年初结转和结余0万；支出0万元，其中：基本支出0万元，项目支出0万元；年末结转和结余0万元。</w:t>
      </w:r>
    </w:p>
    <w:p w14:paraId="5876C252">
      <w:pPr>
        <w:pStyle w:val="14"/>
        <w:keepNext w:val="0"/>
        <w:keepLines w:val="0"/>
        <w:pageBreakBefore w:val="0"/>
        <w:widowControl w:val="0"/>
        <w:kinsoku/>
        <w:wordWrap/>
        <w:overflowPunct/>
        <w:topLinePunct w:val="0"/>
        <w:bidi w:val="0"/>
        <w:snapToGrid/>
        <w:spacing w:line="52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eastAsia="zh-CN"/>
        </w:rPr>
        <w:t>九、</w:t>
      </w:r>
      <w:r>
        <w:rPr>
          <w:rFonts w:hint="eastAsia" w:ascii="仿宋" w:hAnsi="仿宋" w:eastAsia="仿宋" w:cs="仿宋"/>
          <w:b w:val="0"/>
          <w:bCs/>
          <w:sz w:val="32"/>
          <w:szCs w:val="32"/>
        </w:rPr>
        <w:t>财政拨款三公经费支出决算情况说明</w:t>
      </w:r>
    </w:p>
    <w:p w14:paraId="6298EF1D">
      <w:pPr>
        <w:pStyle w:val="14"/>
        <w:keepNext w:val="0"/>
        <w:keepLines w:val="0"/>
        <w:pageBreakBefore w:val="0"/>
        <w:kinsoku/>
        <w:wordWrap/>
        <w:overflowPunct w:val="0"/>
        <w:topLinePunct w:val="0"/>
        <w:autoSpaceDE/>
        <w:autoSpaceDN/>
        <w:bidi w:val="0"/>
        <w:snapToGrid/>
        <w:spacing w:line="520" w:lineRule="exact"/>
        <w:ind w:firstLine="640" w:firstLineChars="200"/>
        <w:jc w:val="both"/>
        <w:textAlignment w:val="auto"/>
        <w:rPr>
          <w:rFonts w:hint="eastAsia" w:ascii="仿宋" w:hAnsi="仿宋" w:eastAsia="仿宋" w:cs="仿宋"/>
          <w:b/>
          <w:sz w:val="32"/>
          <w:szCs w:val="32"/>
        </w:rPr>
      </w:pPr>
      <w:r>
        <w:rPr>
          <w:rFonts w:hint="eastAsia" w:ascii="仿宋" w:hAnsi="仿宋" w:eastAsia="仿宋" w:cs="仿宋"/>
          <w:b/>
          <w:sz w:val="32"/>
          <w:szCs w:val="32"/>
        </w:rPr>
        <w:t>（一）</w:t>
      </w:r>
      <w:r>
        <w:rPr>
          <w:rFonts w:hint="eastAsia" w:ascii="仿宋" w:hAnsi="仿宋" w:eastAsia="仿宋" w:cs="仿宋"/>
          <w:b/>
          <w:sz w:val="32"/>
          <w:szCs w:val="32"/>
          <w:lang w:eastAsia="zh-CN"/>
        </w:rPr>
        <w:t>“三公”</w:t>
      </w:r>
      <w:r>
        <w:rPr>
          <w:rFonts w:hint="eastAsia" w:ascii="仿宋" w:hAnsi="仿宋" w:eastAsia="仿宋" w:cs="仿宋"/>
          <w:b/>
          <w:sz w:val="32"/>
          <w:szCs w:val="32"/>
        </w:rPr>
        <w:t>经费财政拨款支出决算总体情况说明</w:t>
      </w:r>
    </w:p>
    <w:p w14:paraId="730E9443">
      <w:pPr>
        <w:pStyle w:val="14"/>
        <w:keepNext w:val="0"/>
        <w:keepLines w:val="0"/>
        <w:pageBreakBefore w:val="0"/>
        <w:kinsoku/>
        <w:wordWrap/>
        <w:overflowPunct w:val="0"/>
        <w:topLinePunct w:val="0"/>
        <w:autoSpaceDE/>
        <w:autoSpaceDN/>
        <w:bidi w:val="0"/>
        <w:snapToGrid/>
        <w:spacing w:line="520" w:lineRule="exact"/>
        <w:ind w:firstLine="640" w:firstLineChars="200"/>
        <w:jc w:val="both"/>
        <w:textAlignment w:val="auto"/>
        <w:rPr>
          <w:rFonts w:hint="eastAsia" w:ascii="仿宋" w:hAnsi="仿宋" w:eastAsia="仿宋" w:cs="仿宋"/>
          <w:sz w:val="32"/>
          <w:szCs w:val="32"/>
          <w:highlight w:val="yellow"/>
        </w:rPr>
      </w:pPr>
      <w:r>
        <w:rPr>
          <w:rFonts w:hint="eastAsia" w:ascii="仿宋" w:hAnsi="仿宋" w:eastAsia="仿宋" w:cs="仿宋"/>
          <w:sz w:val="32"/>
          <w:szCs w:val="32"/>
        </w:rPr>
        <w:t>2024年度“三公”经费财政拨款支出预算为</w:t>
      </w:r>
      <w:r>
        <w:rPr>
          <w:rFonts w:hint="eastAsia" w:ascii="仿宋" w:hAnsi="仿宋" w:eastAsia="仿宋" w:cs="仿宋"/>
          <w:sz w:val="32"/>
          <w:szCs w:val="32"/>
          <w:lang w:val="en-US" w:eastAsia="zh-CN"/>
        </w:rPr>
        <w:t>12.5</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12.5</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%；与上年相比增加</w:t>
      </w:r>
      <w:r>
        <w:rPr>
          <w:rFonts w:hint="eastAsia" w:ascii="仿宋" w:hAnsi="仿宋" w:eastAsia="仿宋" w:cs="仿宋"/>
          <w:sz w:val="32"/>
          <w:szCs w:val="32"/>
          <w:lang w:val="en-US" w:eastAsia="zh-CN"/>
        </w:rPr>
        <w:t>7.06</w:t>
      </w:r>
      <w:r>
        <w:rPr>
          <w:rFonts w:hint="eastAsia" w:ascii="仿宋" w:hAnsi="仿宋" w:eastAsia="仿宋" w:cs="仿宋"/>
          <w:sz w:val="32"/>
          <w:szCs w:val="32"/>
        </w:rPr>
        <w:t>万元，增长</w:t>
      </w:r>
      <w:r>
        <w:rPr>
          <w:rFonts w:hint="eastAsia" w:ascii="仿宋" w:hAnsi="仿宋" w:eastAsia="仿宋" w:cs="仿宋"/>
          <w:sz w:val="32"/>
          <w:szCs w:val="32"/>
          <w:lang w:val="en-US" w:eastAsia="zh-CN"/>
        </w:rPr>
        <w:t>129.78</w:t>
      </w:r>
      <w:r>
        <w:rPr>
          <w:rFonts w:hint="eastAsia" w:ascii="仿宋" w:hAnsi="仿宋" w:eastAsia="仿宋" w:cs="仿宋"/>
          <w:sz w:val="32"/>
          <w:szCs w:val="32"/>
        </w:rPr>
        <w:t>%。决算数</w:t>
      </w:r>
      <w:r>
        <w:rPr>
          <w:rFonts w:hint="eastAsia" w:ascii="仿宋" w:hAnsi="仿宋" w:eastAsia="仿宋" w:cs="仿宋"/>
          <w:sz w:val="32"/>
          <w:szCs w:val="32"/>
          <w:lang w:val="en-US" w:eastAsia="zh-CN"/>
        </w:rPr>
        <w:t>等</w:t>
      </w:r>
      <w:r>
        <w:rPr>
          <w:rFonts w:hint="eastAsia" w:ascii="仿宋" w:hAnsi="仿宋" w:eastAsia="仿宋" w:cs="仿宋"/>
          <w:sz w:val="32"/>
          <w:szCs w:val="32"/>
        </w:rPr>
        <w:t>于预算数的主要原因是</w:t>
      </w:r>
      <w:r>
        <w:rPr>
          <w:rFonts w:hint="eastAsia" w:ascii="仿宋" w:hAnsi="仿宋" w:eastAsia="仿宋" w:cs="仿宋"/>
          <w:sz w:val="32"/>
          <w:szCs w:val="32"/>
          <w:lang w:val="en-US" w:eastAsia="zh-CN"/>
        </w:rPr>
        <w:t>严格按预算控制决算</w:t>
      </w:r>
      <w:r>
        <w:rPr>
          <w:rFonts w:hint="eastAsia" w:ascii="仿宋" w:hAnsi="仿宋" w:eastAsia="仿宋" w:cs="仿宋"/>
          <w:sz w:val="32"/>
          <w:szCs w:val="32"/>
        </w:rPr>
        <w:t>。决算数大于上年数的主要原因是</w:t>
      </w:r>
      <w:r>
        <w:rPr>
          <w:rFonts w:hint="eastAsia" w:ascii="仿宋" w:hAnsi="仿宋" w:eastAsia="仿宋" w:cs="仿宋"/>
          <w:sz w:val="32"/>
          <w:szCs w:val="32"/>
          <w:lang w:val="en-US" w:eastAsia="zh-CN"/>
        </w:rPr>
        <w:t>公务用车运行维护费</w:t>
      </w:r>
      <w:r>
        <w:rPr>
          <w:rFonts w:hint="eastAsia" w:ascii="仿宋" w:hAnsi="仿宋" w:eastAsia="仿宋" w:cs="仿宋"/>
          <w:sz w:val="32"/>
          <w:szCs w:val="32"/>
        </w:rPr>
        <w:t>车辆老化</w:t>
      </w:r>
      <w:r>
        <w:rPr>
          <w:rFonts w:hint="eastAsia" w:ascii="仿宋" w:hAnsi="仿宋" w:eastAsia="仿宋" w:cs="仿宋"/>
          <w:sz w:val="32"/>
          <w:szCs w:val="32"/>
          <w:lang w:val="en-US" w:eastAsia="zh-CN"/>
        </w:rPr>
        <w:t>致使小汽车油料费</w:t>
      </w:r>
      <w:r>
        <w:rPr>
          <w:rFonts w:hint="eastAsia" w:ascii="仿宋" w:hAnsi="仿宋" w:eastAsia="仿宋" w:cs="仿宋"/>
          <w:sz w:val="32"/>
          <w:szCs w:val="32"/>
          <w:lang w:eastAsia="zh-CN"/>
        </w:rPr>
        <w:t>，</w:t>
      </w:r>
      <w:r>
        <w:rPr>
          <w:rFonts w:hint="eastAsia" w:ascii="仿宋" w:hAnsi="仿宋" w:eastAsia="仿宋" w:cs="仿宋"/>
          <w:sz w:val="32"/>
          <w:szCs w:val="32"/>
        </w:rPr>
        <w:t>维修频率和费用上升。</w:t>
      </w:r>
    </w:p>
    <w:p w14:paraId="352D03A7">
      <w:pPr>
        <w:pStyle w:val="14"/>
        <w:keepNext w:val="0"/>
        <w:keepLines w:val="0"/>
        <w:pageBreakBefore w:val="0"/>
        <w:kinsoku/>
        <w:wordWrap/>
        <w:overflowPunct w:val="0"/>
        <w:topLinePunct w:val="0"/>
        <w:autoSpaceDE/>
        <w:autoSpaceDN/>
        <w:bidi w:val="0"/>
        <w:snapToGrid/>
        <w:spacing w:line="520" w:lineRule="exact"/>
        <w:ind w:firstLine="640" w:firstLineChars="200"/>
        <w:jc w:val="both"/>
        <w:textAlignment w:val="auto"/>
        <w:rPr>
          <w:rFonts w:hint="eastAsia" w:ascii="仿宋" w:hAnsi="仿宋" w:eastAsia="仿宋" w:cs="仿宋"/>
          <w:b/>
          <w:sz w:val="32"/>
          <w:szCs w:val="32"/>
        </w:rPr>
      </w:pPr>
      <w:r>
        <w:rPr>
          <w:rFonts w:hint="eastAsia" w:ascii="仿宋" w:hAnsi="仿宋" w:eastAsia="仿宋" w:cs="仿宋"/>
          <w:b/>
          <w:sz w:val="32"/>
          <w:szCs w:val="32"/>
        </w:rPr>
        <w:t>（二）</w:t>
      </w:r>
      <w:r>
        <w:rPr>
          <w:rFonts w:hint="eastAsia" w:ascii="仿宋" w:hAnsi="仿宋" w:eastAsia="仿宋" w:cs="仿宋"/>
          <w:b/>
          <w:sz w:val="32"/>
          <w:szCs w:val="32"/>
          <w:lang w:eastAsia="zh-CN"/>
        </w:rPr>
        <w:t>“三公”</w:t>
      </w:r>
      <w:r>
        <w:rPr>
          <w:rFonts w:hint="eastAsia" w:ascii="仿宋" w:hAnsi="仿宋" w:eastAsia="仿宋" w:cs="仿宋"/>
          <w:b/>
          <w:sz w:val="32"/>
          <w:szCs w:val="32"/>
        </w:rPr>
        <w:t>经费财政拨款支出决算具体情况说明</w:t>
      </w:r>
    </w:p>
    <w:p w14:paraId="1CF083E8">
      <w:pPr>
        <w:pStyle w:val="14"/>
        <w:keepNext w:val="0"/>
        <w:keepLines w:val="0"/>
        <w:pageBreakBefore w:val="0"/>
        <w:kinsoku/>
        <w:wordWrap/>
        <w:overflowPunct w:val="0"/>
        <w:topLinePunct w:val="0"/>
        <w:autoSpaceDE/>
        <w:autoSpaceDN/>
        <w:bidi w:val="0"/>
        <w:snapToGrid/>
        <w:spacing w:line="520" w:lineRule="exact"/>
        <w:ind w:firstLine="640" w:firstLineChars="200"/>
        <w:jc w:val="both"/>
        <w:textAlignment w:val="auto"/>
        <w:rPr>
          <w:rFonts w:hint="eastAsia" w:ascii="仿宋" w:hAnsi="仿宋" w:eastAsia="仿宋" w:cs="仿宋"/>
          <w:b/>
          <w:bCs/>
          <w:i/>
          <w:color w:val="auto"/>
          <w:sz w:val="32"/>
          <w:szCs w:val="32"/>
        </w:rPr>
      </w:pPr>
      <w:r>
        <w:rPr>
          <w:rFonts w:hint="eastAsia" w:ascii="仿宋" w:hAnsi="仿宋" w:eastAsia="仿宋" w:cs="仿宋"/>
          <w:sz w:val="32"/>
          <w:szCs w:val="32"/>
        </w:rPr>
        <w:t>1.</w:t>
      </w:r>
      <w:r>
        <w:rPr>
          <w:rFonts w:hint="eastAsia" w:ascii="仿宋" w:hAnsi="仿宋" w:eastAsia="仿宋" w:cs="仿宋"/>
          <w:color w:val="auto"/>
          <w:sz w:val="32"/>
          <w:szCs w:val="32"/>
        </w:rPr>
        <w:t>因公出国（境）费支出预算为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万元，支出决算为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决算数等于预算数</w:t>
      </w:r>
      <w:r>
        <w:rPr>
          <w:rFonts w:hint="eastAsia" w:ascii="仿宋" w:hAnsi="仿宋" w:eastAsia="仿宋" w:cs="仿宋"/>
          <w:color w:val="auto"/>
          <w:sz w:val="32"/>
          <w:szCs w:val="32"/>
          <w:lang w:val="en-US" w:eastAsia="zh-CN"/>
        </w:rPr>
        <w:t>，主要原因是我单位严格按预算执行决算</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与上年一致，无增减变动，主要原因是未安排因公出国（境）活动。</w:t>
      </w:r>
      <w:r>
        <w:rPr>
          <w:rFonts w:hint="eastAsia" w:ascii="仿宋" w:hAnsi="仿宋" w:eastAsia="仿宋" w:cs="仿宋"/>
          <w:color w:val="auto"/>
          <w:sz w:val="32"/>
          <w:szCs w:val="32"/>
        </w:rPr>
        <w:t>2024年度安排因公出国（境）团组</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个，累计</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人次</w:t>
      </w:r>
      <w:r>
        <w:rPr>
          <w:rFonts w:hint="eastAsia" w:ascii="仿宋" w:hAnsi="仿宋" w:eastAsia="仿宋" w:cs="仿宋"/>
          <w:color w:val="auto"/>
          <w:sz w:val="32"/>
          <w:szCs w:val="32"/>
          <w:lang w:eastAsia="zh-CN"/>
        </w:rPr>
        <w:t>。</w:t>
      </w:r>
    </w:p>
    <w:p w14:paraId="65978CAB">
      <w:pPr>
        <w:pStyle w:val="14"/>
        <w:keepNext w:val="0"/>
        <w:keepLines w:val="0"/>
        <w:pageBreakBefore w:val="0"/>
        <w:kinsoku/>
        <w:wordWrap/>
        <w:overflowPunct w:val="0"/>
        <w:topLinePunct w:val="0"/>
        <w:autoSpaceDE/>
        <w:autoSpaceDN/>
        <w:bidi w:val="0"/>
        <w:snapToGrid/>
        <w:spacing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2.公务用车购置费及运行维护费支出预算为</w:t>
      </w:r>
      <w:r>
        <w:rPr>
          <w:rFonts w:hint="eastAsia" w:ascii="仿宋" w:hAnsi="仿宋" w:eastAsia="仿宋" w:cs="仿宋"/>
          <w:sz w:val="32"/>
          <w:szCs w:val="32"/>
          <w:lang w:val="en-US" w:eastAsia="zh-CN"/>
        </w:rPr>
        <w:t>11.03</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11.03</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%；与上年相比增加</w:t>
      </w:r>
      <w:r>
        <w:rPr>
          <w:rFonts w:hint="eastAsia" w:ascii="仿宋" w:hAnsi="仿宋" w:eastAsia="仿宋" w:cs="仿宋"/>
          <w:sz w:val="32"/>
          <w:szCs w:val="32"/>
          <w:lang w:val="en-US" w:eastAsia="zh-CN"/>
        </w:rPr>
        <w:t>7.22</w:t>
      </w:r>
      <w:r>
        <w:rPr>
          <w:rFonts w:hint="eastAsia" w:ascii="仿宋" w:hAnsi="仿宋" w:eastAsia="仿宋" w:cs="仿宋"/>
          <w:sz w:val="32"/>
          <w:szCs w:val="32"/>
        </w:rPr>
        <w:t>万元，增长</w:t>
      </w:r>
      <w:r>
        <w:rPr>
          <w:rFonts w:hint="eastAsia" w:ascii="仿宋" w:hAnsi="仿宋" w:eastAsia="仿宋" w:cs="仿宋"/>
          <w:sz w:val="32"/>
          <w:szCs w:val="32"/>
          <w:lang w:val="en-US" w:eastAsia="zh-CN"/>
        </w:rPr>
        <w:t>189.5</w:t>
      </w:r>
      <w:r>
        <w:rPr>
          <w:rFonts w:hint="eastAsia" w:ascii="仿宋" w:hAnsi="仿宋" w:eastAsia="仿宋" w:cs="仿宋"/>
          <w:sz w:val="32"/>
          <w:szCs w:val="32"/>
        </w:rPr>
        <w:t>%。其中：</w:t>
      </w:r>
    </w:p>
    <w:p w14:paraId="21DB2FD0">
      <w:pPr>
        <w:pStyle w:val="14"/>
        <w:keepNext w:val="0"/>
        <w:keepLines w:val="0"/>
        <w:pageBreakBefore w:val="0"/>
        <w:kinsoku/>
        <w:wordWrap/>
        <w:overflowPunct w:val="0"/>
        <w:topLinePunct w:val="0"/>
        <w:autoSpaceDE/>
        <w:autoSpaceDN/>
        <w:bidi w:val="0"/>
        <w:snapToGrid/>
        <w:spacing w:line="520" w:lineRule="exact"/>
        <w:ind w:firstLine="640" w:firstLineChars="200"/>
        <w:jc w:val="both"/>
        <w:textAlignment w:val="auto"/>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公务用车购置费支出预算为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万元，支出决算为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val="en-US" w:eastAsia="zh-CN"/>
          <w14:textFill>
            <w14:solidFill>
              <w14:schemeClr w14:val="tx1"/>
            </w14:solidFill>
          </w14:textFill>
        </w:rPr>
        <w:t>决算数等于预算数，主要原因是我单位严格按预算执行决算</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与上年一致，无增减变动，主要原因是两年均未购置公务用车。本单位</w:t>
      </w:r>
      <w:r>
        <w:rPr>
          <w:rFonts w:hint="eastAsia" w:ascii="仿宋" w:hAnsi="仿宋" w:eastAsia="仿宋" w:cs="仿宋"/>
          <w:color w:val="000000" w:themeColor="text1"/>
          <w:sz w:val="32"/>
          <w:szCs w:val="32"/>
          <w14:textFill>
            <w14:solidFill>
              <w14:schemeClr w14:val="tx1"/>
            </w14:solidFill>
          </w14:textFill>
        </w:rPr>
        <w:t>更新公务用车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辆</w:t>
      </w:r>
      <w:r>
        <w:rPr>
          <w:rFonts w:hint="eastAsia" w:ascii="仿宋" w:hAnsi="仿宋" w:eastAsia="仿宋" w:cs="仿宋"/>
          <w:color w:val="000000" w:themeColor="text1"/>
          <w:sz w:val="32"/>
          <w:szCs w:val="32"/>
          <w:lang w:eastAsia="zh-CN"/>
          <w14:textFill>
            <w14:solidFill>
              <w14:schemeClr w14:val="tx1"/>
            </w14:solidFill>
          </w14:textFill>
        </w:rPr>
        <w:t>。</w:t>
      </w:r>
    </w:p>
    <w:p w14:paraId="75A272CE">
      <w:pPr>
        <w:pStyle w:val="14"/>
        <w:keepNext w:val="0"/>
        <w:keepLines w:val="0"/>
        <w:pageBreakBefore w:val="0"/>
        <w:kinsoku/>
        <w:wordWrap/>
        <w:topLinePunct w:val="0"/>
        <w:bidi w:val="0"/>
        <w:snapToGrid/>
        <w:spacing w:line="520" w:lineRule="exact"/>
        <w:ind w:firstLine="640" w:firstLineChars="200"/>
        <w:jc w:val="both"/>
        <w:textAlignment w:val="auto"/>
        <w:rPr>
          <w:rFonts w:hint="eastAsia" w:ascii="仿宋" w:hAnsi="仿宋" w:eastAsia="仿宋" w:cs="仿宋"/>
          <w:b/>
          <w:bCs/>
          <w:i/>
          <w:color w:val="FF0000"/>
          <w:sz w:val="32"/>
          <w:szCs w:val="32"/>
        </w:rPr>
      </w:pPr>
      <w:r>
        <w:rPr>
          <w:rFonts w:hint="eastAsia" w:ascii="仿宋" w:hAnsi="仿宋" w:eastAsia="仿宋" w:cs="仿宋"/>
          <w:sz w:val="32"/>
          <w:szCs w:val="32"/>
        </w:rPr>
        <w:t>公务用车运行维护费支出预算为</w:t>
      </w:r>
      <w:r>
        <w:rPr>
          <w:rFonts w:hint="eastAsia" w:ascii="仿宋" w:hAnsi="仿宋" w:eastAsia="仿宋" w:cs="仿宋"/>
          <w:sz w:val="32"/>
          <w:szCs w:val="32"/>
          <w:lang w:val="en-US" w:eastAsia="zh-CN"/>
        </w:rPr>
        <w:t>11.03</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11.03</w:t>
      </w:r>
      <w:r>
        <w:rPr>
          <w:rFonts w:hint="eastAsia" w:ascii="仿宋" w:hAnsi="仿宋" w:eastAsia="仿宋" w:cs="仿宋"/>
          <w:sz w:val="32"/>
          <w:szCs w:val="32"/>
        </w:rPr>
        <w:t>万元，</w:t>
      </w:r>
      <w:r>
        <w:rPr>
          <w:rFonts w:hint="eastAsia" w:ascii="仿宋" w:hAnsi="仿宋" w:eastAsia="仿宋" w:cs="仿宋"/>
          <w:sz w:val="32"/>
          <w:szCs w:val="32"/>
          <w:lang w:val="en-US" w:eastAsia="zh-CN"/>
        </w:rPr>
        <w:t>主要是公务用车油料费、维护费、车辆保险、通行费支出，</w:t>
      </w:r>
      <w:r>
        <w:rPr>
          <w:rFonts w:hint="eastAsia" w:ascii="仿宋" w:hAnsi="仿宋" w:eastAsia="仿宋" w:cs="仿宋"/>
          <w:sz w:val="32"/>
          <w:szCs w:val="32"/>
        </w:rPr>
        <w:t>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与上年相比增加</w:t>
      </w:r>
      <w:r>
        <w:rPr>
          <w:rFonts w:hint="eastAsia" w:ascii="仿宋" w:hAnsi="仿宋" w:eastAsia="仿宋" w:cs="仿宋"/>
          <w:sz w:val="32"/>
          <w:szCs w:val="32"/>
          <w:lang w:val="en-US" w:eastAsia="zh-CN"/>
        </w:rPr>
        <w:t>7.22</w:t>
      </w:r>
      <w:r>
        <w:rPr>
          <w:rFonts w:hint="eastAsia" w:ascii="仿宋" w:hAnsi="仿宋" w:eastAsia="仿宋" w:cs="仿宋"/>
          <w:sz w:val="32"/>
          <w:szCs w:val="32"/>
        </w:rPr>
        <w:t>万元，增长</w:t>
      </w:r>
      <w:r>
        <w:rPr>
          <w:rFonts w:hint="eastAsia" w:ascii="仿宋" w:hAnsi="仿宋" w:eastAsia="仿宋" w:cs="仿宋"/>
          <w:sz w:val="32"/>
          <w:szCs w:val="32"/>
          <w:lang w:val="en-US" w:eastAsia="zh-CN"/>
        </w:rPr>
        <w:t>189.5</w:t>
      </w:r>
      <w:r>
        <w:rPr>
          <w:rFonts w:hint="eastAsia" w:ascii="仿宋" w:hAnsi="仿宋" w:eastAsia="仿宋" w:cs="仿宋"/>
          <w:sz w:val="32"/>
          <w:szCs w:val="32"/>
        </w:rPr>
        <w:t>%。决算数</w:t>
      </w:r>
      <w:r>
        <w:rPr>
          <w:rFonts w:hint="eastAsia" w:ascii="仿宋" w:hAnsi="仿宋" w:eastAsia="仿宋" w:cs="仿宋"/>
          <w:sz w:val="32"/>
          <w:szCs w:val="32"/>
          <w:lang w:val="en-US" w:eastAsia="zh-CN"/>
        </w:rPr>
        <w:t>等于</w:t>
      </w:r>
      <w:r>
        <w:rPr>
          <w:rFonts w:hint="eastAsia" w:ascii="仿宋" w:hAnsi="仿宋" w:eastAsia="仿宋" w:cs="仿宋"/>
          <w:sz w:val="32"/>
          <w:szCs w:val="32"/>
        </w:rPr>
        <w:t>预算数的主要原因是</w:t>
      </w:r>
      <w:r>
        <w:rPr>
          <w:rFonts w:hint="eastAsia" w:ascii="仿宋" w:hAnsi="仿宋" w:eastAsia="仿宋" w:cs="仿宋"/>
          <w:bCs/>
          <w:sz w:val="32"/>
          <w:szCs w:val="32"/>
        </w:rPr>
        <w:t>我单位严格按预算执行决算</w:t>
      </w:r>
      <w:r>
        <w:rPr>
          <w:rFonts w:hint="eastAsia" w:ascii="仿宋" w:hAnsi="仿宋" w:eastAsia="仿宋" w:cs="仿宋"/>
          <w:bCs/>
          <w:sz w:val="32"/>
          <w:szCs w:val="32"/>
          <w:lang w:eastAsia="zh-CN"/>
        </w:rPr>
        <w:t>。</w:t>
      </w:r>
      <w:r>
        <w:rPr>
          <w:rFonts w:hint="eastAsia" w:ascii="仿宋" w:hAnsi="仿宋" w:eastAsia="仿宋" w:cs="仿宋"/>
          <w:sz w:val="32"/>
          <w:szCs w:val="32"/>
        </w:rPr>
        <w:t>决算数大于上年数的主要原因是202</w:t>
      </w:r>
      <w:r>
        <w:rPr>
          <w:rFonts w:hint="eastAsia" w:ascii="仿宋" w:hAnsi="仿宋" w:eastAsia="仿宋" w:cs="仿宋"/>
          <w:sz w:val="32"/>
          <w:szCs w:val="32"/>
          <w:lang w:val="en-US" w:eastAsia="zh-CN"/>
        </w:rPr>
        <w:t>4</w:t>
      </w:r>
      <w:r>
        <w:rPr>
          <w:rFonts w:hint="eastAsia" w:ascii="仿宋" w:hAnsi="仿宋" w:eastAsia="仿宋" w:cs="仿宋"/>
          <w:sz w:val="32"/>
          <w:szCs w:val="32"/>
        </w:rPr>
        <w:t>年我单位车辆老化</w:t>
      </w:r>
      <w:r>
        <w:rPr>
          <w:rFonts w:hint="eastAsia" w:ascii="仿宋" w:hAnsi="仿宋" w:eastAsia="仿宋" w:cs="仿宋"/>
          <w:sz w:val="32"/>
          <w:szCs w:val="32"/>
          <w:lang w:val="en-US" w:eastAsia="zh-CN"/>
        </w:rPr>
        <w:t>致使小汽车油料费</w:t>
      </w:r>
      <w:r>
        <w:rPr>
          <w:rFonts w:hint="eastAsia" w:ascii="仿宋" w:hAnsi="仿宋" w:eastAsia="仿宋" w:cs="仿宋"/>
          <w:sz w:val="32"/>
          <w:szCs w:val="32"/>
          <w:lang w:eastAsia="zh-CN"/>
        </w:rPr>
        <w:t>，</w:t>
      </w:r>
      <w:r>
        <w:rPr>
          <w:rFonts w:hint="eastAsia" w:ascii="仿宋" w:hAnsi="仿宋" w:eastAsia="仿宋" w:cs="仿宋"/>
          <w:sz w:val="32"/>
          <w:szCs w:val="32"/>
        </w:rPr>
        <w:t>维修频率和费用上升。</w:t>
      </w:r>
      <w:r>
        <w:rPr>
          <w:rFonts w:hint="eastAsia" w:ascii="仿宋" w:hAnsi="仿宋" w:eastAsia="仿宋" w:cs="仿宋"/>
          <w:sz w:val="32"/>
          <w:szCs w:val="32"/>
          <w:highlight w:val="none"/>
        </w:rPr>
        <w:t>截止</w:t>
      </w:r>
      <w:r>
        <w:rPr>
          <w:rFonts w:hint="eastAsia" w:ascii="仿宋" w:hAnsi="仿宋" w:eastAsia="仿宋" w:cs="仿宋"/>
          <w:sz w:val="32"/>
          <w:szCs w:val="32"/>
          <w:highlight w:val="none"/>
          <w:lang w:eastAsia="zh-CN"/>
        </w:rPr>
        <w:t>到</w:t>
      </w:r>
      <w:r>
        <w:rPr>
          <w:rFonts w:hint="eastAsia" w:ascii="仿宋" w:hAnsi="仿宋" w:eastAsia="仿宋" w:cs="仿宋"/>
          <w:sz w:val="32"/>
          <w:szCs w:val="32"/>
        </w:rPr>
        <w:t>2024年12月31日，我单位开支财政拨款的公务用车保有量为</w:t>
      </w:r>
      <w:r>
        <w:rPr>
          <w:rFonts w:hint="eastAsia" w:ascii="仿宋" w:hAnsi="仿宋" w:eastAsia="仿宋" w:cs="仿宋"/>
          <w:sz w:val="32"/>
          <w:szCs w:val="32"/>
          <w:lang w:val="en-US" w:eastAsia="zh-CN"/>
        </w:rPr>
        <w:t>3</w:t>
      </w:r>
      <w:r>
        <w:rPr>
          <w:rFonts w:hint="eastAsia" w:ascii="仿宋" w:hAnsi="仿宋" w:eastAsia="仿宋" w:cs="仿宋"/>
          <w:sz w:val="32"/>
          <w:szCs w:val="32"/>
        </w:rPr>
        <w:t>辆。</w:t>
      </w:r>
    </w:p>
    <w:p w14:paraId="039328FA">
      <w:pPr>
        <w:pStyle w:val="14"/>
        <w:keepNext w:val="0"/>
        <w:keepLines w:val="0"/>
        <w:pageBreakBefore w:val="0"/>
        <w:kinsoku/>
        <w:wordWrap/>
        <w:topLinePunct w:val="0"/>
        <w:bidi w:val="0"/>
        <w:snapToGrid/>
        <w:spacing w:line="520" w:lineRule="exact"/>
        <w:ind w:firstLine="640" w:firstLineChars="200"/>
        <w:jc w:val="both"/>
        <w:textAlignment w:val="auto"/>
        <w:rPr>
          <w:rFonts w:hint="eastAsia" w:ascii="仿宋" w:hAnsi="仿宋" w:eastAsia="仿宋" w:cs="仿宋"/>
          <w:b/>
          <w:color w:val="auto"/>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公务接待费支出预算为</w:t>
      </w:r>
      <w:r>
        <w:rPr>
          <w:rFonts w:hint="eastAsia" w:ascii="仿宋" w:hAnsi="仿宋" w:eastAsia="仿宋" w:cs="仿宋"/>
          <w:sz w:val="32"/>
          <w:szCs w:val="32"/>
          <w:lang w:val="en-US" w:eastAsia="zh-CN"/>
        </w:rPr>
        <w:t>1.47</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1.47</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%；与上年相比</w:t>
      </w:r>
      <w:r>
        <w:rPr>
          <w:rFonts w:hint="eastAsia" w:ascii="仿宋" w:hAnsi="仿宋" w:eastAsia="仿宋" w:cs="仿宋"/>
          <w:sz w:val="32"/>
          <w:szCs w:val="32"/>
          <w:lang w:val="en-US" w:eastAsia="zh-CN"/>
        </w:rPr>
        <w:t>减少0.16</w:t>
      </w:r>
      <w:r>
        <w:rPr>
          <w:rFonts w:hint="eastAsia" w:ascii="仿宋" w:hAnsi="仿宋" w:eastAsia="仿宋" w:cs="仿宋"/>
          <w:sz w:val="32"/>
          <w:szCs w:val="32"/>
        </w:rPr>
        <w:t>万元，</w:t>
      </w:r>
      <w:r>
        <w:rPr>
          <w:rFonts w:hint="eastAsia" w:ascii="仿宋" w:hAnsi="仿宋" w:eastAsia="仿宋" w:cs="仿宋"/>
          <w:sz w:val="32"/>
          <w:szCs w:val="32"/>
          <w:lang w:val="en-US" w:eastAsia="zh-CN"/>
        </w:rPr>
        <w:t>减少9.82</w:t>
      </w:r>
      <w:r>
        <w:rPr>
          <w:rFonts w:hint="eastAsia" w:ascii="仿宋" w:hAnsi="仿宋" w:eastAsia="仿宋" w:cs="仿宋"/>
          <w:sz w:val="32"/>
          <w:szCs w:val="32"/>
        </w:rPr>
        <w:t>%。决算数</w:t>
      </w:r>
      <w:r>
        <w:rPr>
          <w:rFonts w:hint="eastAsia" w:ascii="仿宋" w:hAnsi="仿宋" w:eastAsia="仿宋" w:cs="仿宋"/>
          <w:sz w:val="32"/>
          <w:szCs w:val="32"/>
          <w:lang w:val="en-US" w:eastAsia="zh-CN"/>
        </w:rPr>
        <w:t>等</w:t>
      </w:r>
      <w:r>
        <w:rPr>
          <w:rFonts w:hint="eastAsia" w:ascii="仿宋" w:hAnsi="仿宋" w:eastAsia="仿宋" w:cs="仿宋"/>
          <w:sz w:val="32"/>
          <w:szCs w:val="32"/>
        </w:rPr>
        <w:t>于预算数的主要原因是</w:t>
      </w:r>
      <w:r>
        <w:rPr>
          <w:rFonts w:hint="eastAsia" w:ascii="仿宋" w:hAnsi="仿宋" w:eastAsia="仿宋" w:cs="仿宋"/>
          <w:bCs/>
          <w:sz w:val="32"/>
          <w:szCs w:val="32"/>
        </w:rPr>
        <w:t>我单位</w:t>
      </w:r>
      <w:r>
        <w:rPr>
          <w:rFonts w:hint="eastAsia" w:ascii="仿宋" w:hAnsi="仿宋" w:eastAsia="仿宋" w:cs="仿宋"/>
          <w:sz w:val="32"/>
          <w:szCs w:val="32"/>
          <w:lang w:val="en-US" w:eastAsia="zh-CN"/>
        </w:rPr>
        <w:t>严格按中央八项有关规定执行，杜绝违规吃喝</w:t>
      </w:r>
      <w:r>
        <w:rPr>
          <w:rFonts w:hint="eastAsia" w:ascii="仿宋" w:hAnsi="仿宋" w:eastAsia="仿宋" w:cs="仿宋"/>
          <w:bCs/>
          <w:sz w:val="32"/>
          <w:szCs w:val="32"/>
          <w:lang w:eastAsia="zh-CN"/>
        </w:rPr>
        <w:t>。</w:t>
      </w:r>
      <w:r>
        <w:rPr>
          <w:rFonts w:hint="eastAsia" w:ascii="仿宋" w:hAnsi="仿宋" w:eastAsia="仿宋" w:cs="仿宋"/>
          <w:sz w:val="32"/>
          <w:szCs w:val="32"/>
        </w:rPr>
        <w:t>决算数小于上年数的主要原因是</w:t>
      </w:r>
      <w:r>
        <w:rPr>
          <w:rFonts w:hint="eastAsia" w:ascii="仿宋" w:hAnsi="仿宋" w:eastAsia="仿宋" w:cs="仿宋"/>
          <w:sz w:val="32"/>
          <w:szCs w:val="32"/>
          <w:lang w:val="en-US" w:eastAsia="zh-CN"/>
        </w:rPr>
        <w:t>我单位</w:t>
      </w:r>
      <w:r>
        <w:rPr>
          <w:rFonts w:hint="eastAsia" w:ascii="仿宋" w:hAnsi="仿宋" w:eastAsia="仿宋" w:cs="仿宋"/>
          <w:color w:val="auto"/>
          <w:sz w:val="32"/>
          <w:szCs w:val="32"/>
          <w:lang w:val="en-US" w:eastAsia="zh-CN"/>
        </w:rPr>
        <w:t>按有关政策厉行节约，严控公务接待支出。</w:t>
      </w:r>
      <w:r>
        <w:rPr>
          <w:rFonts w:hint="eastAsia" w:ascii="仿宋" w:hAnsi="仿宋" w:eastAsia="仿宋" w:cs="仿宋"/>
          <w:sz w:val="32"/>
          <w:szCs w:val="32"/>
        </w:rPr>
        <w:t>2024年度共接待来访团组</w:t>
      </w:r>
      <w:r>
        <w:rPr>
          <w:rFonts w:hint="eastAsia" w:ascii="仿宋" w:hAnsi="仿宋" w:eastAsia="仿宋" w:cs="仿宋"/>
          <w:sz w:val="32"/>
          <w:szCs w:val="32"/>
          <w:lang w:val="en-US" w:eastAsia="zh-CN"/>
        </w:rPr>
        <w:t>18</w:t>
      </w:r>
      <w:r>
        <w:rPr>
          <w:rFonts w:hint="eastAsia" w:ascii="仿宋" w:hAnsi="仿宋" w:eastAsia="仿宋" w:cs="仿宋"/>
          <w:sz w:val="32"/>
          <w:szCs w:val="32"/>
        </w:rPr>
        <w:t>个、来宾</w:t>
      </w:r>
      <w:r>
        <w:rPr>
          <w:rFonts w:hint="eastAsia" w:ascii="仿宋" w:hAnsi="仿宋" w:eastAsia="仿宋" w:cs="仿宋"/>
          <w:sz w:val="32"/>
          <w:szCs w:val="32"/>
          <w:lang w:val="en-US" w:eastAsia="zh-CN"/>
        </w:rPr>
        <w:t>150</w:t>
      </w:r>
      <w:r>
        <w:rPr>
          <w:rFonts w:hint="eastAsia" w:ascii="仿宋" w:hAnsi="仿宋" w:eastAsia="仿宋" w:cs="仿宋"/>
          <w:sz w:val="32"/>
          <w:szCs w:val="32"/>
        </w:rPr>
        <w:t>人次主要是接待上级机关来我委指导及各县市区相关单位来我委调研、协调汇报工作发生的接待支出。</w:t>
      </w:r>
    </w:p>
    <w:p w14:paraId="3D06ACE2">
      <w:pPr>
        <w:pStyle w:val="14"/>
        <w:keepNext w:val="0"/>
        <w:keepLines w:val="0"/>
        <w:pageBreakBefore w:val="0"/>
        <w:widowControl w:val="0"/>
        <w:kinsoku/>
        <w:wordWrap/>
        <w:overflowPunct/>
        <w:topLinePunct w:val="0"/>
        <w:bidi w:val="0"/>
        <w:snapToGrid/>
        <w:spacing w:line="520" w:lineRule="exact"/>
        <w:ind w:firstLine="640" w:firstLineChars="200"/>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lang w:eastAsia="zh-CN"/>
        </w:rPr>
        <w:t>十</w:t>
      </w:r>
      <w:r>
        <w:rPr>
          <w:rFonts w:hint="eastAsia" w:ascii="仿宋" w:hAnsi="仿宋" w:eastAsia="仿宋" w:cs="仿宋"/>
          <w:b/>
          <w:color w:val="auto"/>
          <w:sz w:val="32"/>
          <w:szCs w:val="32"/>
        </w:rPr>
        <w:t>、关于机关运行经费支出说明</w:t>
      </w:r>
    </w:p>
    <w:p w14:paraId="38BA3ACD">
      <w:pPr>
        <w:pStyle w:val="14"/>
        <w:keepNext w:val="0"/>
        <w:keepLines w:val="0"/>
        <w:pageBreakBefore w:val="0"/>
        <w:kinsoku/>
        <w:wordWrap/>
        <w:topLinePunct w:val="0"/>
        <w:bidi w:val="0"/>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本部门202</w:t>
      </w:r>
      <w:r>
        <w:rPr>
          <w:rFonts w:hint="eastAsia" w:ascii="仿宋" w:hAnsi="仿宋" w:eastAsia="仿宋" w:cs="仿宋"/>
          <w:sz w:val="32"/>
          <w:szCs w:val="32"/>
          <w:lang w:val="en-US" w:eastAsia="zh-CN"/>
        </w:rPr>
        <w:t>4</w:t>
      </w:r>
      <w:r>
        <w:rPr>
          <w:rFonts w:hint="eastAsia" w:ascii="仿宋" w:hAnsi="仿宋" w:eastAsia="仿宋" w:cs="仿宋"/>
          <w:sz w:val="32"/>
          <w:szCs w:val="32"/>
        </w:rPr>
        <w:t>年度机关运行经费支出</w:t>
      </w:r>
      <w:r>
        <w:rPr>
          <w:rFonts w:hint="eastAsia" w:ascii="仿宋" w:hAnsi="仿宋" w:eastAsia="仿宋" w:cs="仿宋"/>
          <w:sz w:val="32"/>
          <w:szCs w:val="32"/>
          <w:lang w:val="en-US" w:eastAsia="zh-CN"/>
        </w:rPr>
        <w:t>112.4</w:t>
      </w:r>
      <w:r>
        <w:rPr>
          <w:rFonts w:hint="eastAsia" w:ascii="仿宋" w:hAnsi="仿宋" w:eastAsia="仿宋" w:cs="仿宋"/>
          <w:sz w:val="32"/>
          <w:szCs w:val="32"/>
        </w:rPr>
        <w:t>万元，</w:t>
      </w:r>
      <w:r>
        <w:rPr>
          <w:rFonts w:hint="eastAsia" w:ascii="仿宋" w:hAnsi="仿宋" w:eastAsia="仿宋" w:cs="仿宋"/>
          <w:sz w:val="32"/>
          <w:szCs w:val="32"/>
          <w:highlight w:val="none"/>
        </w:rPr>
        <w:t>比年初预算数减少</w:t>
      </w:r>
      <w:r>
        <w:rPr>
          <w:rFonts w:hint="eastAsia" w:ascii="仿宋" w:hAnsi="仿宋" w:eastAsia="仿宋" w:cs="仿宋"/>
          <w:sz w:val="32"/>
          <w:szCs w:val="32"/>
          <w:highlight w:val="none"/>
          <w:lang w:val="en-US" w:eastAsia="zh-CN"/>
        </w:rPr>
        <w:t>3.85</w:t>
      </w:r>
      <w:r>
        <w:rPr>
          <w:rFonts w:hint="eastAsia" w:ascii="仿宋" w:hAnsi="仿宋" w:eastAsia="仿宋" w:cs="仿宋"/>
          <w:sz w:val="32"/>
          <w:szCs w:val="32"/>
          <w:highlight w:val="none"/>
        </w:rPr>
        <w:t>万元，降低</w:t>
      </w:r>
      <w:r>
        <w:rPr>
          <w:rFonts w:hint="eastAsia" w:ascii="仿宋" w:hAnsi="仿宋" w:eastAsia="仿宋" w:cs="仿宋"/>
          <w:sz w:val="32"/>
          <w:szCs w:val="32"/>
          <w:highlight w:val="none"/>
          <w:lang w:val="en-US" w:eastAsia="zh-CN"/>
        </w:rPr>
        <w:t>3.31</w:t>
      </w:r>
      <w:r>
        <w:rPr>
          <w:rFonts w:hint="eastAsia" w:ascii="仿宋" w:hAnsi="仿宋" w:eastAsia="仿宋" w:cs="仿宋"/>
          <w:sz w:val="32"/>
          <w:szCs w:val="32"/>
          <w:highlight w:val="none"/>
        </w:rPr>
        <w:t>%。主要原因是</w:t>
      </w:r>
      <w:r>
        <w:rPr>
          <w:rFonts w:hint="eastAsia" w:ascii="仿宋" w:hAnsi="仿宋" w:eastAsia="仿宋" w:cs="仿宋"/>
          <w:sz w:val="32"/>
          <w:szCs w:val="32"/>
          <w:highlight w:val="none"/>
          <w:lang w:val="en-US" w:eastAsia="zh-CN"/>
        </w:rPr>
        <w:t>过紧日子，运转类公用支出减少。</w:t>
      </w:r>
    </w:p>
    <w:p w14:paraId="39684EF2">
      <w:pPr>
        <w:pStyle w:val="14"/>
        <w:keepNext w:val="0"/>
        <w:keepLines w:val="0"/>
        <w:pageBreakBefore w:val="0"/>
        <w:widowControl w:val="0"/>
        <w:kinsoku/>
        <w:wordWrap/>
        <w:overflowPunct/>
        <w:topLinePunct w:val="0"/>
        <w:bidi w:val="0"/>
        <w:snapToGrid/>
        <w:spacing w:line="52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十</w:t>
      </w:r>
      <w:r>
        <w:rPr>
          <w:rFonts w:hint="eastAsia" w:ascii="仿宋" w:hAnsi="仿宋" w:eastAsia="仿宋" w:cs="仿宋"/>
          <w:b w:val="0"/>
          <w:bCs/>
          <w:sz w:val="32"/>
          <w:szCs w:val="32"/>
          <w:lang w:eastAsia="zh-CN"/>
        </w:rPr>
        <w:t>一</w:t>
      </w:r>
      <w:r>
        <w:rPr>
          <w:rFonts w:hint="eastAsia" w:ascii="仿宋" w:hAnsi="仿宋" w:eastAsia="仿宋" w:cs="仿宋"/>
          <w:b w:val="0"/>
          <w:bCs/>
          <w:sz w:val="32"/>
          <w:szCs w:val="32"/>
        </w:rPr>
        <w:t>、一般性支出情况说明</w:t>
      </w:r>
    </w:p>
    <w:p w14:paraId="362F9A0F">
      <w:pPr>
        <w:pStyle w:val="14"/>
        <w:keepNext w:val="0"/>
        <w:keepLines w:val="0"/>
        <w:pageBreakBefore w:val="0"/>
        <w:widowControl w:val="0"/>
        <w:kinsoku/>
        <w:wordWrap/>
        <w:overflowPunct/>
        <w:topLinePunct w:val="0"/>
        <w:bidi w:val="0"/>
        <w:snapToGrid/>
        <w:spacing w:line="520" w:lineRule="exact"/>
        <w:ind w:firstLine="640" w:firstLineChars="200"/>
        <w:textAlignment w:val="auto"/>
        <w:rPr>
          <w:rFonts w:hint="eastAsia" w:ascii="仿宋" w:hAnsi="仿宋" w:eastAsia="仿宋" w:cs="仿宋"/>
          <w:b/>
          <w:bCs/>
          <w:i w:val="0"/>
          <w:iCs w:val="0"/>
          <w:color w:val="FF0000"/>
          <w:kern w:val="0"/>
          <w:sz w:val="32"/>
          <w:szCs w:val="32"/>
          <w:lang w:val="en-US" w:eastAsia="zh-CN" w:bidi="ar-SA"/>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度，</w:t>
      </w:r>
      <w:r>
        <w:rPr>
          <w:rFonts w:hint="eastAsia" w:ascii="仿宋" w:hAnsi="仿宋" w:eastAsia="仿宋" w:cs="仿宋"/>
          <w:b w:val="0"/>
          <w:bCs w:val="0"/>
          <w:i w:val="0"/>
          <w:iCs w:val="0"/>
          <w:color w:val="auto"/>
          <w:kern w:val="0"/>
          <w:sz w:val="32"/>
          <w:szCs w:val="32"/>
          <w:lang w:val="en-US" w:eastAsia="zh-CN" w:bidi="ar-SA"/>
        </w:rPr>
        <w:t>本单位无会议费的预算和支出决算数；本单位无培训费的预算和支出决算数；本单位无举办节庆、晚会、论坛、赛事等活动的预算和支出决算数</w:t>
      </w:r>
      <w:r>
        <w:rPr>
          <w:rFonts w:hint="eastAsia" w:ascii="仿宋" w:hAnsi="仿宋" w:eastAsia="仿宋" w:cs="仿宋"/>
          <w:color w:val="000000"/>
          <w:kern w:val="0"/>
          <w:sz w:val="32"/>
          <w:szCs w:val="32"/>
          <w:lang w:val="en-US" w:eastAsia="zh-CN" w:bidi="ar-SA"/>
        </w:rPr>
        <w:t>。</w:t>
      </w:r>
    </w:p>
    <w:p w14:paraId="58D56B3F">
      <w:pPr>
        <w:pStyle w:val="14"/>
        <w:keepNext w:val="0"/>
        <w:keepLines w:val="0"/>
        <w:pageBreakBefore w:val="0"/>
        <w:widowControl w:val="0"/>
        <w:kinsoku/>
        <w:wordWrap/>
        <w:overflowPunct/>
        <w:topLinePunct w:val="0"/>
        <w:bidi w:val="0"/>
        <w:snapToGrid/>
        <w:spacing w:line="520" w:lineRule="exact"/>
        <w:ind w:firstLine="640" w:firstLineChars="200"/>
        <w:textAlignment w:val="auto"/>
        <w:rPr>
          <w:rFonts w:hint="eastAsia" w:ascii="仿宋" w:hAnsi="仿宋" w:eastAsia="仿宋" w:cs="仿宋"/>
          <w:i/>
          <w:color w:val="FF0000"/>
          <w:sz w:val="32"/>
          <w:szCs w:val="32"/>
          <w:lang w:val="en-US" w:eastAsia="zh-CN"/>
        </w:rPr>
      </w:pPr>
      <w:r>
        <w:rPr>
          <w:rFonts w:hint="eastAsia" w:ascii="仿宋" w:hAnsi="仿宋" w:eastAsia="仿宋" w:cs="仿宋"/>
          <w:b w:val="0"/>
          <w:bCs/>
          <w:sz w:val="32"/>
          <w:szCs w:val="32"/>
        </w:rPr>
        <w:t>十</w:t>
      </w:r>
      <w:r>
        <w:rPr>
          <w:rFonts w:hint="eastAsia" w:ascii="仿宋" w:hAnsi="仿宋" w:eastAsia="仿宋" w:cs="仿宋"/>
          <w:b w:val="0"/>
          <w:bCs/>
          <w:sz w:val="32"/>
          <w:szCs w:val="32"/>
          <w:lang w:eastAsia="zh-CN"/>
        </w:rPr>
        <w:t>二</w:t>
      </w:r>
      <w:r>
        <w:rPr>
          <w:rFonts w:hint="eastAsia" w:ascii="仿宋" w:hAnsi="仿宋" w:eastAsia="仿宋" w:cs="仿宋"/>
          <w:b w:val="0"/>
          <w:bCs/>
          <w:sz w:val="32"/>
          <w:szCs w:val="32"/>
        </w:rPr>
        <w:t>、关于政府采购支出说明</w:t>
      </w:r>
    </w:p>
    <w:p w14:paraId="087F52B8">
      <w:pPr>
        <w:pStyle w:val="14"/>
        <w:keepNext w:val="0"/>
        <w:keepLines w:val="0"/>
        <w:pageBreakBefore w:val="0"/>
        <w:widowControl w:val="0"/>
        <w:kinsoku/>
        <w:wordWrap/>
        <w:overflowPunct/>
        <w:topLinePunct w:val="0"/>
        <w:bidi w:val="0"/>
        <w:snapToGrid/>
        <w:spacing w:line="520" w:lineRule="exact"/>
        <w:ind w:firstLine="640" w:firstLineChars="200"/>
        <w:textAlignment w:val="auto"/>
        <w:rPr>
          <w:rFonts w:hint="eastAsia" w:ascii="仿宋" w:hAnsi="仿宋" w:eastAsia="仿宋" w:cs="仿宋"/>
          <w:i/>
          <w:color w:val="000000" w:themeColor="text1"/>
          <w:sz w:val="32"/>
          <w:szCs w:val="32"/>
          <w:lang w:val="en-US" w:eastAsia="zh-CN"/>
          <w14:textFill>
            <w14:solidFill>
              <w14:schemeClr w14:val="tx1"/>
            </w14:solidFill>
          </w14:textFill>
        </w:rPr>
      </w:pPr>
      <w:r>
        <w:rPr>
          <w:rFonts w:hint="eastAsia" w:ascii="仿宋" w:hAnsi="仿宋" w:eastAsia="仿宋" w:cs="仿宋"/>
          <w:sz w:val="32"/>
          <w:szCs w:val="32"/>
        </w:rPr>
        <w:t>本部门202</w:t>
      </w:r>
      <w:r>
        <w:rPr>
          <w:rFonts w:hint="eastAsia" w:ascii="仿宋" w:hAnsi="仿宋" w:eastAsia="仿宋" w:cs="仿宋"/>
          <w:sz w:val="32"/>
          <w:szCs w:val="32"/>
          <w:lang w:val="en-US" w:eastAsia="zh-CN"/>
        </w:rPr>
        <w:t>4</w:t>
      </w:r>
      <w:r>
        <w:rPr>
          <w:rFonts w:hint="eastAsia" w:ascii="仿宋" w:hAnsi="仿宋" w:eastAsia="仿宋" w:cs="仿宋"/>
          <w:sz w:val="32"/>
          <w:szCs w:val="32"/>
        </w:rPr>
        <w:t>年度政府采购支出总额</w:t>
      </w:r>
      <w:r>
        <w:rPr>
          <w:rFonts w:hint="eastAsia" w:ascii="仿宋" w:hAnsi="仿宋" w:eastAsia="仿宋" w:cs="仿宋"/>
          <w:sz w:val="32"/>
          <w:szCs w:val="32"/>
          <w:lang w:val="en-US" w:eastAsia="zh-CN"/>
        </w:rPr>
        <w:t>158.99</w:t>
      </w:r>
      <w:r>
        <w:rPr>
          <w:rFonts w:hint="eastAsia" w:ascii="仿宋" w:hAnsi="仿宋" w:eastAsia="仿宋" w:cs="仿宋"/>
          <w:sz w:val="32"/>
          <w:szCs w:val="32"/>
        </w:rPr>
        <w:t>万元，其中：政府采购货物支出</w:t>
      </w:r>
      <w:r>
        <w:rPr>
          <w:rFonts w:hint="eastAsia" w:ascii="仿宋" w:hAnsi="仿宋" w:eastAsia="仿宋" w:cs="仿宋"/>
          <w:sz w:val="32"/>
          <w:szCs w:val="32"/>
          <w:lang w:val="en-US" w:eastAsia="zh-CN"/>
        </w:rPr>
        <w:t>43.36</w:t>
      </w:r>
      <w:r>
        <w:rPr>
          <w:rFonts w:hint="eastAsia" w:ascii="仿宋" w:hAnsi="仿宋" w:eastAsia="仿宋" w:cs="仿宋"/>
          <w:sz w:val="32"/>
          <w:szCs w:val="32"/>
        </w:rPr>
        <w:t>万元、政府采购工程支出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万元、政府采购服务支出</w:t>
      </w:r>
      <w:r>
        <w:rPr>
          <w:rFonts w:hint="eastAsia" w:ascii="仿宋" w:hAnsi="仿宋" w:eastAsia="仿宋" w:cs="仿宋"/>
          <w:sz w:val="32"/>
          <w:szCs w:val="32"/>
          <w:lang w:val="en-US" w:eastAsia="zh-CN"/>
        </w:rPr>
        <w:t>115.63</w:t>
      </w:r>
      <w:r>
        <w:rPr>
          <w:rFonts w:hint="eastAsia" w:ascii="仿宋" w:hAnsi="仿宋" w:eastAsia="仿宋" w:cs="仿宋"/>
          <w:sz w:val="32"/>
          <w:szCs w:val="32"/>
        </w:rPr>
        <w:t>万元。授予中小企业合同金额</w:t>
      </w:r>
      <w:r>
        <w:rPr>
          <w:rFonts w:hint="eastAsia" w:ascii="仿宋" w:hAnsi="仿宋" w:eastAsia="仿宋" w:cs="仿宋"/>
          <w:sz w:val="32"/>
          <w:szCs w:val="32"/>
          <w:lang w:val="en-US" w:eastAsia="zh-CN"/>
        </w:rPr>
        <w:t>158.99</w:t>
      </w:r>
      <w:r>
        <w:rPr>
          <w:rFonts w:hint="eastAsia" w:ascii="仿宋" w:hAnsi="仿宋" w:eastAsia="仿宋" w:cs="仿宋"/>
          <w:sz w:val="32"/>
          <w:szCs w:val="32"/>
        </w:rPr>
        <w:t>万元，占政府采购支出总额的</w:t>
      </w:r>
      <w:r>
        <w:rPr>
          <w:rFonts w:hint="eastAsia" w:ascii="仿宋" w:hAnsi="仿宋" w:eastAsia="仿宋" w:cs="仿宋"/>
          <w:sz w:val="32"/>
          <w:szCs w:val="32"/>
          <w:lang w:val="en-US" w:eastAsia="zh-CN"/>
        </w:rPr>
        <w:t>100</w:t>
      </w:r>
      <w:r>
        <w:rPr>
          <w:rFonts w:hint="eastAsia" w:ascii="仿宋" w:hAnsi="仿宋" w:eastAsia="仿宋" w:cs="仿宋"/>
          <w:sz w:val="32"/>
          <w:szCs w:val="32"/>
        </w:rPr>
        <w:t>%，其中：授予小微企业合同金额</w:t>
      </w:r>
      <w:r>
        <w:rPr>
          <w:rFonts w:hint="eastAsia" w:ascii="仿宋" w:hAnsi="仿宋" w:eastAsia="仿宋" w:cs="仿宋"/>
          <w:sz w:val="32"/>
          <w:szCs w:val="32"/>
          <w:lang w:val="en-US" w:eastAsia="zh-CN"/>
        </w:rPr>
        <w:t>158.99</w:t>
      </w:r>
      <w:r>
        <w:rPr>
          <w:rFonts w:hint="eastAsia" w:ascii="仿宋" w:hAnsi="仿宋" w:eastAsia="仿宋" w:cs="仿宋"/>
          <w:sz w:val="32"/>
          <w:szCs w:val="32"/>
        </w:rPr>
        <w:t>万元，</w:t>
      </w:r>
      <w:r>
        <w:rPr>
          <w:rFonts w:hint="eastAsia" w:ascii="仿宋" w:hAnsi="仿宋" w:eastAsia="仿宋" w:cs="仿宋"/>
          <w:color w:val="auto"/>
          <w:sz w:val="32"/>
          <w:szCs w:val="32"/>
        </w:rPr>
        <w:t>占</w:t>
      </w:r>
      <w:r>
        <w:rPr>
          <w:rFonts w:hint="eastAsia" w:ascii="仿宋" w:hAnsi="仿宋" w:eastAsia="仿宋" w:cs="仿宋"/>
          <w:color w:val="auto"/>
          <w:sz w:val="32"/>
          <w:szCs w:val="32"/>
          <w:lang w:eastAsia="zh-CN"/>
        </w:rPr>
        <w:t>授予中小企业合同金额</w:t>
      </w:r>
      <w:r>
        <w:rPr>
          <w:rFonts w:hint="eastAsia" w:ascii="仿宋" w:hAnsi="仿宋" w:eastAsia="仿宋" w:cs="仿宋"/>
          <w:color w:val="auto"/>
          <w:sz w:val="32"/>
          <w:szCs w:val="32"/>
        </w:rPr>
        <w:t>的</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%。货物采购授予中小企业合同金额占货物支出金额的</w:t>
      </w:r>
      <w:r>
        <w:rPr>
          <w:rFonts w:hint="eastAsia" w:ascii="仿宋" w:hAnsi="仿宋" w:eastAsia="仿宋" w:cs="仿宋"/>
          <w:color w:val="auto"/>
          <w:sz w:val="32"/>
          <w:szCs w:val="32"/>
          <w:lang w:val="en-US" w:eastAsia="zh-CN"/>
        </w:rPr>
        <w:t>27.27</w:t>
      </w:r>
      <w:r>
        <w:rPr>
          <w:rFonts w:hint="eastAsia" w:ascii="仿宋" w:hAnsi="仿宋" w:eastAsia="仿宋" w:cs="仿宋"/>
          <w:color w:val="auto"/>
          <w:sz w:val="32"/>
          <w:szCs w:val="32"/>
        </w:rPr>
        <w:t>%，服务采购授予中小企业合同金额占服务支出金额的</w:t>
      </w:r>
      <w:r>
        <w:rPr>
          <w:rFonts w:hint="eastAsia" w:ascii="仿宋" w:hAnsi="仿宋" w:eastAsia="仿宋" w:cs="仿宋"/>
          <w:color w:val="auto"/>
          <w:sz w:val="32"/>
          <w:szCs w:val="32"/>
          <w:lang w:val="en-US" w:eastAsia="zh-CN"/>
        </w:rPr>
        <w:t>72.73</w:t>
      </w:r>
      <w:r>
        <w:rPr>
          <w:rFonts w:hint="eastAsia" w:ascii="仿宋" w:hAnsi="仿宋" w:eastAsia="仿宋" w:cs="仿宋"/>
          <w:color w:val="auto"/>
          <w:sz w:val="32"/>
          <w:szCs w:val="32"/>
        </w:rPr>
        <w:t>%。</w:t>
      </w:r>
      <w:r>
        <w:rPr>
          <w:rFonts w:hint="eastAsia" w:ascii="仿宋" w:hAnsi="仿宋" w:eastAsia="仿宋" w:cs="仿宋"/>
          <w:color w:val="000000" w:themeColor="text1"/>
          <w:sz w:val="32"/>
          <w:szCs w:val="32"/>
          <w14:textFill>
            <w14:solidFill>
              <w14:schemeClr w14:val="tx1"/>
            </w14:solidFill>
          </w14:textFill>
        </w:rPr>
        <w:t>工程采购授予中小企业合同金额</w:t>
      </w:r>
      <w:r>
        <w:rPr>
          <w:rFonts w:hint="eastAsia" w:ascii="仿宋" w:hAnsi="仿宋" w:eastAsia="仿宋" w:cs="仿宋"/>
          <w:color w:val="000000" w:themeColor="text1"/>
          <w:sz w:val="32"/>
          <w:szCs w:val="32"/>
          <w:lang w:val="en-US" w:eastAsia="zh-CN"/>
          <w14:textFill>
            <w14:solidFill>
              <w14:schemeClr w14:val="tx1"/>
            </w14:solidFill>
          </w14:textFill>
        </w:rPr>
        <w:t>为0，故无法计算占比</w:t>
      </w:r>
      <w:r>
        <w:rPr>
          <w:rFonts w:hint="eastAsia" w:ascii="仿宋" w:hAnsi="仿宋" w:eastAsia="仿宋" w:cs="仿宋"/>
          <w:color w:val="000000" w:themeColor="text1"/>
          <w:sz w:val="32"/>
          <w:szCs w:val="32"/>
          <w14:textFill>
            <w14:solidFill>
              <w14:schemeClr w14:val="tx1"/>
            </w14:solidFill>
          </w14:textFill>
        </w:rPr>
        <w:t>。</w:t>
      </w:r>
    </w:p>
    <w:p w14:paraId="246A0DF6">
      <w:pPr>
        <w:pStyle w:val="14"/>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十</w:t>
      </w:r>
      <w:r>
        <w:rPr>
          <w:rFonts w:hint="eastAsia" w:ascii="仿宋" w:hAnsi="仿宋" w:eastAsia="仿宋" w:cs="仿宋"/>
          <w:b w:val="0"/>
          <w:bCs/>
          <w:color w:val="auto"/>
          <w:sz w:val="32"/>
          <w:szCs w:val="32"/>
          <w:lang w:eastAsia="zh-CN"/>
        </w:rPr>
        <w:t>三</w:t>
      </w:r>
      <w:r>
        <w:rPr>
          <w:rFonts w:hint="eastAsia" w:ascii="仿宋" w:hAnsi="仿宋" w:eastAsia="仿宋" w:cs="仿宋"/>
          <w:b w:val="0"/>
          <w:bCs/>
          <w:color w:val="auto"/>
          <w:sz w:val="32"/>
          <w:szCs w:val="32"/>
        </w:rPr>
        <w:t>、关于国有资产占用情况说明</w:t>
      </w:r>
    </w:p>
    <w:p w14:paraId="0044E386">
      <w:pPr>
        <w:pStyle w:val="14"/>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color w:val="auto"/>
          <w:sz w:val="32"/>
          <w:szCs w:val="32"/>
        </w:rPr>
        <w:t>截至202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年12月31日，</w:t>
      </w:r>
      <w:r>
        <w:rPr>
          <w:rFonts w:hint="eastAsia" w:ascii="仿宋" w:hAnsi="仿宋" w:eastAsia="仿宋" w:cs="仿宋"/>
          <w:color w:val="auto"/>
          <w:sz w:val="32"/>
          <w:szCs w:val="32"/>
          <w:lang w:val="en-US" w:eastAsia="zh-CN"/>
        </w:rPr>
        <w:t>本</w:t>
      </w:r>
      <w:r>
        <w:rPr>
          <w:rFonts w:hint="eastAsia" w:ascii="仿宋" w:hAnsi="仿宋" w:eastAsia="仿宋" w:cs="仿宋"/>
          <w:color w:val="auto"/>
          <w:sz w:val="32"/>
          <w:szCs w:val="32"/>
          <w:lang w:eastAsia="zh-CN"/>
        </w:rPr>
        <w:t>单位</w:t>
      </w:r>
      <w:r>
        <w:rPr>
          <w:rFonts w:hint="eastAsia" w:ascii="仿宋" w:hAnsi="仿宋" w:eastAsia="仿宋" w:cs="仿宋"/>
          <w:color w:val="auto"/>
          <w:sz w:val="32"/>
          <w:szCs w:val="32"/>
        </w:rPr>
        <w:t>共有车辆</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辆，其中</w:t>
      </w:r>
      <w:r>
        <w:rPr>
          <w:rFonts w:hint="eastAsia" w:ascii="仿宋" w:hAnsi="仿宋" w:eastAsia="仿宋" w:cs="仿宋"/>
          <w:color w:val="auto"/>
          <w:sz w:val="32"/>
          <w:szCs w:val="32"/>
          <w:lang w:eastAsia="zh-CN"/>
        </w:rPr>
        <w:t>，副部（省）级及以上领导用车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主要</w:t>
      </w:r>
      <w:r>
        <w:rPr>
          <w:rFonts w:hint="eastAsia" w:ascii="仿宋" w:hAnsi="仿宋" w:eastAsia="仿宋" w:cs="仿宋"/>
          <w:color w:val="auto"/>
          <w:sz w:val="32"/>
          <w:szCs w:val="32"/>
          <w:lang w:eastAsia="zh-CN"/>
        </w:rPr>
        <w:t>负责人</w:t>
      </w:r>
      <w:r>
        <w:rPr>
          <w:rFonts w:hint="eastAsia" w:ascii="仿宋" w:hAnsi="仿宋" w:eastAsia="仿宋" w:cs="仿宋"/>
          <w:color w:val="auto"/>
          <w:sz w:val="32"/>
          <w:szCs w:val="32"/>
        </w:rPr>
        <w:t>用车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机要通信用车</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辆、应急保障用车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辆、执法执勤用车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辆、特种专业技术用车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w:t>
      </w:r>
      <w:r>
        <w:rPr>
          <w:rFonts w:hint="eastAsia" w:ascii="仿宋" w:hAnsi="仿宋" w:eastAsia="仿宋" w:cs="仿宋"/>
          <w:color w:val="auto"/>
          <w:sz w:val="32"/>
          <w:szCs w:val="32"/>
          <w:lang w:eastAsia="zh-CN"/>
        </w:rPr>
        <w:t>离退休干部服务用车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辆、其他用车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辆；单位价值100万元以上设备</w:t>
      </w:r>
      <w:r>
        <w:rPr>
          <w:rFonts w:hint="eastAsia" w:ascii="仿宋" w:hAnsi="仿宋" w:eastAsia="仿宋" w:cs="仿宋"/>
          <w:color w:val="auto"/>
          <w:sz w:val="32"/>
          <w:szCs w:val="32"/>
          <w:lang w:eastAsia="zh-CN"/>
        </w:rPr>
        <w:t>（不含车辆）</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台（套）。</w:t>
      </w:r>
    </w:p>
    <w:p w14:paraId="0A8224AC">
      <w:pPr>
        <w:pStyle w:val="14"/>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十</w:t>
      </w:r>
      <w:r>
        <w:rPr>
          <w:rFonts w:hint="eastAsia" w:ascii="仿宋" w:hAnsi="仿宋" w:eastAsia="仿宋" w:cs="仿宋"/>
          <w:b w:val="0"/>
          <w:bCs/>
          <w:color w:val="auto"/>
          <w:sz w:val="32"/>
          <w:szCs w:val="32"/>
          <w:highlight w:val="none"/>
          <w:lang w:eastAsia="zh-CN"/>
        </w:rPr>
        <w:t>四</w:t>
      </w:r>
      <w:r>
        <w:rPr>
          <w:rFonts w:hint="eastAsia" w:ascii="仿宋" w:hAnsi="仿宋" w:eastAsia="仿宋" w:cs="仿宋"/>
          <w:b w:val="0"/>
          <w:bCs/>
          <w:color w:val="auto"/>
          <w:sz w:val="32"/>
          <w:szCs w:val="32"/>
          <w:highlight w:val="none"/>
        </w:rPr>
        <w:t>、关于</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4</w:t>
      </w:r>
      <w:r>
        <w:rPr>
          <w:rFonts w:hint="eastAsia" w:ascii="仿宋" w:hAnsi="仿宋" w:eastAsia="仿宋" w:cs="仿宋"/>
          <w:b w:val="0"/>
          <w:bCs/>
          <w:color w:val="auto"/>
          <w:sz w:val="32"/>
          <w:szCs w:val="32"/>
          <w:highlight w:val="none"/>
        </w:rPr>
        <w:t>年度</w:t>
      </w:r>
      <w:r>
        <w:rPr>
          <w:rFonts w:hint="eastAsia" w:ascii="仿宋" w:hAnsi="仿宋" w:eastAsia="仿宋" w:cs="仿宋"/>
          <w:b w:val="0"/>
          <w:bCs/>
          <w:color w:val="auto"/>
          <w:sz w:val="32"/>
          <w:szCs w:val="32"/>
          <w:highlight w:val="none"/>
          <w:lang w:eastAsia="zh-CN"/>
        </w:rPr>
        <w:t>预算</w:t>
      </w:r>
      <w:r>
        <w:rPr>
          <w:rFonts w:hint="eastAsia" w:ascii="仿宋" w:hAnsi="仿宋" w:eastAsia="仿宋" w:cs="仿宋"/>
          <w:b w:val="0"/>
          <w:bCs/>
          <w:color w:val="auto"/>
          <w:sz w:val="32"/>
          <w:szCs w:val="32"/>
          <w:highlight w:val="none"/>
        </w:rPr>
        <w:t>绩效</w:t>
      </w:r>
      <w:r>
        <w:rPr>
          <w:rFonts w:hint="eastAsia" w:ascii="仿宋" w:hAnsi="仿宋" w:eastAsia="仿宋" w:cs="仿宋"/>
          <w:b w:val="0"/>
          <w:bCs/>
          <w:color w:val="auto"/>
          <w:sz w:val="32"/>
          <w:szCs w:val="32"/>
          <w:highlight w:val="none"/>
          <w:lang w:eastAsia="zh-CN"/>
        </w:rPr>
        <w:t>管理</w:t>
      </w:r>
      <w:r>
        <w:rPr>
          <w:rFonts w:hint="eastAsia" w:ascii="仿宋" w:hAnsi="仿宋" w:eastAsia="仿宋" w:cs="仿宋"/>
          <w:b w:val="0"/>
          <w:bCs/>
          <w:color w:val="auto"/>
          <w:sz w:val="32"/>
          <w:szCs w:val="32"/>
          <w:highlight w:val="none"/>
        </w:rPr>
        <w:t>情况的说明</w:t>
      </w:r>
    </w:p>
    <w:p w14:paraId="0EB60D67">
      <w:pPr>
        <w:keepNext w:val="0"/>
        <w:keepLines w:val="0"/>
        <w:pageBreakBefore w:val="0"/>
        <w:kinsoku/>
        <w:wordWrap/>
        <w:overflowPunct w:val="0"/>
        <w:topLinePunct w:val="0"/>
        <w:bidi w:val="0"/>
        <w:snapToGrid/>
        <w:spacing w:line="52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（一）绩效评价工作开展情况</w:t>
      </w:r>
    </w:p>
    <w:p w14:paraId="3E6B6DCD">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kern w:val="0"/>
          <w:sz w:val="32"/>
          <w:szCs w:val="32"/>
          <w:highlight w:val="none"/>
          <w:lang w:eastAsia="zh-CN"/>
        </w:rPr>
      </w:pPr>
      <w:r>
        <w:rPr>
          <w:rFonts w:hint="eastAsia" w:ascii="仿宋" w:hAnsi="仿宋" w:eastAsia="仿宋" w:cs="仿宋"/>
          <w:kern w:val="0"/>
          <w:sz w:val="32"/>
          <w:szCs w:val="32"/>
          <w:highlight w:val="none"/>
          <w:lang w:val="en-US" w:eastAsia="zh-CN"/>
        </w:rPr>
        <w:t>1.</w:t>
      </w:r>
      <w:r>
        <w:rPr>
          <w:rFonts w:hint="eastAsia" w:ascii="仿宋" w:hAnsi="仿宋" w:eastAsia="仿宋" w:cs="仿宋"/>
          <w:b/>
          <w:bCs/>
          <w:kern w:val="0"/>
          <w:sz w:val="32"/>
          <w:szCs w:val="32"/>
          <w:lang w:val="en-US" w:eastAsia="zh-CN"/>
        </w:rPr>
        <w:t>绩</w:t>
      </w:r>
      <w:r>
        <w:rPr>
          <w:rFonts w:hint="eastAsia" w:ascii="仿宋" w:hAnsi="仿宋" w:eastAsia="仿宋" w:cs="仿宋"/>
          <w:b/>
          <w:bCs/>
          <w:kern w:val="0"/>
          <w:sz w:val="32"/>
          <w:szCs w:val="32"/>
        </w:rPr>
        <w:t>效自评开展情况。</w:t>
      </w:r>
      <w:r>
        <w:rPr>
          <w:rFonts w:hint="eastAsia" w:ascii="仿宋" w:hAnsi="仿宋" w:eastAsia="仿宋" w:cs="仿宋"/>
          <w:b w:val="0"/>
          <w:bCs w:val="0"/>
          <w:kern w:val="0"/>
          <w:sz w:val="32"/>
          <w:szCs w:val="32"/>
        </w:rPr>
        <w:t>2024年，本部门围绕“保平安、护稳定、促发展”核心职能，对9个一般公共预算项目（资金226.2万元，占本级支出100%）开展整体支出绩效自评，得分89</w:t>
      </w:r>
      <w:r>
        <w:rPr>
          <w:rFonts w:hint="eastAsia" w:ascii="仿宋" w:hAnsi="仿宋" w:eastAsia="仿宋" w:cs="仿宋"/>
          <w:b w:val="0"/>
          <w:bCs w:val="0"/>
          <w:kern w:val="0"/>
          <w:sz w:val="32"/>
          <w:szCs w:val="32"/>
          <w:lang w:val="en-US" w:eastAsia="zh-CN"/>
        </w:rPr>
        <w:t>.5</w:t>
      </w:r>
      <w:bookmarkStart w:id="0" w:name="_GoBack"/>
      <w:bookmarkEnd w:id="0"/>
      <w:r>
        <w:rPr>
          <w:rFonts w:hint="eastAsia" w:ascii="仿宋" w:hAnsi="仿宋" w:eastAsia="仿宋" w:cs="仿宋"/>
          <w:b w:val="0"/>
          <w:bCs w:val="0"/>
          <w:kern w:val="0"/>
          <w:sz w:val="32"/>
          <w:szCs w:val="32"/>
        </w:rPr>
        <w:t>分（良）。全年紧扣政治建设、风险防控、综合治理、“三高四新”、督导落实五大方向，实现扫黑除恶常态化、八类刑事案件明显下降、群众安全感持续提升；通过压减一般性支出</w:t>
      </w:r>
      <w:r>
        <w:rPr>
          <w:rFonts w:hint="eastAsia" w:ascii="仿宋" w:hAnsi="仿宋" w:eastAsia="仿宋" w:cs="仿宋"/>
          <w:b w:val="0"/>
          <w:bCs w:val="0"/>
          <w:kern w:val="0"/>
          <w:sz w:val="32"/>
          <w:szCs w:val="32"/>
          <w:lang w:eastAsia="zh-CN"/>
        </w:rPr>
        <w:t>，</w:t>
      </w:r>
      <w:r>
        <w:rPr>
          <w:rFonts w:hint="eastAsia" w:ascii="仿宋" w:hAnsi="仿宋" w:eastAsia="仿宋" w:cs="仿宋"/>
          <w:b w:val="0"/>
          <w:bCs w:val="0"/>
          <w:kern w:val="0"/>
          <w:sz w:val="32"/>
          <w:szCs w:val="32"/>
        </w:rPr>
        <w:t>节省财力全部投向基层智治短板，行政运行成本有效降低、管理效率显著提高。资产账实相符、使用合规，业务开展与行业规划同频共振，履职效能、社会效应和可持续发展能力同步增强，服务对象满意度稳步提升，为高水平平安建设提供了坚实财力保障和制度支撑。</w:t>
      </w:r>
    </w:p>
    <w:p w14:paraId="7C65853C">
      <w:pPr>
        <w:keepNext w:val="0"/>
        <w:keepLines w:val="0"/>
        <w:pageBreakBefore w:val="0"/>
        <w:kinsoku/>
        <w:wordWrap/>
        <w:topLinePunct w:val="0"/>
        <w:autoSpaceDE w:val="0"/>
        <w:autoSpaceDN w:val="0"/>
        <w:bidi w:val="0"/>
        <w:adjustRightInd w:val="0"/>
        <w:snapToGrid/>
        <w:spacing w:line="520" w:lineRule="exact"/>
        <w:ind w:firstLine="640" w:firstLineChars="200"/>
        <w:textAlignment w:val="auto"/>
        <w:rPr>
          <w:rFonts w:hint="eastAsia" w:ascii="仿宋" w:hAnsi="仿宋" w:eastAsia="仿宋" w:cs="仿宋"/>
          <w:color w:val="FF0000"/>
          <w:kern w:val="0"/>
          <w:sz w:val="32"/>
          <w:szCs w:val="32"/>
          <w:lang w:eastAsia="zh-CN"/>
        </w:rPr>
      </w:pPr>
      <w:r>
        <w:rPr>
          <w:rFonts w:hint="eastAsia" w:ascii="仿宋" w:hAnsi="仿宋" w:eastAsia="仿宋" w:cs="仿宋"/>
          <w:kern w:val="0"/>
          <w:sz w:val="32"/>
          <w:szCs w:val="32"/>
          <w:highlight w:val="none"/>
          <w:lang w:val="en-US" w:eastAsia="zh-CN"/>
        </w:rPr>
        <w:t>2.</w:t>
      </w:r>
      <w:r>
        <w:rPr>
          <w:rFonts w:hint="eastAsia" w:ascii="仿宋" w:hAnsi="仿宋" w:eastAsia="仿宋" w:cs="仿宋"/>
          <w:b/>
          <w:bCs/>
          <w:kern w:val="0"/>
          <w:sz w:val="32"/>
          <w:szCs w:val="32"/>
        </w:rPr>
        <w:t>部门评价开展情况。</w:t>
      </w:r>
      <w:r>
        <w:rPr>
          <w:rFonts w:hint="eastAsia" w:ascii="仿宋" w:hAnsi="仿宋" w:eastAsia="仿宋" w:cs="仿宋"/>
          <w:b w:val="0"/>
          <w:bCs w:val="0"/>
          <w:kern w:val="0"/>
          <w:sz w:val="32"/>
          <w:szCs w:val="32"/>
          <w:lang w:val="en-US" w:eastAsia="zh-CN"/>
        </w:rPr>
        <w:t>一年来，</w:t>
      </w:r>
      <w:r>
        <w:rPr>
          <w:rFonts w:hint="eastAsia" w:ascii="仿宋" w:hAnsi="仿宋" w:eastAsia="仿宋" w:cs="仿宋"/>
          <w:b w:val="0"/>
          <w:bCs w:val="0"/>
          <w:kern w:val="0"/>
          <w:sz w:val="32"/>
          <w:szCs w:val="32"/>
        </w:rPr>
        <w:t>我委以习近平新时代中国特色社会主义思想为指导，紧扣“保平安、护稳定、促发展”主线，把“过紧日子”要求贯穿预算管理全链条，全年年初预算1150万元，执行1375.45万元，调整后执行率100%</w:t>
      </w:r>
      <w:r>
        <w:rPr>
          <w:rFonts w:hint="eastAsia" w:ascii="仿宋" w:hAnsi="仿宋" w:eastAsia="仿宋" w:cs="仿宋"/>
          <w:b w:val="0"/>
          <w:bCs w:val="0"/>
          <w:kern w:val="0"/>
          <w:sz w:val="32"/>
          <w:szCs w:val="32"/>
          <w:lang w:eastAsia="zh-CN"/>
        </w:rPr>
        <w:t>。</w:t>
      </w:r>
      <w:r>
        <w:rPr>
          <w:rFonts w:hint="eastAsia" w:ascii="仿宋" w:hAnsi="仿宋" w:eastAsia="仿宋" w:cs="仿宋"/>
          <w:b w:val="0"/>
          <w:bCs w:val="0"/>
          <w:kern w:val="0"/>
          <w:sz w:val="32"/>
          <w:szCs w:val="32"/>
          <w:lang w:val="en-US" w:eastAsia="zh-CN"/>
        </w:rPr>
        <w:t>组织对所属单位2024年度“执法监督工作经费”“扫黑除恶专项经费”“维稳办工作经费”等9个项目开展了部门评价，涉及一般公共预算支出226.2万元，政府性基金预算支出0万元，国有资本经营预算支出0万元，社会保险基金预算支出0万元。</w:t>
      </w:r>
      <w:r>
        <w:rPr>
          <w:rFonts w:hint="eastAsia" w:ascii="仿宋" w:hAnsi="仿宋" w:eastAsia="仿宋" w:cs="仿宋"/>
          <w:b w:val="0"/>
          <w:bCs w:val="0"/>
          <w:kern w:val="0"/>
          <w:sz w:val="32"/>
          <w:szCs w:val="32"/>
        </w:rPr>
        <w:t>资金聚焦政治建设、风险防控、综合治理、三高四新、督导落实五大方向，实现扫黑除恶常态化、八类刑事案件</w:t>
      </w:r>
      <w:r>
        <w:rPr>
          <w:rFonts w:hint="eastAsia" w:ascii="仿宋" w:hAnsi="仿宋" w:eastAsia="仿宋" w:cs="仿宋"/>
          <w:b w:val="0"/>
          <w:bCs w:val="0"/>
          <w:kern w:val="0"/>
          <w:sz w:val="32"/>
          <w:szCs w:val="32"/>
          <w:lang w:val="en-US" w:eastAsia="zh-CN"/>
        </w:rPr>
        <w:t>明显</w:t>
      </w:r>
      <w:r>
        <w:rPr>
          <w:rFonts w:hint="eastAsia" w:ascii="仿宋" w:hAnsi="仿宋" w:eastAsia="仿宋" w:cs="仿宋"/>
          <w:b w:val="0"/>
          <w:bCs w:val="0"/>
          <w:kern w:val="0"/>
          <w:sz w:val="32"/>
          <w:szCs w:val="32"/>
        </w:rPr>
        <w:t>下降、群众安全感</w:t>
      </w:r>
      <w:r>
        <w:rPr>
          <w:rFonts w:hint="eastAsia" w:ascii="仿宋" w:hAnsi="仿宋" w:eastAsia="仿宋" w:cs="仿宋"/>
          <w:b w:val="0"/>
          <w:bCs w:val="0"/>
          <w:kern w:val="0"/>
          <w:sz w:val="32"/>
          <w:szCs w:val="32"/>
          <w:lang w:val="en-US" w:eastAsia="zh-CN"/>
        </w:rPr>
        <w:t>进一步</w:t>
      </w:r>
      <w:r>
        <w:rPr>
          <w:rFonts w:hint="eastAsia" w:ascii="仿宋" w:hAnsi="仿宋" w:eastAsia="仿宋" w:cs="仿宋"/>
          <w:b w:val="0"/>
          <w:bCs w:val="0"/>
          <w:kern w:val="0"/>
          <w:sz w:val="32"/>
          <w:szCs w:val="32"/>
        </w:rPr>
        <w:t>提升；</w:t>
      </w:r>
      <w:r>
        <w:rPr>
          <w:rFonts w:hint="eastAsia" w:ascii="仿宋" w:hAnsi="仿宋" w:eastAsia="仿宋" w:cs="仿宋"/>
          <w:b w:val="0"/>
          <w:bCs w:val="0"/>
          <w:kern w:val="0"/>
          <w:sz w:val="32"/>
          <w:szCs w:val="32"/>
          <w:lang w:val="en-US" w:eastAsia="zh-CN"/>
        </w:rPr>
        <w:t>我们</w:t>
      </w:r>
      <w:r>
        <w:rPr>
          <w:rFonts w:hint="eastAsia" w:ascii="仿宋" w:hAnsi="仿宋" w:eastAsia="仿宋" w:cs="仿宋"/>
          <w:b w:val="0"/>
          <w:bCs w:val="0"/>
          <w:kern w:val="0"/>
          <w:sz w:val="32"/>
          <w:szCs w:val="32"/>
        </w:rPr>
        <w:t>压减</w:t>
      </w:r>
      <w:r>
        <w:rPr>
          <w:rFonts w:hint="eastAsia" w:ascii="仿宋" w:hAnsi="仿宋" w:eastAsia="仿宋" w:cs="仿宋"/>
          <w:b w:val="0"/>
          <w:bCs w:val="0"/>
          <w:kern w:val="0"/>
          <w:sz w:val="32"/>
          <w:szCs w:val="32"/>
          <w:lang w:val="en-US" w:eastAsia="zh-CN"/>
        </w:rPr>
        <w:t>一般性支出，</w:t>
      </w:r>
      <w:r>
        <w:rPr>
          <w:rFonts w:hint="eastAsia" w:ascii="仿宋" w:hAnsi="仿宋" w:eastAsia="仿宋" w:cs="仿宋"/>
          <w:b w:val="0"/>
          <w:bCs w:val="0"/>
          <w:kern w:val="0"/>
          <w:sz w:val="32"/>
          <w:szCs w:val="32"/>
        </w:rPr>
        <w:t>腾挪财力全部用于基层智治短板，行政运行效率明显提高。存在问题主要是预算前瞻不足、指标细化不够、成本分析不深。下一步将推行零基预算和滚动项目库，建立季度绩效对账与黄牌预警，强化成本—效益—风险三维评价，并把绩效结果与干部考核、预算安排、群众评议刚性挂钩，推动形成“花钱必问效、无效必问责”的长效机制，持续为高水平平安建设提供财力保障和制度支撑</w:t>
      </w:r>
      <w:r>
        <w:rPr>
          <w:rFonts w:hint="eastAsia" w:ascii="仿宋" w:hAnsi="仿宋" w:eastAsia="仿宋" w:cs="仿宋"/>
          <w:b w:val="0"/>
          <w:bCs w:val="0"/>
          <w:kern w:val="0"/>
          <w:sz w:val="32"/>
          <w:szCs w:val="32"/>
          <w:lang w:eastAsia="zh-CN"/>
        </w:rPr>
        <w:t>。</w:t>
      </w:r>
    </w:p>
    <w:p w14:paraId="004D01B3">
      <w:pPr>
        <w:keepNext w:val="0"/>
        <w:keepLines w:val="0"/>
        <w:pageBreakBefore w:val="0"/>
        <w:kinsoku/>
        <w:wordWrap/>
        <w:overflowPunct w:val="0"/>
        <w:topLinePunct w:val="0"/>
        <w:bidi w:val="0"/>
        <w:snapToGrid/>
        <w:spacing w:line="52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kern w:val="0"/>
          <w:sz w:val="32"/>
          <w:szCs w:val="32"/>
          <w:lang w:val="en-US" w:eastAsia="zh-CN"/>
        </w:rPr>
        <w:t>3.</w:t>
      </w:r>
      <w:r>
        <w:rPr>
          <w:rFonts w:hint="eastAsia" w:ascii="仿宋" w:hAnsi="仿宋" w:eastAsia="仿宋" w:cs="仿宋"/>
          <w:b/>
          <w:bCs/>
          <w:kern w:val="0"/>
          <w:sz w:val="32"/>
          <w:szCs w:val="32"/>
        </w:rPr>
        <w:t>事前绩效评估开展情况。</w:t>
      </w:r>
      <w:r>
        <w:rPr>
          <w:rFonts w:hint="eastAsia" w:ascii="仿宋" w:hAnsi="仿宋" w:eastAsia="仿宋" w:cs="仿宋"/>
          <w:color w:val="000000" w:themeColor="text1"/>
          <w:kern w:val="0"/>
          <w:sz w:val="32"/>
          <w:szCs w:val="32"/>
          <w:lang w:val="en-US" w:eastAsia="zh-CN"/>
          <w14:textFill>
            <w14:solidFill>
              <w14:schemeClr w14:val="tx1"/>
            </w14:solidFill>
          </w14:textFill>
        </w:rPr>
        <w:t>本单位及所属单位本年度未新增重大政策和重大项目，所以无事前绩效评估开展情况。</w:t>
      </w:r>
    </w:p>
    <w:p w14:paraId="6FC8205B">
      <w:pPr>
        <w:keepNext w:val="0"/>
        <w:keepLines w:val="0"/>
        <w:pageBreakBefore w:val="0"/>
        <w:kinsoku/>
        <w:wordWrap/>
        <w:overflowPunct w:val="0"/>
        <w:topLinePunct w:val="0"/>
        <w:bidi w:val="0"/>
        <w:snapToGrid/>
        <w:spacing w:line="52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（二）绩效评价结果</w:t>
      </w:r>
    </w:p>
    <w:p w14:paraId="5B47E3AB">
      <w:pPr>
        <w:keepNext w:val="0"/>
        <w:keepLines w:val="0"/>
        <w:pageBreakBefore w:val="0"/>
        <w:kinsoku/>
        <w:wordWrap/>
        <w:topLinePunct w:val="0"/>
        <w:autoSpaceDE w:val="0"/>
        <w:autoSpaceDN w:val="0"/>
        <w:bidi w:val="0"/>
        <w:adjustRightInd w:val="0"/>
        <w:snapToGrid/>
        <w:spacing w:line="52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绩效自评结果：2024年本部门整体支出年初预算1150万元，年度执行1375.45万元（含年度追加225.45万元），调整后预算执行率100%，但按年初预算口径计算执行偏离度+19.6%，绩效自评得分89.5分，等级“良”。绩效目标总体完成：政治建设、风险防控、综合治理、三高四新、督导落实五大任务全部达标，扫黑除恶、八类刑案明显下降，群众安全感进一步增强、</w:t>
      </w:r>
      <w:r>
        <w:rPr>
          <w:rFonts w:hint="eastAsia" w:ascii="仿宋" w:hAnsi="仿宋" w:eastAsia="仿宋" w:cs="仿宋"/>
          <w:color w:val="000000"/>
          <w:kern w:val="0"/>
          <w:sz w:val="32"/>
          <w:szCs w:val="32"/>
        </w:rPr>
        <w:t>社会大局安全稳定</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平安建设取得实效</w:t>
      </w:r>
      <w:r>
        <w:rPr>
          <w:rFonts w:hint="eastAsia" w:ascii="仿宋" w:hAnsi="仿宋" w:eastAsia="仿宋" w:cs="仿宋"/>
          <w:kern w:val="0"/>
          <w:sz w:val="32"/>
          <w:szCs w:val="32"/>
          <w:lang w:val="en-US" w:eastAsia="zh-CN"/>
        </w:rPr>
        <w:t>等核心指标如期实现。存在主要问题及原因：一是项目库管理仍显薄弱。由于不确定性因素增多，现行资金管理规定与实际需求脱节，同一时期内部分专项资金“紧缺”与“盈余”并存，结构性失衡突出。二是跨年项目资金安排前瞻性不足。事前评估深度不够，导致资金测算偏差、预算执行滞后。三是是资产管理与采购衔接不紧，对存量物资底数不清、需求核实不严，重复采购、账实不符现象时有发生，小件办公用品“重购轻管”问题尤为明显。四是资金统筹与绩效监控力度不足。预算分配标准体系量化程度低，绩效跟踪流于报表。下一步改进措施：一是强化主责主业，严格落实财政部门统一部署，把“花钱必问效、无效必问责”嵌入预算管理全流程，以全过程绩效链条推动财政资金使用提质增效。二是夯实日常基础，对照绩效管理考核标准，对部门整体支出和项目支出实行“一项一表、一事一评”，确保自评数据客观、指标准确、内容全面、结果可溯。</w:t>
      </w:r>
    </w:p>
    <w:p w14:paraId="3F32372E">
      <w:pPr>
        <w:keepNext w:val="0"/>
        <w:keepLines w:val="0"/>
        <w:pageBreakBefore w:val="0"/>
        <w:kinsoku/>
        <w:wordWrap/>
        <w:topLinePunct w:val="0"/>
        <w:autoSpaceDE w:val="0"/>
        <w:autoSpaceDN w:val="0"/>
        <w:bidi w:val="0"/>
        <w:adjustRightInd w:val="0"/>
        <w:snapToGrid/>
        <w:spacing w:line="520" w:lineRule="exact"/>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val="en-US" w:eastAsia="zh-CN"/>
        </w:rPr>
        <w:t>三是深化精细管理，坚持厉行节约、习惯过紧日子，完善定员定额与支出标准双控机制，优化保运转经费结构，切实以有限财力保障核心业务高效运行。</w:t>
      </w:r>
    </w:p>
    <w:p w14:paraId="1F555EDA">
      <w:pPr>
        <w:keepNext w:val="0"/>
        <w:keepLines w:val="0"/>
        <w:pageBreakBefore w:val="0"/>
        <w:kinsoku/>
        <w:wordWrap/>
        <w:overflowPunct w:val="0"/>
        <w:topLinePunct w:val="0"/>
        <w:bidi w:val="0"/>
        <w:snapToGrid/>
        <w:spacing w:line="52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2.</w:t>
      </w:r>
      <w:r>
        <w:rPr>
          <w:rFonts w:hint="eastAsia" w:ascii="仿宋" w:hAnsi="仿宋" w:eastAsia="仿宋" w:cs="仿宋"/>
          <w:b/>
          <w:bCs/>
          <w:kern w:val="0"/>
          <w:sz w:val="32"/>
          <w:szCs w:val="32"/>
        </w:rPr>
        <w:t>部门评价结果。</w:t>
      </w:r>
      <w:r>
        <w:rPr>
          <w:rFonts w:hint="eastAsia" w:ascii="仿宋" w:hAnsi="仿宋" w:eastAsia="仿宋" w:cs="仿宋"/>
          <w:color w:val="000000" w:themeColor="text1"/>
          <w:kern w:val="0"/>
          <w:sz w:val="32"/>
          <w:szCs w:val="32"/>
          <w:lang w:val="en-US" w:eastAsia="zh-CN"/>
          <w14:textFill>
            <w14:solidFill>
              <w14:schemeClr w14:val="tx1"/>
            </w14:solidFill>
          </w14:textFill>
        </w:rPr>
        <w:t>本单位及所属单位本年度未开展部门评价，所以无部门评价结果。</w:t>
      </w:r>
    </w:p>
    <w:p w14:paraId="5DC4775D">
      <w:pPr>
        <w:keepNext w:val="0"/>
        <w:keepLines w:val="0"/>
        <w:pageBreakBefore w:val="0"/>
        <w:kinsoku/>
        <w:wordWrap/>
        <w:overflowPunct w:val="0"/>
        <w:topLinePunct w:val="0"/>
        <w:bidi w:val="0"/>
        <w:snapToGrid/>
        <w:spacing w:line="520" w:lineRule="exact"/>
        <w:ind w:firstLine="640" w:firstLineChars="200"/>
        <w:textAlignment w:val="auto"/>
        <w:rPr>
          <w:rFonts w:hint="eastAsia" w:ascii="仿宋" w:hAnsi="仿宋" w:eastAsia="仿宋" w:cs="仿宋"/>
          <w:color w:val="FF0000"/>
          <w:sz w:val="32"/>
          <w:szCs w:val="32"/>
        </w:rPr>
      </w:pPr>
      <w:r>
        <w:rPr>
          <w:rFonts w:hint="eastAsia" w:ascii="仿宋" w:hAnsi="仿宋" w:eastAsia="仿宋" w:cs="仿宋"/>
          <w:kern w:val="0"/>
          <w:sz w:val="32"/>
          <w:szCs w:val="32"/>
          <w:lang w:val="en-US" w:eastAsia="zh-CN"/>
        </w:rPr>
        <w:t>3.</w:t>
      </w:r>
      <w:r>
        <w:rPr>
          <w:rFonts w:hint="eastAsia" w:ascii="仿宋" w:hAnsi="仿宋" w:eastAsia="仿宋" w:cs="仿宋"/>
          <w:b/>
          <w:bCs/>
          <w:kern w:val="0"/>
          <w:sz w:val="32"/>
          <w:szCs w:val="32"/>
          <w:highlight w:val="none"/>
          <w:lang w:val="en-US" w:eastAsia="zh-CN"/>
        </w:rPr>
        <w:t>事</w:t>
      </w:r>
      <w:r>
        <w:rPr>
          <w:rFonts w:hint="eastAsia" w:ascii="仿宋" w:hAnsi="仿宋" w:eastAsia="仿宋" w:cs="仿宋"/>
          <w:b/>
          <w:bCs/>
          <w:kern w:val="0"/>
          <w:sz w:val="32"/>
          <w:szCs w:val="32"/>
          <w:highlight w:val="none"/>
        </w:rPr>
        <w:t>前绩效评估结果。</w:t>
      </w:r>
      <w:r>
        <w:rPr>
          <w:rFonts w:hint="eastAsia" w:ascii="仿宋" w:hAnsi="仿宋" w:eastAsia="仿宋" w:cs="仿宋"/>
          <w:color w:val="000000" w:themeColor="text1"/>
          <w:kern w:val="0"/>
          <w:sz w:val="32"/>
          <w:szCs w:val="32"/>
          <w:lang w:val="en-US" w:eastAsia="zh-CN"/>
          <w14:textFill>
            <w14:solidFill>
              <w14:schemeClr w14:val="tx1"/>
            </w14:solidFill>
          </w14:textFill>
        </w:rPr>
        <w:t>本单位及所属单位本年度未开展事前绩效评估，所以无事前绩效评估结果。</w:t>
      </w:r>
    </w:p>
    <w:p w14:paraId="2C89E516">
      <w:pPr>
        <w:keepNext w:val="0"/>
        <w:keepLines w:val="0"/>
        <w:pageBreakBefore w:val="0"/>
        <w:numPr>
          <w:ilvl w:val="0"/>
          <w:numId w:val="2"/>
        </w:numPr>
        <w:kinsoku/>
        <w:wordWrap/>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b/>
          <w:bCs/>
          <w:color w:val="auto"/>
          <w:kern w:val="2"/>
          <w:sz w:val="32"/>
          <w:szCs w:val="32"/>
          <w:highlight w:val="none"/>
        </w:rPr>
      </w:pPr>
      <w:r>
        <w:rPr>
          <w:rFonts w:hint="eastAsia" w:ascii="仿宋" w:hAnsi="仿宋" w:eastAsia="仿宋" w:cs="仿宋"/>
          <w:b/>
          <w:bCs/>
          <w:color w:val="auto"/>
          <w:kern w:val="2"/>
          <w:sz w:val="32"/>
          <w:szCs w:val="32"/>
          <w:highlight w:val="none"/>
        </w:rPr>
        <w:t>评价结果应用情况</w:t>
      </w:r>
    </w:p>
    <w:p w14:paraId="46CA0FF9">
      <w:pPr>
        <w:keepNext w:val="0"/>
        <w:keepLines w:val="0"/>
        <w:pageBreakBefore w:val="0"/>
        <w:numPr>
          <w:ilvl w:val="0"/>
          <w:numId w:val="0"/>
        </w:numPr>
        <w:kinsoku/>
        <w:wordWrap/>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2025年，我委将绩效结果作为预算安排“硬杠杆”，实行“三挂钩”：</w:t>
      </w:r>
    </w:p>
    <w:p w14:paraId="74C4F128">
      <w:pPr>
        <w:keepNext w:val="0"/>
        <w:keepLines w:val="0"/>
        <w:pageBreakBefore w:val="0"/>
        <w:numPr>
          <w:ilvl w:val="0"/>
          <w:numId w:val="0"/>
        </w:numPr>
        <w:kinsoku/>
        <w:wordWrap/>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①预算额度与自评得分同向增减，89</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分仅达“良”，对偏离度达19.6%的九大项目一律压减10%规模；</w:t>
      </w:r>
    </w:p>
    <w:p w14:paraId="2E1CBAA7">
      <w:pPr>
        <w:keepNext w:val="0"/>
        <w:keepLines w:val="0"/>
        <w:pageBreakBefore w:val="0"/>
        <w:numPr>
          <w:ilvl w:val="0"/>
          <w:numId w:val="0"/>
        </w:numPr>
        <w:kinsoku/>
        <w:wordWrap/>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②制度层面固化“花钱必问效”链条，修订《专项资金管理办法》，建立季度绩效对账与黄牌预警，将评价结果与干部考核、科室预算、群众评议刚性挂钩，对连续两年自评低于90分的项目</w:t>
      </w:r>
      <w:r>
        <w:rPr>
          <w:rFonts w:hint="eastAsia" w:ascii="仿宋" w:hAnsi="仿宋" w:eastAsia="仿宋" w:cs="仿宋"/>
          <w:color w:val="auto"/>
          <w:sz w:val="32"/>
          <w:szCs w:val="32"/>
          <w:highlight w:val="none"/>
          <w:lang w:val="en-US" w:eastAsia="zh-CN"/>
        </w:rPr>
        <w:t>逐年核减</w:t>
      </w:r>
      <w:r>
        <w:rPr>
          <w:rFonts w:hint="eastAsia" w:ascii="仿宋" w:hAnsi="仿宋" w:eastAsia="仿宋" w:cs="仿宋"/>
          <w:color w:val="auto"/>
          <w:sz w:val="32"/>
          <w:szCs w:val="32"/>
          <w:highlight w:val="none"/>
        </w:rPr>
        <w:t>预算安排，确保2025年预算执行偏离度控制在±5%以内，绩效等级力争进入“优”。</w:t>
      </w:r>
    </w:p>
    <w:p w14:paraId="3971199E">
      <w:pPr>
        <w:keepNext w:val="0"/>
        <w:keepLines w:val="0"/>
        <w:pageBreakBefore w:val="0"/>
        <w:kinsoku/>
        <w:wordWrap/>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b w:val="0"/>
          <w:bCs w:val="0"/>
          <w:sz w:val="32"/>
          <w:szCs w:val="32"/>
          <w:lang w:val="en-US" w:eastAsia="zh-CN"/>
        </w:rPr>
        <w:t>预算绩效管理开展情况、绩效目标和绩效评价报告等，已在市政府部门财政预决算公开平台上向社会公开，详见附件。</w:t>
      </w:r>
    </w:p>
    <w:p w14:paraId="147E06D0">
      <w:pPr>
        <w:pStyle w:val="14"/>
        <w:keepNext w:val="0"/>
        <w:keepLines w:val="0"/>
        <w:pageBreakBefore w:val="0"/>
        <w:kinsoku/>
        <w:wordWrap/>
        <w:topLinePunct w:val="0"/>
        <w:bidi w:val="0"/>
        <w:snapToGrid/>
        <w:spacing w:line="520" w:lineRule="exact"/>
        <w:jc w:val="both"/>
        <w:textAlignment w:val="auto"/>
        <w:rPr>
          <w:rFonts w:hint="eastAsia" w:ascii="仿宋" w:hAnsi="仿宋" w:eastAsia="仿宋" w:cs="仿宋"/>
          <w:sz w:val="32"/>
          <w:szCs w:val="32"/>
        </w:rPr>
      </w:pPr>
    </w:p>
    <w:p w14:paraId="3D83FDA1">
      <w:pPr>
        <w:pStyle w:val="14"/>
        <w:keepNext w:val="0"/>
        <w:keepLines w:val="0"/>
        <w:pageBreakBefore w:val="0"/>
        <w:kinsoku/>
        <w:wordWrap/>
        <w:topLinePunct w:val="0"/>
        <w:bidi w:val="0"/>
        <w:snapToGrid/>
        <w:spacing w:line="520" w:lineRule="exact"/>
        <w:jc w:val="center"/>
        <w:textAlignment w:val="auto"/>
        <w:rPr>
          <w:rFonts w:hint="eastAsia" w:ascii="仿宋" w:hAnsi="仿宋" w:eastAsia="仿宋" w:cs="仿宋"/>
          <w:sz w:val="32"/>
          <w:szCs w:val="32"/>
        </w:rPr>
      </w:pPr>
    </w:p>
    <w:p w14:paraId="6FB6F211">
      <w:pPr>
        <w:pStyle w:val="14"/>
        <w:keepNext w:val="0"/>
        <w:keepLines w:val="0"/>
        <w:pageBreakBefore w:val="0"/>
        <w:kinsoku/>
        <w:wordWrap/>
        <w:topLinePunct w:val="0"/>
        <w:bidi w:val="0"/>
        <w:snapToGrid/>
        <w:spacing w:line="520" w:lineRule="exact"/>
        <w:jc w:val="center"/>
        <w:textAlignment w:val="auto"/>
        <w:rPr>
          <w:rFonts w:hint="eastAsia" w:ascii="仿宋" w:hAnsi="仿宋" w:eastAsia="仿宋" w:cs="仿宋"/>
          <w:sz w:val="32"/>
          <w:szCs w:val="32"/>
        </w:rPr>
      </w:pPr>
    </w:p>
    <w:p w14:paraId="3A01B6B0">
      <w:pPr>
        <w:pStyle w:val="14"/>
        <w:keepNext w:val="0"/>
        <w:keepLines w:val="0"/>
        <w:pageBreakBefore w:val="0"/>
        <w:kinsoku/>
        <w:wordWrap/>
        <w:topLinePunct w:val="0"/>
        <w:bidi w:val="0"/>
        <w:snapToGrid/>
        <w:spacing w:line="520" w:lineRule="exact"/>
        <w:jc w:val="center"/>
        <w:textAlignment w:val="auto"/>
        <w:rPr>
          <w:rFonts w:hint="eastAsia" w:ascii="仿宋" w:hAnsi="仿宋" w:eastAsia="仿宋" w:cs="仿宋"/>
          <w:sz w:val="32"/>
          <w:szCs w:val="32"/>
        </w:rPr>
      </w:pPr>
    </w:p>
    <w:p w14:paraId="475C1000">
      <w:pPr>
        <w:pStyle w:val="14"/>
        <w:jc w:val="center"/>
        <w:rPr>
          <w:rFonts w:hint="eastAsia" w:ascii="方正小标宋_GBK" w:hAnsi="方正小标宋_GBK" w:eastAsia="方正小标宋_GBK" w:cs="方正小标宋_GBK"/>
          <w:sz w:val="72"/>
          <w:szCs w:val="72"/>
        </w:rPr>
      </w:pPr>
    </w:p>
    <w:p w14:paraId="726C30A0">
      <w:pPr>
        <w:pStyle w:val="14"/>
        <w:jc w:val="center"/>
        <w:rPr>
          <w:rFonts w:hint="eastAsia" w:ascii="方正小标宋_GBK" w:hAnsi="方正小标宋_GBK" w:eastAsia="方正小标宋_GBK" w:cs="方正小标宋_GBK"/>
          <w:sz w:val="72"/>
          <w:szCs w:val="72"/>
        </w:rPr>
      </w:pPr>
    </w:p>
    <w:p w14:paraId="2C0DDD99">
      <w:pPr>
        <w:pStyle w:val="14"/>
        <w:jc w:val="both"/>
        <w:rPr>
          <w:rFonts w:hint="eastAsia" w:ascii="方正小标宋_GBK" w:hAnsi="方正小标宋_GBK" w:eastAsia="方正小标宋_GBK" w:cs="方正小标宋_GBK"/>
          <w:sz w:val="72"/>
          <w:szCs w:val="72"/>
        </w:rPr>
      </w:pPr>
    </w:p>
    <w:p w14:paraId="0DC9E939">
      <w:pPr>
        <w:pStyle w:val="14"/>
        <w:jc w:val="both"/>
        <w:rPr>
          <w:rFonts w:hint="eastAsia" w:ascii="方正小标宋_GBK" w:hAnsi="方正小标宋_GBK" w:eastAsia="方正小标宋_GBK" w:cs="方正小标宋_GBK"/>
          <w:sz w:val="72"/>
          <w:szCs w:val="72"/>
        </w:rPr>
      </w:pPr>
    </w:p>
    <w:p w14:paraId="297399E1">
      <w:pPr>
        <w:pStyle w:val="14"/>
        <w:jc w:val="both"/>
        <w:rPr>
          <w:rFonts w:hint="eastAsia" w:ascii="方正小标宋_GBK" w:hAnsi="方正小标宋_GBK" w:eastAsia="方正小标宋_GBK" w:cs="方正小标宋_GBK"/>
          <w:sz w:val="72"/>
          <w:szCs w:val="72"/>
        </w:rPr>
      </w:pPr>
    </w:p>
    <w:p w14:paraId="2F33D1D9">
      <w:pPr>
        <w:pStyle w:val="14"/>
        <w:jc w:val="both"/>
        <w:rPr>
          <w:rFonts w:hint="eastAsia" w:ascii="方正小标宋_GBK" w:hAnsi="方正小标宋_GBK" w:eastAsia="方正小标宋_GBK" w:cs="方正小标宋_GBK"/>
          <w:sz w:val="72"/>
          <w:szCs w:val="72"/>
        </w:rPr>
      </w:pPr>
    </w:p>
    <w:p w14:paraId="596D76FB">
      <w:pPr>
        <w:pStyle w:val="14"/>
        <w:jc w:val="both"/>
        <w:rPr>
          <w:rFonts w:hint="eastAsia" w:ascii="方正小标宋_GBK" w:hAnsi="方正小标宋_GBK" w:eastAsia="方正小标宋_GBK" w:cs="方正小标宋_GBK"/>
          <w:sz w:val="72"/>
          <w:szCs w:val="72"/>
        </w:rPr>
      </w:pPr>
    </w:p>
    <w:p w14:paraId="42C4696F">
      <w:pPr>
        <w:pStyle w:val="14"/>
        <w:jc w:val="both"/>
        <w:rPr>
          <w:rFonts w:hint="eastAsia" w:ascii="方正小标宋_GBK" w:hAnsi="方正小标宋_GBK" w:eastAsia="方正小标宋_GBK" w:cs="方正小标宋_GBK"/>
          <w:sz w:val="72"/>
          <w:szCs w:val="72"/>
        </w:rPr>
      </w:pPr>
    </w:p>
    <w:p w14:paraId="0D1A46B7">
      <w:pPr>
        <w:pStyle w:val="14"/>
        <w:jc w:val="both"/>
        <w:rPr>
          <w:rFonts w:hint="eastAsia" w:ascii="方正小标宋_GBK" w:hAnsi="方正小标宋_GBK" w:eastAsia="方正小标宋_GBK" w:cs="方正小标宋_GBK"/>
          <w:sz w:val="72"/>
          <w:szCs w:val="72"/>
        </w:rPr>
      </w:pPr>
    </w:p>
    <w:p w14:paraId="09037F97">
      <w:pPr>
        <w:pStyle w:val="14"/>
        <w:jc w:val="both"/>
        <w:rPr>
          <w:rFonts w:hint="eastAsia" w:ascii="方正小标宋_GBK" w:hAnsi="方正小标宋_GBK" w:eastAsia="方正小标宋_GBK" w:cs="方正小标宋_GBK"/>
          <w:sz w:val="72"/>
          <w:szCs w:val="72"/>
        </w:rPr>
      </w:pPr>
    </w:p>
    <w:p w14:paraId="24A2D2C1">
      <w:pPr>
        <w:pStyle w:val="14"/>
        <w:jc w:val="both"/>
        <w:rPr>
          <w:rFonts w:hint="eastAsia" w:ascii="方正小标宋_GBK" w:hAnsi="方正小标宋_GBK" w:eastAsia="方正小标宋_GBK" w:cs="方正小标宋_GBK"/>
          <w:sz w:val="72"/>
          <w:szCs w:val="72"/>
        </w:rPr>
      </w:pPr>
    </w:p>
    <w:p w14:paraId="6A5A782C">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2DDD6447">
      <w:pPr>
        <w:jc w:val="center"/>
        <w:rPr>
          <w:rFonts w:hint="eastAsia" w:ascii="方正小标宋_GBK" w:hAnsi="方正小标宋_GBK" w:eastAsia="方正小标宋_GBK" w:cs="方正小标宋_GBK"/>
          <w:color w:val="000000"/>
          <w:kern w:val="0"/>
          <w:sz w:val="70"/>
          <w:szCs w:val="70"/>
        </w:rPr>
      </w:pPr>
    </w:p>
    <w:p w14:paraId="41992F86">
      <w:pPr>
        <w:pStyle w:val="14"/>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14:paraId="571298D0">
      <w:pPr>
        <w:pStyle w:val="2"/>
      </w:pPr>
    </w:p>
    <w:p w14:paraId="5331F884">
      <w:pPr>
        <w:pStyle w:val="3"/>
      </w:pPr>
    </w:p>
    <w:p w14:paraId="2CCAD852"/>
    <w:p w14:paraId="440E89DF">
      <w:pPr>
        <w:pStyle w:val="2"/>
      </w:pPr>
    </w:p>
    <w:p w14:paraId="645B9B76">
      <w:pPr>
        <w:pStyle w:val="3"/>
      </w:pPr>
    </w:p>
    <w:p w14:paraId="539F25AC"/>
    <w:p w14:paraId="47AFAB8F">
      <w:pPr>
        <w:pStyle w:val="2"/>
      </w:pPr>
    </w:p>
    <w:p w14:paraId="793F6BC2">
      <w:pPr>
        <w:jc w:val="left"/>
        <w:rPr>
          <w:rFonts w:hint="eastAsia" w:ascii="仿宋_GB2312" w:hAnsi="仿宋_GB2312" w:eastAsia="仿宋_GB2312" w:cs="仿宋_GB2312"/>
          <w:color w:val="000000"/>
          <w:kern w:val="0"/>
          <w:sz w:val="32"/>
          <w:szCs w:val="32"/>
        </w:rPr>
      </w:pPr>
    </w:p>
    <w:p w14:paraId="45E26C3D">
      <w:pPr>
        <w:pStyle w:val="2"/>
        <w:rPr>
          <w:rFonts w:hint="eastAsia" w:ascii="仿宋_GB2312" w:hAnsi="仿宋_GB2312" w:eastAsia="仿宋_GB2312" w:cs="仿宋_GB2312"/>
          <w:color w:val="000000"/>
          <w:kern w:val="0"/>
          <w:sz w:val="32"/>
          <w:szCs w:val="32"/>
        </w:rPr>
      </w:pPr>
    </w:p>
    <w:p w14:paraId="2E1ADE89">
      <w:pPr>
        <w:pStyle w:val="2"/>
        <w:rPr>
          <w:rFonts w:hint="eastAsia"/>
        </w:rPr>
      </w:pPr>
    </w:p>
    <w:p w14:paraId="590B83A0">
      <w:pPr>
        <w:pStyle w:val="3"/>
        <w:rPr>
          <w:rFonts w:hint="eastAsia"/>
        </w:rPr>
      </w:pPr>
    </w:p>
    <w:p w14:paraId="377927AF">
      <w:pPr>
        <w:rPr>
          <w:rFonts w:hint="eastAsia"/>
        </w:rPr>
      </w:pPr>
    </w:p>
    <w:p w14:paraId="4581F1A8">
      <w:pPr>
        <w:pStyle w:val="2"/>
        <w:rPr>
          <w:rFonts w:hint="eastAsia"/>
        </w:rPr>
      </w:pPr>
    </w:p>
    <w:p w14:paraId="6FB7190B">
      <w:pPr>
        <w:pStyle w:val="3"/>
        <w:rPr>
          <w:rFonts w:hint="eastAsia"/>
        </w:rPr>
      </w:pPr>
    </w:p>
    <w:p w14:paraId="29A7E7CC">
      <w:pPr>
        <w:rPr>
          <w:rFonts w:hint="eastAsia"/>
        </w:rPr>
      </w:pPr>
    </w:p>
    <w:p w14:paraId="4A7ABAF1">
      <w:pPr>
        <w:pStyle w:val="2"/>
        <w:rPr>
          <w:rFonts w:hint="eastAsia"/>
        </w:rPr>
      </w:pPr>
    </w:p>
    <w:p w14:paraId="6C8B7C87">
      <w:pPr>
        <w:pStyle w:val="3"/>
        <w:rPr>
          <w:rFonts w:hint="eastAsia"/>
        </w:rPr>
      </w:pPr>
    </w:p>
    <w:p w14:paraId="40EE1BFE">
      <w:pPr>
        <w:rPr>
          <w:rFonts w:hint="eastAsia"/>
        </w:rPr>
      </w:pPr>
    </w:p>
    <w:p w14:paraId="2062E4D2">
      <w:pPr>
        <w:pStyle w:val="2"/>
        <w:rPr>
          <w:rFonts w:hint="eastAsia"/>
        </w:rPr>
      </w:pPr>
    </w:p>
    <w:p w14:paraId="59AEF524">
      <w:pPr>
        <w:pStyle w:val="3"/>
        <w:ind w:left="0" w:leftChars="0" w:firstLine="0" w:firstLineChars="0"/>
        <w:rPr>
          <w:rFonts w:hint="eastAsia"/>
        </w:rPr>
      </w:pPr>
    </w:p>
    <w:p w14:paraId="754BC71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75346A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14:paraId="18EAE63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bCs/>
          <w:i/>
          <w:color w:val="FF0000"/>
          <w:kern w:val="0"/>
          <w:sz w:val="32"/>
          <w:szCs w:val="32"/>
          <w:lang w:val="en-US" w:eastAsia="zh-CN" w:bidi="ar-SA"/>
        </w:rPr>
      </w:pPr>
    </w:p>
    <w:p w14:paraId="2AE81CE8">
      <w:pPr>
        <w:pStyle w:val="14"/>
        <w:jc w:val="center"/>
        <w:rPr>
          <w:rFonts w:hint="eastAsia" w:ascii="仿宋_GB2312" w:hAnsi="仿宋_GB2312" w:eastAsia="仿宋_GB2312" w:cs="仿宋_GB2312"/>
          <w:sz w:val="32"/>
          <w:szCs w:val="32"/>
        </w:rPr>
      </w:pPr>
    </w:p>
    <w:p w14:paraId="1D47518A">
      <w:pPr>
        <w:pStyle w:val="3"/>
      </w:pPr>
    </w:p>
    <w:p w14:paraId="580CF8E4"/>
    <w:p w14:paraId="0C17744C">
      <w:pPr>
        <w:pStyle w:val="2"/>
      </w:pPr>
    </w:p>
    <w:p w14:paraId="7B8BABF4">
      <w:pPr>
        <w:pStyle w:val="3"/>
      </w:pPr>
    </w:p>
    <w:p w14:paraId="1942C0DC"/>
    <w:p w14:paraId="6E2D1EEF">
      <w:pPr>
        <w:pStyle w:val="2"/>
      </w:pPr>
    </w:p>
    <w:p w14:paraId="5F6ABC3B">
      <w:pPr>
        <w:pStyle w:val="3"/>
      </w:pPr>
    </w:p>
    <w:p w14:paraId="51BE6437"/>
    <w:p w14:paraId="05344CBA">
      <w:pPr>
        <w:pStyle w:val="2"/>
      </w:pPr>
    </w:p>
    <w:p w14:paraId="5C9170AD">
      <w:pPr>
        <w:pStyle w:val="3"/>
      </w:pPr>
    </w:p>
    <w:p w14:paraId="29D3A91E"/>
    <w:p w14:paraId="0D2A994E">
      <w:pPr>
        <w:pStyle w:val="2"/>
      </w:pPr>
    </w:p>
    <w:p w14:paraId="59CBCCA7">
      <w:pPr>
        <w:pStyle w:val="3"/>
      </w:pPr>
    </w:p>
    <w:p w14:paraId="67806EBD"/>
    <w:p w14:paraId="7C18BB03">
      <w:pPr>
        <w:pStyle w:val="2"/>
      </w:pPr>
    </w:p>
    <w:p w14:paraId="29230CAD">
      <w:pPr>
        <w:pStyle w:val="3"/>
      </w:pPr>
    </w:p>
    <w:p w14:paraId="724E0A54"/>
    <w:p w14:paraId="496F732E">
      <w:pPr>
        <w:pStyle w:val="2"/>
      </w:pPr>
    </w:p>
    <w:p w14:paraId="354ECFD8">
      <w:pPr>
        <w:pStyle w:val="3"/>
      </w:pPr>
    </w:p>
    <w:p w14:paraId="51C67B38"/>
    <w:p w14:paraId="4D131F3E"/>
    <w:p w14:paraId="7CFBCE3C">
      <w:pPr>
        <w:pStyle w:val="2"/>
      </w:pPr>
    </w:p>
    <w:p w14:paraId="5C3DE094">
      <w:pPr>
        <w:pStyle w:val="14"/>
        <w:jc w:val="both"/>
        <w:rPr>
          <w:rFonts w:hint="eastAsia" w:ascii="方正小标宋_GBK" w:hAnsi="方正小标宋_GBK" w:eastAsia="方正小标宋_GBK" w:cs="方正小标宋_GBK"/>
          <w:sz w:val="72"/>
          <w:szCs w:val="72"/>
        </w:rPr>
      </w:pPr>
    </w:p>
    <w:p w14:paraId="17462020">
      <w:pPr>
        <w:pStyle w:val="14"/>
        <w:jc w:val="both"/>
        <w:rPr>
          <w:rFonts w:hint="eastAsia" w:ascii="方正小标宋_GBK" w:hAnsi="方正小标宋_GBK" w:eastAsia="方正小标宋_GBK" w:cs="方正小标宋_GBK"/>
          <w:sz w:val="72"/>
          <w:szCs w:val="72"/>
        </w:rPr>
      </w:pPr>
    </w:p>
    <w:p w14:paraId="1BCBFA9B">
      <w:pPr>
        <w:pStyle w:val="14"/>
        <w:jc w:val="both"/>
        <w:rPr>
          <w:rFonts w:hint="eastAsia" w:ascii="方正小标宋_GBK" w:hAnsi="方正小标宋_GBK" w:eastAsia="方正小标宋_GBK" w:cs="方正小标宋_GBK"/>
          <w:sz w:val="72"/>
          <w:szCs w:val="72"/>
        </w:rPr>
      </w:pPr>
    </w:p>
    <w:p w14:paraId="6415D09E">
      <w:pPr>
        <w:pStyle w:val="14"/>
        <w:jc w:val="both"/>
        <w:rPr>
          <w:rFonts w:hint="eastAsia" w:ascii="方正小标宋_GBK" w:hAnsi="方正小标宋_GBK" w:eastAsia="方正小标宋_GBK" w:cs="方正小标宋_GBK"/>
          <w:sz w:val="72"/>
          <w:szCs w:val="72"/>
        </w:rPr>
      </w:pPr>
    </w:p>
    <w:p w14:paraId="0C1858E3">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592BF6CA">
      <w:pPr>
        <w:pStyle w:val="14"/>
        <w:jc w:val="both"/>
        <w:rPr>
          <w:rFonts w:hint="eastAsia" w:ascii="方正小标宋_GBK" w:hAnsi="方正小标宋_GBK" w:eastAsia="方正小标宋_GBK" w:cs="方正小标宋_GBK"/>
          <w:sz w:val="70"/>
          <w:szCs w:val="70"/>
          <w:lang w:eastAsia="zh-CN"/>
        </w:rPr>
      </w:pPr>
    </w:p>
    <w:p w14:paraId="490142D3">
      <w:pPr>
        <w:pStyle w:val="14"/>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3243C04E">
      <w:pPr>
        <w:ind w:firstLine="640" w:firstLineChars="200"/>
        <w:jc w:val="left"/>
        <w:rPr>
          <w:rFonts w:hint="eastAsia" w:ascii="宋体" w:hAnsi="宋体" w:eastAsia="宋体" w:cs="黑体"/>
          <w:b/>
          <w:color w:val="000000"/>
          <w:kern w:val="0"/>
          <w:sz w:val="32"/>
          <w:szCs w:val="32"/>
          <w:lang w:val="en-US" w:eastAsia="zh-CN"/>
        </w:rPr>
      </w:pPr>
    </w:p>
    <w:p w14:paraId="77441381">
      <w:pPr>
        <w:pStyle w:val="2"/>
        <w:rPr>
          <w:rFonts w:hint="eastAsia" w:ascii="宋体" w:hAnsi="宋体" w:eastAsia="宋体" w:cs="黑体"/>
          <w:b/>
          <w:color w:val="000000"/>
          <w:kern w:val="0"/>
          <w:sz w:val="32"/>
          <w:szCs w:val="32"/>
          <w:lang w:val="en-US" w:eastAsia="zh-CN"/>
        </w:rPr>
      </w:pPr>
    </w:p>
    <w:p w14:paraId="59CFEC91">
      <w:pPr>
        <w:pStyle w:val="3"/>
        <w:rPr>
          <w:rFonts w:hint="eastAsia"/>
          <w:lang w:val="en-US" w:eastAsia="zh-CN"/>
        </w:rPr>
      </w:pPr>
    </w:p>
    <w:p w14:paraId="4EAC9354">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w:t>
      </w:r>
      <w:r>
        <w:rPr>
          <w:rFonts w:hint="eastAsia" w:ascii="宋体" w:hAnsi="宋体" w:eastAsia="宋体" w:cs="黑体"/>
          <w:b/>
          <w:color w:val="000000"/>
          <w:kern w:val="0"/>
          <w:sz w:val="32"/>
          <w:szCs w:val="32"/>
          <w:highlight w:val="none"/>
          <w:lang w:val="en-US" w:eastAsia="zh-CN"/>
        </w:rPr>
        <w:t>2024</w:t>
      </w:r>
      <w:r>
        <w:rPr>
          <w:rFonts w:hint="eastAsia" w:ascii="宋体" w:hAnsi="宋体" w:eastAsia="宋体" w:cs="黑体"/>
          <w:b/>
          <w:color w:val="000000"/>
          <w:kern w:val="0"/>
          <w:sz w:val="32"/>
          <w:szCs w:val="32"/>
          <w:lang w:val="en-US" w:eastAsia="zh-CN"/>
        </w:rPr>
        <w:t>年部门决算公开表格</w:t>
      </w:r>
    </w:p>
    <w:p w14:paraId="27E2EE8B">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highlight w:val="none"/>
        </w:rPr>
        <w:t>202</w:t>
      </w:r>
      <w:r>
        <w:rPr>
          <w:rFonts w:hint="eastAsia" w:ascii="宋体" w:hAnsi="宋体" w:eastAsia="宋体" w:cs="黑体"/>
          <w:b/>
          <w:color w:val="000000"/>
          <w:kern w:val="0"/>
          <w:sz w:val="32"/>
          <w:szCs w:val="32"/>
          <w:highlight w:val="none"/>
          <w:lang w:val="en-US" w:eastAsia="zh-CN"/>
        </w:rPr>
        <w:t>4</w:t>
      </w:r>
      <w:r>
        <w:rPr>
          <w:rFonts w:hint="eastAsia" w:ascii="宋体" w:hAnsi="宋体" w:eastAsia="宋体" w:cs="黑体"/>
          <w:b/>
          <w:color w:val="000000"/>
          <w:kern w:val="0"/>
          <w:sz w:val="32"/>
          <w:szCs w:val="32"/>
        </w:rPr>
        <w:t>年度部门整体支出绩效评价报告</w:t>
      </w:r>
    </w:p>
    <w:p w14:paraId="045AD96C"/>
    <w:p w14:paraId="41CA6109">
      <w:pPr>
        <w:pStyle w:val="2"/>
      </w:pPr>
    </w:p>
    <w:p w14:paraId="4DEB4534">
      <w:pPr>
        <w:pStyle w:val="3"/>
      </w:pPr>
    </w:p>
    <w:p w14:paraId="13A90062"/>
    <w:p w14:paraId="7B2A0538">
      <w:pPr>
        <w:pStyle w:val="2"/>
      </w:pPr>
    </w:p>
    <w:p w14:paraId="7813DE09">
      <w:pPr>
        <w:pStyle w:val="3"/>
      </w:pPr>
    </w:p>
    <w:p w14:paraId="34D29E5E"/>
    <w:p w14:paraId="753B9D7F">
      <w:pPr>
        <w:pStyle w:val="2"/>
      </w:pPr>
    </w:p>
    <w:p w14:paraId="4D1FB8E1">
      <w:pPr>
        <w:pStyle w:val="3"/>
      </w:pPr>
    </w:p>
    <w:p w14:paraId="230A1ACE"/>
    <w:p w14:paraId="5D727876">
      <w:pPr>
        <w:pStyle w:val="2"/>
      </w:pPr>
    </w:p>
    <w:p w14:paraId="2E5E81AB">
      <w:pPr>
        <w:pStyle w:val="3"/>
      </w:pPr>
    </w:p>
    <w:p w14:paraId="5DC3FAA4"/>
    <w:p w14:paraId="459E9AF1">
      <w:pPr>
        <w:pStyle w:val="2"/>
      </w:pPr>
    </w:p>
    <w:p w14:paraId="4FE903C2">
      <w:pPr>
        <w:pStyle w:val="3"/>
      </w:pPr>
    </w:p>
    <w:p w14:paraId="46A8D12B">
      <w:pPr>
        <w:pStyle w:val="3"/>
        <w:ind w:left="0" w:leftChars="0" w:firstLine="0" w:firstLineChars="0"/>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ECFD4"/>
    <w:multiLevelType w:val="singleLevel"/>
    <w:tmpl w:val="8EDECFD4"/>
    <w:lvl w:ilvl="0" w:tentative="0">
      <w:start w:val="3"/>
      <w:numFmt w:val="chineseCounting"/>
      <w:suff w:val="nothing"/>
      <w:lvlText w:val="（%1）"/>
      <w:lvlJc w:val="left"/>
      <w:rPr>
        <w:rFonts w:hint="eastAsia"/>
      </w:rPr>
    </w:lvl>
  </w:abstractNum>
  <w:abstractNum w:abstractNumId="1">
    <w:nsid w:val="C330772C"/>
    <w:multiLevelType w:val="singleLevel"/>
    <w:tmpl w:val="C330772C"/>
    <w:lvl w:ilvl="0" w:tentative="0">
      <w:start w:val="1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0E5D71"/>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128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45991"/>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2D2227"/>
    <w:rsid w:val="01505F15"/>
    <w:rsid w:val="01730582"/>
    <w:rsid w:val="01820C5D"/>
    <w:rsid w:val="01A06E9D"/>
    <w:rsid w:val="020A2568"/>
    <w:rsid w:val="0234170D"/>
    <w:rsid w:val="025D4572"/>
    <w:rsid w:val="02816CCE"/>
    <w:rsid w:val="02C95F7F"/>
    <w:rsid w:val="02F32FFC"/>
    <w:rsid w:val="03215DBB"/>
    <w:rsid w:val="037B4B6C"/>
    <w:rsid w:val="039842CF"/>
    <w:rsid w:val="03C36E72"/>
    <w:rsid w:val="03D66BA6"/>
    <w:rsid w:val="04402271"/>
    <w:rsid w:val="04425FE9"/>
    <w:rsid w:val="045C354F"/>
    <w:rsid w:val="0466617C"/>
    <w:rsid w:val="04673CA2"/>
    <w:rsid w:val="04AA217D"/>
    <w:rsid w:val="04E62E18"/>
    <w:rsid w:val="051C2CDE"/>
    <w:rsid w:val="054A784B"/>
    <w:rsid w:val="059958AD"/>
    <w:rsid w:val="05AD3936"/>
    <w:rsid w:val="05D90BCF"/>
    <w:rsid w:val="05E25CD6"/>
    <w:rsid w:val="060A0D89"/>
    <w:rsid w:val="061E4834"/>
    <w:rsid w:val="062A0D35"/>
    <w:rsid w:val="064C13A1"/>
    <w:rsid w:val="065F40FD"/>
    <w:rsid w:val="06620BC5"/>
    <w:rsid w:val="06846D8D"/>
    <w:rsid w:val="06B66CF3"/>
    <w:rsid w:val="06C857E7"/>
    <w:rsid w:val="074A1D85"/>
    <w:rsid w:val="076B5857"/>
    <w:rsid w:val="077741FC"/>
    <w:rsid w:val="07AF1BE8"/>
    <w:rsid w:val="07C5140B"/>
    <w:rsid w:val="07E054BF"/>
    <w:rsid w:val="084E737F"/>
    <w:rsid w:val="08512C9F"/>
    <w:rsid w:val="087921F6"/>
    <w:rsid w:val="087A0447"/>
    <w:rsid w:val="08C24A73"/>
    <w:rsid w:val="08CB2092"/>
    <w:rsid w:val="09095327"/>
    <w:rsid w:val="09491BC8"/>
    <w:rsid w:val="0A075D0B"/>
    <w:rsid w:val="0A0B50CF"/>
    <w:rsid w:val="0A481E7F"/>
    <w:rsid w:val="0A821835"/>
    <w:rsid w:val="0AD41965"/>
    <w:rsid w:val="0ADA51CD"/>
    <w:rsid w:val="0B016BFE"/>
    <w:rsid w:val="0B41524D"/>
    <w:rsid w:val="0B521208"/>
    <w:rsid w:val="0B626F71"/>
    <w:rsid w:val="0B6B4077"/>
    <w:rsid w:val="0B8C3FEE"/>
    <w:rsid w:val="0B927856"/>
    <w:rsid w:val="0BBF2615"/>
    <w:rsid w:val="0C4F1BEB"/>
    <w:rsid w:val="0C690055"/>
    <w:rsid w:val="0C9B6BDE"/>
    <w:rsid w:val="0CAB053E"/>
    <w:rsid w:val="0CB35CD6"/>
    <w:rsid w:val="0CBC288D"/>
    <w:rsid w:val="0D330BC5"/>
    <w:rsid w:val="0D7D0092"/>
    <w:rsid w:val="0E056A05"/>
    <w:rsid w:val="0E514680"/>
    <w:rsid w:val="0E6F20D1"/>
    <w:rsid w:val="0E95735C"/>
    <w:rsid w:val="0EBB70C4"/>
    <w:rsid w:val="0F234C69"/>
    <w:rsid w:val="0F4470B9"/>
    <w:rsid w:val="0F492922"/>
    <w:rsid w:val="0F551427"/>
    <w:rsid w:val="0F8C280E"/>
    <w:rsid w:val="0FA933C0"/>
    <w:rsid w:val="0FDE750E"/>
    <w:rsid w:val="0FFA00C0"/>
    <w:rsid w:val="0FFD0403"/>
    <w:rsid w:val="10B464C1"/>
    <w:rsid w:val="10C81F6C"/>
    <w:rsid w:val="111725AC"/>
    <w:rsid w:val="111B209C"/>
    <w:rsid w:val="11447845"/>
    <w:rsid w:val="11477335"/>
    <w:rsid w:val="11944E2C"/>
    <w:rsid w:val="11A13517"/>
    <w:rsid w:val="11BF511D"/>
    <w:rsid w:val="11D02E86"/>
    <w:rsid w:val="121F796A"/>
    <w:rsid w:val="12266F4A"/>
    <w:rsid w:val="1232769D"/>
    <w:rsid w:val="123A47A4"/>
    <w:rsid w:val="12583BA5"/>
    <w:rsid w:val="12AC38F3"/>
    <w:rsid w:val="12CD73C6"/>
    <w:rsid w:val="12F232D0"/>
    <w:rsid w:val="130A061A"/>
    <w:rsid w:val="13712447"/>
    <w:rsid w:val="13767A5D"/>
    <w:rsid w:val="13906D71"/>
    <w:rsid w:val="1399374C"/>
    <w:rsid w:val="13A24CF6"/>
    <w:rsid w:val="13A26AA4"/>
    <w:rsid w:val="13BA5B9C"/>
    <w:rsid w:val="140B63F8"/>
    <w:rsid w:val="140C7A20"/>
    <w:rsid w:val="14237BE5"/>
    <w:rsid w:val="143040B0"/>
    <w:rsid w:val="143811B7"/>
    <w:rsid w:val="14E51FCD"/>
    <w:rsid w:val="15080B89"/>
    <w:rsid w:val="159D7523"/>
    <w:rsid w:val="159E7B51"/>
    <w:rsid w:val="1629525B"/>
    <w:rsid w:val="16985F3D"/>
    <w:rsid w:val="16A20B69"/>
    <w:rsid w:val="16CF7BB0"/>
    <w:rsid w:val="16F47617"/>
    <w:rsid w:val="17377504"/>
    <w:rsid w:val="177469AA"/>
    <w:rsid w:val="178A3AD7"/>
    <w:rsid w:val="17FB6783"/>
    <w:rsid w:val="1811244B"/>
    <w:rsid w:val="181D0DEF"/>
    <w:rsid w:val="188B3FAB"/>
    <w:rsid w:val="18CA44D9"/>
    <w:rsid w:val="18CE20EA"/>
    <w:rsid w:val="18F57676"/>
    <w:rsid w:val="192D5062"/>
    <w:rsid w:val="199C5D44"/>
    <w:rsid w:val="199C694B"/>
    <w:rsid w:val="19B56B40"/>
    <w:rsid w:val="19E46AD2"/>
    <w:rsid w:val="1A5A1E87"/>
    <w:rsid w:val="1A7A42D7"/>
    <w:rsid w:val="1A840CB2"/>
    <w:rsid w:val="1A8E38DF"/>
    <w:rsid w:val="1AAB4490"/>
    <w:rsid w:val="1AB570BD"/>
    <w:rsid w:val="1AD0039B"/>
    <w:rsid w:val="1B1C713C"/>
    <w:rsid w:val="1B3C77DE"/>
    <w:rsid w:val="1B3E3557"/>
    <w:rsid w:val="1B917B2A"/>
    <w:rsid w:val="1BB31E69"/>
    <w:rsid w:val="1BB9498B"/>
    <w:rsid w:val="1BD417C5"/>
    <w:rsid w:val="1C1918CE"/>
    <w:rsid w:val="1C8E619A"/>
    <w:rsid w:val="1CB11B06"/>
    <w:rsid w:val="1CD87093"/>
    <w:rsid w:val="1D775E49"/>
    <w:rsid w:val="1D944A0D"/>
    <w:rsid w:val="1D97DEFF"/>
    <w:rsid w:val="1DD2442A"/>
    <w:rsid w:val="1DFF72E5"/>
    <w:rsid w:val="1E222CBC"/>
    <w:rsid w:val="1E366767"/>
    <w:rsid w:val="1E7159F1"/>
    <w:rsid w:val="1E7828DC"/>
    <w:rsid w:val="1ED0096A"/>
    <w:rsid w:val="1EFC6F07"/>
    <w:rsid w:val="1F0527A6"/>
    <w:rsid w:val="1F072829"/>
    <w:rsid w:val="1F792DAF"/>
    <w:rsid w:val="1FAF03BE"/>
    <w:rsid w:val="1FE919CC"/>
    <w:rsid w:val="1FEB28FD"/>
    <w:rsid w:val="1FF95C9E"/>
    <w:rsid w:val="1FFC578E"/>
    <w:rsid w:val="200D1749"/>
    <w:rsid w:val="201E3957"/>
    <w:rsid w:val="202C6073"/>
    <w:rsid w:val="20506B9E"/>
    <w:rsid w:val="205D447F"/>
    <w:rsid w:val="20B120D5"/>
    <w:rsid w:val="20BB2B5E"/>
    <w:rsid w:val="20D34741"/>
    <w:rsid w:val="20FB3192"/>
    <w:rsid w:val="2188147D"/>
    <w:rsid w:val="21B93937"/>
    <w:rsid w:val="21BA32C1"/>
    <w:rsid w:val="21D72533"/>
    <w:rsid w:val="21EF7359"/>
    <w:rsid w:val="224A27E1"/>
    <w:rsid w:val="227E248B"/>
    <w:rsid w:val="22AC03C2"/>
    <w:rsid w:val="23636EA1"/>
    <w:rsid w:val="238241FC"/>
    <w:rsid w:val="238A1721"/>
    <w:rsid w:val="23A777BF"/>
    <w:rsid w:val="23D031BA"/>
    <w:rsid w:val="23E26A49"/>
    <w:rsid w:val="23FD51C9"/>
    <w:rsid w:val="241C052D"/>
    <w:rsid w:val="24253506"/>
    <w:rsid w:val="24C820E3"/>
    <w:rsid w:val="25311A36"/>
    <w:rsid w:val="255B2F57"/>
    <w:rsid w:val="256D7451"/>
    <w:rsid w:val="258E6E89"/>
    <w:rsid w:val="259A582D"/>
    <w:rsid w:val="25B508B9"/>
    <w:rsid w:val="25C36844"/>
    <w:rsid w:val="25D02527"/>
    <w:rsid w:val="25ED0053"/>
    <w:rsid w:val="26235823"/>
    <w:rsid w:val="26282E39"/>
    <w:rsid w:val="263317DE"/>
    <w:rsid w:val="26977FBF"/>
    <w:rsid w:val="26B66697"/>
    <w:rsid w:val="26CF6BB1"/>
    <w:rsid w:val="26D51524"/>
    <w:rsid w:val="26FE7C6C"/>
    <w:rsid w:val="270A69E3"/>
    <w:rsid w:val="271B299E"/>
    <w:rsid w:val="273F5556"/>
    <w:rsid w:val="27D05536"/>
    <w:rsid w:val="27D74B17"/>
    <w:rsid w:val="27D8088F"/>
    <w:rsid w:val="283B15FE"/>
    <w:rsid w:val="28502D6E"/>
    <w:rsid w:val="288B5901"/>
    <w:rsid w:val="289B3D96"/>
    <w:rsid w:val="289C18BC"/>
    <w:rsid w:val="28CD7CC8"/>
    <w:rsid w:val="29177195"/>
    <w:rsid w:val="292875F4"/>
    <w:rsid w:val="292F114A"/>
    <w:rsid w:val="29362D62"/>
    <w:rsid w:val="2939535D"/>
    <w:rsid w:val="293E2974"/>
    <w:rsid w:val="295D104C"/>
    <w:rsid w:val="29673C78"/>
    <w:rsid w:val="296879F1"/>
    <w:rsid w:val="29986528"/>
    <w:rsid w:val="299B1B74"/>
    <w:rsid w:val="299B6018"/>
    <w:rsid w:val="29FD638B"/>
    <w:rsid w:val="2A063491"/>
    <w:rsid w:val="2A6E7289"/>
    <w:rsid w:val="2A720B27"/>
    <w:rsid w:val="2AA607D0"/>
    <w:rsid w:val="2ACA0963"/>
    <w:rsid w:val="2AD33E42"/>
    <w:rsid w:val="2B593A95"/>
    <w:rsid w:val="2BA2543C"/>
    <w:rsid w:val="2BFB4B4C"/>
    <w:rsid w:val="2BFD6B16"/>
    <w:rsid w:val="2C5D1363"/>
    <w:rsid w:val="2C6B3A80"/>
    <w:rsid w:val="2C9A6113"/>
    <w:rsid w:val="2CF357BC"/>
    <w:rsid w:val="2CFA4E04"/>
    <w:rsid w:val="2D3E7D03"/>
    <w:rsid w:val="2D517119"/>
    <w:rsid w:val="2D5C5ABE"/>
    <w:rsid w:val="2D7E3C87"/>
    <w:rsid w:val="2DC378EB"/>
    <w:rsid w:val="2DE55AB4"/>
    <w:rsid w:val="2DF12E9C"/>
    <w:rsid w:val="2E2C5491"/>
    <w:rsid w:val="2E9F2106"/>
    <w:rsid w:val="2EB07E70"/>
    <w:rsid w:val="2EC65622"/>
    <w:rsid w:val="2EC92CDF"/>
    <w:rsid w:val="2EED69CE"/>
    <w:rsid w:val="2F063F34"/>
    <w:rsid w:val="2FB712D5"/>
    <w:rsid w:val="2FDF85B8"/>
    <w:rsid w:val="2FFFEE04"/>
    <w:rsid w:val="303348B4"/>
    <w:rsid w:val="30C145B6"/>
    <w:rsid w:val="30C3032E"/>
    <w:rsid w:val="30D00355"/>
    <w:rsid w:val="30DD0CC4"/>
    <w:rsid w:val="310D77FB"/>
    <w:rsid w:val="311566B0"/>
    <w:rsid w:val="31261D94"/>
    <w:rsid w:val="31406AFC"/>
    <w:rsid w:val="315E3BB3"/>
    <w:rsid w:val="31BE0AF5"/>
    <w:rsid w:val="31C95635"/>
    <w:rsid w:val="31D450C2"/>
    <w:rsid w:val="32317519"/>
    <w:rsid w:val="328F5FEE"/>
    <w:rsid w:val="32972954"/>
    <w:rsid w:val="32DD144F"/>
    <w:rsid w:val="32E620B2"/>
    <w:rsid w:val="337771AE"/>
    <w:rsid w:val="33896EE1"/>
    <w:rsid w:val="3392223A"/>
    <w:rsid w:val="33AE06F6"/>
    <w:rsid w:val="33BA709B"/>
    <w:rsid w:val="33D53ED4"/>
    <w:rsid w:val="33DE5D97"/>
    <w:rsid w:val="33FE167D"/>
    <w:rsid w:val="341D5C18"/>
    <w:rsid w:val="343E1A7A"/>
    <w:rsid w:val="34401C96"/>
    <w:rsid w:val="34A83397"/>
    <w:rsid w:val="34D128EE"/>
    <w:rsid w:val="34D7355E"/>
    <w:rsid w:val="34DF85B0"/>
    <w:rsid w:val="356F03D2"/>
    <w:rsid w:val="359A53D6"/>
    <w:rsid w:val="35BC70FA"/>
    <w:rsid w:val="35D23F20"/>
    <w:rsid w:val="35DC559D"/>
    <w:rsid w:val="35FE7713"/>
    <w:rsid w:val="362D1DA6"/>
    <w:rsid w:val="365657A0"/>
    <w:rsid w:val="36AE1139"/>
    <w:rsid w:val="36F01751"/>
    <w:rsid w:val="36FC6348"/>
    <w:rsid w:val="37023232"/>
    <w:rsid w:val="37182A56"/>
    <w:rsid w:val="371B60A2"/>
    <w:rsid w:val="37A23B2A"/>
    <w:rsid w:val="37CE75B8"/>
    <w:rsid w:val="38102747"/>
    <w:rsid w:val="381B1C47"/>
    <w:rsid w:val="387719FE"/>
    <w:rsid w:val="38787C50"/>
    <w:rsid w:val="388C36FB"/>
    <w:rsid w:val="38BF587F"/>
    <w:rsid w:val="392456E2"/>
    <w:rsid w:val="393F42CA"/>
    <w:rsid w:val="39475874"/>
    <w:rsid w:val="394A0EC1"/>
    <w:rsid w:val="396B1563"/>
    <w:rsid w:val="39744891"/>
    <w:rsid w:val="39C46EC5"/>
    <w:rsid w:val="39FC040D"/>
    <w:rsid w:val="3A5A5133"/>
    <w:rsid w:val="3A96255E"/>
    <w:rsid w:val="3A9643BE"/>
    <w:rsid w:val="3A976388"/>
    <w:rsid w:val="3AA27206"/>
    <w:rsid w:val="3AC30F2B"/>
    <w:rsid w:val="3ACA050B"/>
    <w:rsid w:val="3AF86E26"/>
    <w:rsid w:val="3B163750"/>
    <w:rsid w:val="3B2220F5"/>
    <w:rsid w:val="3B530501"/>
    <w:rsid w:val="3B5D312D"/>
    <w:rsid w:val="3B64270E"/>
    <w:rsid w:val="3B8F36BC"/>
    <w:rsid w:val="3BAD6D04"/>
    <w:rsid w:val="3C017F5D"/>
    <w:rsid w:val="3C3814A4"/>
    <w:rsid w:val="3C430575"/>
    <w:rsid w:val="3C7A1ABD"/>
    <w:rsid w:val="3CB44FCF"/>
    <w:rsid w:val="3CBD1FF1"/>
    <w:rsid w:val="3CD967E3"/>
    <w:rsid w:val="3D69400B"/>
    <w:rsid w:val="3D7A6218"/>
    <w:rsid w:val="3DB57251"/>
    <w:rsid w:val="3DD0408A"/>
    <w:rsid w:val="3E7E7642"/>
    <w:rsid w:val="3EAF1EF2"/>
    <w:rsid w:val="3EB04EF5"/>
    <w:rsid w:val="3ECA6D2C"/>
    <w:rsid w:val="3EDA6843"/>
    <w:rsid w:val="3EDC25BB"/>
    <w:rsid w:val="3EEB0E22"/>
    <w:rsid w:val="3EF1250A"/>
    <w:rsid w:val="3EF618CF"/>
    <w:rsid w:val="3F116709"/>
    <w:rsid w:val="3F7B0026"/>
    <w:rsid w:val="3F8213B4"/>
    <w:rsid w:val="3FD57736"/>
    <w:rsid w:val="3FF64E1E"/>
    <w:rsid w:val="3FFB4CC3"/>
    <w:rsid w:val="400B75FC"/>
    <w:rsid w:val="40271F5C"/>
    <w:rsid w:val="406805AA"/>
    <w:rsid w:val="40DE6ABE"/>
    <w:rsid w:val="410858E9"/>
    <w:rsid w:val="41173D7E"/>
    <w:rsid w:val="411C75E7"/>
    <w:rsid w:val="4145433F"/>
    <w:rsid w:val="41497192"/>
    <w:rsid w:val="41A25D3E"/>
    <w:rsid w:val="41C71300"/>
    <w:rsid w:val="41F30347"/>
    <w:rsid w:val="4214206C"/>
    <w:rsid w:val="42312C1E"/>
    <w:rsid w:val="423D7815"/>
    <w:rsid w:val="42D9753D"/>
    <w:rsid w:val="42FF028A"/>
    <w:rsid w:val="432A5FEB"/>
    <w:rsid w:val="43880F63"/>
    <w:rsid w:val="43994F1E"/>
    <w:rsid w:val="43EB5BA5"/>
    <w:rsid w:val="43F565F9"/>
    <w:rsid w:val="43FB1735"/>
    <w:rsid w:val="44243DF2"/>
    <w:rsid w:val="44254A04"/>
    <w:rsid w:val="44641089"/>
    <w:rsid w:val="446C618F"/>
    <w:rsid w:val="44891554"/>
    <w:rsid w:val="44D83825"/>
    <w:rsid w:val="44FD328B"/>
    <w:rsid w:val="45260A34"/>
    <w:rsid w:val="45264590"/>
    <w:rsid w:val="452B604A"/>
    <w:rsid w:val="452F78E8"/>
    <w:rsid w:val="453A003B"/>
    <w:rsid w:val="45B46040"/>
    <w:rsid w:val="45E32481"/>
    <w:rsid w:val="45F91CA4"/>
    <w:rsid w:val="46004DE1"/>
    <w:rsid w:val="467852BF"/>
    <w:rsid w:val="46875502"/>
    <w:rsid w:val="4698326B"/>
    <w:rsid w:val="46FD7572"/>
    <w:rsid w:val="46FE3A16"/>
    <w:rsid w:val="470C6233"/>
    <w:rsid w:val="470E1780"/>
    <w:rsid w:val="475A2C17"/>
    <w:rsid w:val="47D06A35"/>
    <w:rsid w:val="48052B82"/>
    <w:rsid w:val="48082673"/>
    <w:rsid w:val="48311BC9"/>
    <w:rsid w:val="483C619E"/>
    <w:rsid w:val="484A67E7"/>
    <w:rsid w:val="484F02A2"/>
    <w:rsid w:val="4851401A"/>
    <w:rsid w:val="486F624E"/>
    <w:rsid w:val="488E0DCA"/>
    <w:rsid w:val="489A151D"/>
    <w:rsid w:val="48B63E7D"/>
    <w:rsid w:val="48E66AA3"/>
    <w:rsid w:val="48FD1AAC"/>
    <w:rsid w:val="490746D8"/>
    <w:rsid w:val="491FF225"/>
    <w:rsid w:val="49675177"/>
    <w:rsid w:val="496F0BFB"/>
    <w:rsid w:val="497004D0"/>
    <w:rsid w:val="497A30FC"/>
    <w:rsid w:val="49891591"/>
    <w:rsid w:val="498A77E3"/>
    <w:rsid w:val="498D1081"/>
    <w:rsid w:val="49B60D3E"/>
    <w:rsid w:val="49D56585"/>
    <w:rsid w:val="49D722FD"/>
    <w:rsid w:val="49F509D5"/>
    <w:rsid w:val="4A2F038B"/>
    <w:rsid w:val="4A4E6A63"/>
    <w:rsid w:val="4A9621B8"/>
    <w:rsid w:val="4AB668F2"/>
    <w:rsid w:val="4AB83EDC"/>
    <w:rsid w:val="4AC956FB"/>
    <w:rsid w:val="4AD07D61"/>
    <w:rsid w:val="4B0E762E"/>
    <w:rsid w:val="4B1A3180"/>
    <w:rsid w:val="4B3043BA"/>
    <w:rsid w:val="4B5F07FC"/>
    <w:rsid w:val="4BB01057"/>
    <w:rsid w:val="4BBB5D9D"/>
    <w:rsid w:val="4BC52D55"/>
    <w:rsid w:val="4BD016F9"/>
    <w:rsid w:val="4BD950EC"/>
    <w:rsid w:val="4BE551A5"/>
    <w:rsid w:val="4C1355DF"/>
    <w:rsid w:val="4C3D6D8F"/>
    <w:rsid w:val="4C7223A4"/>
    <w:rsid w:val="4C804ECE"/>
    <w:rsid w:val="4CE23492"/>
    <w:rsid w:val="4D273649"/>
    <w:rsid w:val="4D987FF5"/>
    <w:rsid w:val="4DAD1CF2"/>
    <w:rsid w:val="4E30022D"/>
    <w:rsid w:val="4E395334"/>
    <w:rsid w:val="4E3F66C2"/>
    <w:rsid w:val="4EAF1A9A"/>
    <w:rsid w:val="4EC310A1"/>
    <w:rsid w:val="4ED67027"/>
    <w:rsid w:val="4ED96B17"/>
    <w:rsid w:val="4EDE7C89"/>
    <w:rsid w:val="4EE5726A"/>
    <w:rsid w:val="4F0E4A13"/>
    <w:rsid w:val="4F275AD4"/>
    <w:rsid w:val="4F4246BC"/>
    <w:rsid w:val="4F9667B6"/>
    <w:rsid w:val="4F9C201E"/>
    <w:rsid w:val="4FE614EB"/>
    <w:rsid w:val="4FFD214C"/>
    <w:rsid w:val="501F49FD"/>
    <w:rsid w:val="5076286F"/>
    <w:rsid w:val="50812FC2"/>
    <w:rsid w:val="50C8299F"/>
    <w:rsid w:val="50EF42B7"/>
    <w:rsid w:val="510460CD"/>
    <w:rsid w:val="51165E00"/>
    <w:rsid w:val="51183927"/>
    <w:rsid w:val="51383FC9"/>
    <w:rsid w:val="51595CED"/>
    <w:rsid w:val="51956D25"/>
    <w:rsid w:val="51A67184"/>
    <w:rsid w:val="51DD691E"/>
    <w:rsid w:val="51FE0D6E"/>
    <w:rsid w:val="521560B8"/>
    <w:rsid w:val="524E5126"/>
    <w:rsid w:val="524F6CA8"/>
    <w:rsid w:val="52552958"/>
    <w:rsid w:val="52A82A88"/>
    <w:rsid w:val="52B61649"/>
    <w:rsid w:val="52BB030E"/>
    <w:rsid w:val="52C06024"/>
    <w:rsid w:val="52EF6909"/>
    <w:rsid w:val="5352765A"/>
    <w:rsid w:val="536F7A4A"/>
    <w:rsid w:val="537D5CC3"/>
    <w:rsid w:val="53837051"/>
    <w:rsid w:val="53A771E4"/>
    <w:rsid w:val="542C1497"/>
    <w:rsid w:val="54302D35"/>
    <w:rsid w:val="543074C8"/>
    <w:rsid w:val="54324CFF"/>
    <w:rsid w:val="54336CC9"/>
    <w:rsid w:val="543B073D"/>
    <w:rsid w:val="54546ABC"/>
    <w:rsid w:val="547215A0"/>
    <w:rsid w:val="547D1CF3"/>
    <w:rsid w:val="54B020C8"/>
    <w:rsid w:val="54CF0BB5"/>
    <w:rsid w:val="54E611E9"/>
    <w:rsid w:val="54FC70BB"/>
    <w:rsid w:val="5531145B"/>
    <w:rsid w:val="554051FA"/>
    <w:rsid w:val="55676C2B"/>
    <w:rsid w:val="556E3FAB"/>
    <w:rsid w:val="557F21C6"/>
    <w:rsid w:val="55A439DB"/>
    <w:rsid w:val="55B6370E"/>
    <w:rsid w:val="55CC2F32"/>
    <w:rsid w:val="562B5EAA"/>
    <w:rsid w:val="56350AD7"/>
    <w:rsid w:val="56764C4B"/>
    <w:rsid w:val="567D5FDA"/>
    <w:rsid w:val="56815ACA"/>
    <w:rsid w:val="56BD6BCD"/>
    <w:rsid w:val="56C105BC"/>
    <w:rsid w:val="56DC53F6"/>
    <w:rsid w:val="570D735E"/>
    <w:rsid w:val="57517B92"/>
    <w:rsid w:val="575D6537"/>
    <w:rsid w:val="5777D4F5"/>
    <w:rsid w:val="577B5F19"/>
    <w:rsid w:val="578F2469"/>
    <w:rsid w:val="579730CB"/>
    <w:rsid w:val="57F22B6F"/>
    <w:rsid w:val="5812316E"/>
    <w:rsid w:val="58417C07"/>
    <w:rsid w:val="588C69A8"/>
    <w:rsid w:val="58C32EDC"/>
    <w:rsid w:val="58F15F2D"/>
    <w:rsid w:val="58F702C5"/>
    <w:rsid w:val="59123351"/>
    <w:rsid w:val="592D3CE7"/>
    <w:rsid w:val="593212FE"/>
    <w:rsid w:val="59457283"/>
    <w:rsid w:val="599E4DB3"/>
    <w:rsid w:val="59DD74BB"/>
    <w:rsid w:val="59DD8326"/>
    <w:rsid w:val="59E720E8"/>
    <w:rsid w:val="59FD5DAF"/>
    <w:rsid w:val="5A0A5DD6"/>
    <w:rsid w:val="5A44753A"/>
    <w:rsid w:val="5A985AD8"/>
    <w:rsid w:val="5AA77AC9"/>
    <w:rsid w:val="5AC4067B"/>
    <w:rsid w:val="5ADC7773"/>
    <w:rsid w:val="5AE900E2"/>
    <w:rsid w:val="5BA02E96"/>
    <w:rsid w:val="5BD743DE"/>
    <w:rsid w:val="5BEC1C38"/>
    <w:rsid w:val="5C074CC3"/>
    <w:rsid w:val="5C337866"/>
    <w:rsid w:val="5C401F83"/>
    <w:rsid w:val="5C791D06"/>
    <w:rsid w:val="5CA249EC"/>
    <w:rsid w:val="5CC46711"/>
    <w:rsid w:val="5CDD3C76"/>
    <w:rsid w:val="5D185AB8"/>
    <w:rsid w:val="5D1D22C5"/>
    <w:rsid w:val="5D1D4073"/>
    <w:rsid w:val="5D4578F6"/>
    <w:rsid w:val="5D777C27"/>
    <w:rsid w:val="5D7C6FEB"/>
    <w:rsid w:val="5D866D5B"/>
    <w:rsid w:val="5DEF592A"/>
    <w:rsid w:val="5E20206C"/>
    <w:rsid w:val="5E2C0A11"/>
    <w:rsid w:val="5E2E6FE6"/>
    <w:rsid w:val="5E745F14"/>
    <w:rsid w:val="5EA42C9D"/>
    <w:rsid w:val="5EAE1426"/>
    <w:rsid w:val="5EB033F0"/>
    <w:rsid w:val="5EE47022"/>
    <w:rsid w:val="5F441D8B"/>
    <w:rsid w:val="5FAA42E4"/>
    <w:rsid w:val="5FB07420"/>
    <w:rsid w:val="5FC6BB1E"/>
    <w:rsid w:val="5FF720F1"/>
    <w:rsid w:val="60064363"/>
    <w:rsid w:val="601C6864"/>
    <w:rsid w:val="6052224A"/>
    <w:rsid w:val="60917251"/>
    <w:rsid w:val="60A2320D"/>
    <w:rsid w:val="60DD2218"/>
    <w:rsid w:val="60EC6236"/>
    <w:rsid w:val="6109503A"/>
    <w:rsid w:val="611539DF"/>
    <w:rsid w:val="6192502F"/>
    <w:rsid w:val="61B825BC"/>
    <w:rsid w:val="62037CDB"/>
    <w:rsid w:val="622964C1"/>
    <w:rsid w:val="62522A10"/>
    <w:rsid w:val="627D6E20"/>
    <w:rsid w:val="62DD052C"/>
    <w:rsid w:val="62E436D3"/>
    <w:rsid w:val="635051A2"/>
    <w:rsid w:val="63BD3EBA"/>
    <w:rsid w:val="63BE035D"/>
    <w:rsid w:val="63DA4A6C"/>
    <w:rsid w:val="63F024E1"/>
    <w:rsid w:val="641F6922"/>
    <w:rsid w:val="645E744B"/>
    <w:rsid w:val="64746C6E"/>
    <w:rsid w:val="647549FD"/>
    <w:rsid w:val="64D8139F"/>
    <w:rsid w:val="64FB738F"/>
    <w:rsid w:val="652C579B"/>
    <w:rsid w:val="65582033"/>
    <w:rsid w:val="65AB4911"/>
    <w:rsid w:val="65C6799D"/>
    <w:rsid w:val="65E676F8"/>
    <w:rsid w:val="661E50E3"/>
    <w:rsid w:val="665216F9"/>
    <w:rsid w:val="66630D48"/>
    <w:rsid w:val="666877C0"/>
    <w:rsid w:val="668533B4"/>
    <w:rsid w:val="66C537B1"/>
    <w:rsid w:val="66D32372"/>
    <w:rsid w:val="66E55C01"/>
    <w:rsid w:val="66E75E1D"/>
    <w:rsid w:val="66F127F8"/>
    <w:rsid w:val="67896ED4"/>
    <w:rsid w:val="6793565D"/>
    <w:rsid w:val="67D839B8"/>
    <w:rsid w:val="67EB5499"/>
    <w:rsid w:val="67F51E74"/>
    <w:rsid w:val="67FF5C0B"/>
    <w:rsid w:val="68212C69"/>
    <w:rsid w:val="682B3AE8"/>
    <w:rsid w:val="68AD74EA"/>
    <w:rsid w:val="68C301C4"/>
    <w:rsid w:val="693370F8"/>
    <w:rsid w:val="693E784B"/>
    <w:rsid w:val="6951757E"/>
    <w:rsid w:val="695B664F"/>
    <w:rsid w:val="696077C1"/>
    <w:rsid w:val="69717C20"/>
    <w:rsid w:val="697274F4"/>
    <w:rsid w:val="697D0373"/>
    <w:rsid w:val="698F00A6"/>
    <w:rsid w:val="6A681023"/>
    <w:rsid w:val="6AAB53B4"/>
    <w:rsid w:val="6ACF10A2"/>
    <w:rsid w:val="6ADC731B"/>
    <w:rsid w:val="6B054CC8"/>
    <w:rsid w:val="6B234F4A"/>
    <w:rsid w:val="6B382357"/>
    <w:rsid w:val="6B4B624F"/>
    <w:rsid w:val="6B9B2D32"/>
    <w:rsid w:val="6BAA4A2F"/>
    <w:rsid w:val="6BB107A8"/>
    <w:rsid w:val="6BE50451"/>
    <w:rsid w:val="6BFA362C"/>
    <w:rsid w:val="6C3A0740"/>
    <w:rsid w:val="6C871509"/>
    <w:rsid w:val="6CFB6896"/>
    <w:rsid w:val="6D062D75"/>
    <w:rsid w:val="6D371181"/>
    <w:rsid w:val="6D4C380A"/>
    <w:rsid w:val="6D851EEC"/>
    <w:rsid w:val="6D94212F"/>
    <w:rsid w:val="6DBE0F5A"/>
    <w:rsid w:val="6DDEC5C0"/>
    <w:rsid w:val="6DE309C1"/>
    <w:rsid w:val="6DEB5E3A"/>
    <w:rsid w:val="6E105C5A"/>
    <w:rsid w:val="6E2C680B"/>
    <w:rsid w:val="6E9817AB"/>
    <w:rsid w:val="6EFC0924"/>
    <w:rsid w:val="6F481423"/>
    <w:rsid w:val="6F484F7F"/>
    <w:rsid w:val="6F5778B8"/>
    <w:rsid w:val="6F595D70"/>
    <w:rsid w:val="6F5C6C7D"/>
    <w:rsid w:val="6F7C13A9"/>
    <w:rsid w:val="6F7D3F33"/>
    <w:rsid w:val="6F810491"/>
    <w:rsid w:val="6FB74722"/>
    <w:rsid w:val="6FBB3B02"/>
    <w:rsid w:val="6FEF8B7E"/>
    <w:rsid w:val="70480FAF"/>
    <w:rsid w:val="704C6CF1"/>
    <w:rsid w:val="705B5186"/>
    <w:rsid w:val="705B6F34"/>
    <w:rsid w:val="70BC5C25"/>
    <w:rsid w:val="70DA254F"/>
    <w:rsid w:val="70EE5FFA"/>
    <w:rsid w:val="712F289B"/>
    <w:rsid w:val="71353C29"/>
    <w:rsid w:val="717FE77F"/>
    <w:rsid w:val="718B55F7"/>
    <w:rsid w:val="71A6591B"/>
    <w:rsid w:val="71F238C8"/>
    <w:rsid w:val="721E646B"/>
    <w:rsid w:val="725B146D"/>
    <w:rsid w:val="72A66B8C"/>
    <w:rsid w:val="72F07E08"/>
    <w:rsid w:val="730613D9"/>
    <w:rsid w:val="7327134F"/>
    <w:rsid w:val="73272CD6"/>
    <w:rsid w:val="7343262D"/>
    <w:rsid w:val="73555EBD"/>
    <w:rsid w:val="7372081D"/>
    <w:rsid w:val="737D59BA"/>
    <w:rsid w:val="737F32B1"/>
    <w:rsid w:val="738E1A97"/>
    <w:rsid w:val="73972979"/>
    <w:rsid w:val="73B726D3"/>
    <w:rsid w:val="73BD3FCA"/>
    <w:rsid w:val="73D752E9"/>
    <w:rsid w:val="74100036"/>
    <w:rsid w:val="741F07D1"/>
    <w:rsid w:val="74600FBD"/>
    <w:rsid w:val="74A72748"/>
    <w:rsid w:val="74B84955"/>
    <w:rsid w:val="74C94DB4"/>
    <w:rsid w:val="74E25E76"/>
    <w:rsid w:val="74FD05BA"/>
    <w:rsid w:val="750162FC"/>
    <w:rsid w:val="75956A44"/>
    <w:rsid w:val="75EB2B08"/>
    <w:rsid w:val="7671125F"/>
    <w:rsid w:val="76D812DE"/>
    <w:rsid w:val="76F46071"/>
    <w:rsid w:val="775766A7"/>
    <w:rsid w:val="775C1F10"/>
    <w:rsid w:val="776110CE"/>
    <w:rsid w:val="776BDA01"/>
    <w:rsid w:val="77AB254F"/>
    <w:rsid w:val="77B5517C"/>
    <w:rsid w:val="77C37683"/>
    <w:rsid w:val="77F57C6E"/>
    <w:rsid w:val="77F739E6"/>
    <w:rsid w:val="78342545"/>
    <w:rsid w:val="7863052E"/>
    <w:rsid w:val="78C0027C"/>
    <w:rsid w:val="78C87131"/>
    <w:rsid w:val="78DE372D"/>
    <w:rsid w:val="78EE2EFB"/>
    <w:rsid w:val="79293D18"/>
    <w:rsid w:val="793622EC"/>
    <w:rsid w:val="79646E59"/>
    <w:rsid w:val="79A8143C"/>
    <w:rsid w:val="79C63C15"/>
    <w:rsid w:val="79E93803"/>
    <w:rsid w:val="79EE0E19"/>
    <w:rsid w:val="79FF515B"/>
    <w:rsid w:val="7A7237F8"/>
    <w:rsid w:val="7A7E03EF"/>
    <w:rsid w:val="7A910122"/>
    <w:rsid w:val="7B3B62E0"/>
    <w:rsid w:val="7C1C3A1B"/>
    <w:rsid w:val="7C6F7FEF"/>
    <w:rsid w:val="7C8B0BA1"/>
    <w:rsid w:val="7D0A138B"/>
    <w:rsid w:val="7D1B0D64"/>
    <w:rsid w:val="7D470F6C"/>
    <w:rsid w:val="7D7A4E9D"/>
    <w:rsid w:val="7D8C2E23"/>
    <w:rsid w:val="7DFBFF20"/>
    <w:rsid w:val="7DFC1D56"/>
    <w:rsid w:val="7DFD787D"/>
    <w:rsid w:val="7E1D3A7B"/>
    <w:rsid w:val="7E4436FD"/>
    <w:rsid w:val="7E505BFE"/>
    <w:rsid w:val="7E9E1962"/>
    <w:rsid w:val="7E9F11B4"/>
    <w:rsid w:val="7EAF501B"/>
    <w:rsid w:val="7EB51F05"/>
    <w:rsid w:val="7EB663A9"/>
    <w:rsid w:val="7EFC18E2"/>
    <w:rsid w:val="7F111831"/>
    <w:rsid w:val="7F37EC1E"/>
    <w:rsid w:val="7F6556D9"/>
    <w:rsid w:val="7F7C0DDA"/>
    <w:rsid w:val="7F7DCD9D"/>
    <w:rsid w:val="7F970A6F"/>
    <w:rsid w:val="7F9E023F"/>
    <w:rsid w:val="7FC05006"/>
    <w:rsid w:val="7FC1FFF3"/>
    <w:rsid w:val="7FC69637"/>
    <w:rsid w:val="7FDF8620"/>
    <w:rsid w:val="7FE01204"/>
    <w:rsid w:val="7FFB242F"/>
    <w:rsid w:val="7FFDB408"/>
    <w:rsid w:val="7FFE4EEB"/>
    <w:rsid w:val="95FB2B98"/>
    <w:rsid w:val="9A639BC2"/>
    <w:rsid w:val="9FF7D786"/>
    <w:rsid w:val="ABBFB23D"/>
    <w:rsid w:val="B6BE5A03"/>
    <w:rsid w:val="B8C93228"/>
    <w:rsid w:val="C3B4DA5A"/>
    <w:rsid w:val="C4FF458C"/>
    <w:rsid w:val="C7BBD038"/>
    <w:rsid w:val="CBFF70E0"/>
    <w:rsid w:val="CFF50B82"/>
    <w:rsid w:val="CFFFAD89"/>
    <w:rsid w:val="DFFE359E"/>
    <w:rsid w:val="DFFE4FFD"/>
    <w:rsid w:val="DFFF5403"/>
    <w:rsid w:val="EBC3E00A"/>
    <w:rsid w:val="EDFBE100"/>
    <w:rsid w:val="EEABED75"/>
    <w:rsid w:val="EF7E8003"/>
    <w:rsid w:val="F56FDF51"/>
    <w:rsid w:val="F5F3EE78"/>
    <w:rsid w:val="F6B69F17"/>
    <w:rsid w:val="F6E5BB3A"/>
    <w:rsid w:val="F77F1D61"/>
    <w:rsid w:val="F7FED3A9"/>
    <w:rsid w:val="F8C9DB26"/>
    <w:rsid w:val="F97E8EAE"/>
    <w:rsid w:val="FB36E1A6"/>
    <w:rsid w:val="FB3BE134"/>
    <w:rsid w:val="FCFF4275"/>
    <w:rsid w:val="FD7FEEEA"/>
    <w:rsid w:val="FDFFB577"/>
    <w:rsid w:val="FEEA50FE"/>
    <w:rsid w:val="FF7D47A9"/>
    <w:rsid w:val="FFCF21CB"/>
    <w:rsid w:val="FFF94102"/>
    <w:rsid w:val="FFFF1C8B"/>
    <w:rsid w:val="FFFF7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Autospacing="1" w:afterAutospacing="1"/>
      <w:jc w:val="left"/>
    </w:pPr>
    <w:rPr>
      <w:rFonts w:cs="Times New Roman"/>
      <w:kern w:val="0"/>
      <w:sz w:val="24"/>
    </w:rPr>
  </w:style>
  <w:style w:type="character" w:styleId="11">
    <w:name w:val="Strong"/>
    <w:basedOn w:val="10"/>
    <w:qFormat/>
    <w:uiPriority w:val="22"/>
    <w:rPr>
      <w:b/>
    </w:rPr>
  </w:style>
  <w:style w:type="character" w:customStyle="1" w:styleId="12">
    <w:name w:val="页眉 Char"/>
    <w:basedOn w:val="10"/>
    <w:link w:val="7"/>
    <w:qFormat/>
    <w:uiPriority w:val="99"/>
    <w:rPr>
      <w:sz w:val="18"/>
      <w:szCs w:val="18"/>
    </w:rPr>
  </w:style>
  <w:style w:type="character" w:customStyle="1" w:styleId="13">
    <w:name w:val="页脚 Char"/>
    <w:basedOn w:val="10"/>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5"/>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 w:type="paragraph" w:customStyle="1" w:styleId="20">
    <w:name w:val="列出段落1"/>
    <w:basedOn w:val="1"/>
    <w:qFormat/>
    <w:uiPriority w:val="0"/>
    <w:pPr>
      <w:ind w:firstLine="420" w:firstLineChars="200"/>
    </w:pPr>
    <w:rPr>
      <w:rFonts w:ascii="Calibri" w:hAnsi="Calibri" w:eastAsia="宋体" w:cs="Times New Roman"/>
      <w:szCs w:val="21"/>
    </w:rPr>
  </w:style>
  <w:style w:type="paragraph" w:customStyle="1" w:styleId="21">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454</Words>
  <Characters>460</Characters>
  <Lines>63</Lines>
  <Paragraphs>18</Paragraphs>
  <TotalTime>59</TotalTime>
  <ScaleCrop>false</ScaleCrop>
  <LinksUpToDate>false</LinksUpToDate>
  <CharactersWithSpaces>466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2020-07-10T18:32:00Z</dcterms:created>
  <dc:creator>李航 null</dc:creator>
  <cp:lastModifiedBy>指尖阳光</cp:lastModifiedBy>
  <cp:lastPrinted>2025-09-25T08:21:00Z</cp:lastPrinted>
  <dcterms:modified xsi:type="dcterms:W3CDTF">2025-09-26T07:00:56Z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98623D6660B449428EB8E073C6C952EA</vt:lpwstr>
  </property>
  <property fmtid="{D5CDD505-2E9C-101B-9397-08002B2CF9AE}" pid="4" name="KSOTemplateDocerSaveRecord">
    <vt:lpwstr>eyJoZGlkIjoiZDQ4OTYzZGM0YjlmNTFjMTc5NjU1Nzk1MjdmZTk2NGMiLCJ1c2VySWQiOiI1NDg5NzUzMzQifQ==</vt:lpwstr>
  </property>
</Properties>
</file>