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3"/>
        <w:jc w:val="center"/>
        <w:rPr>
          <w:sz w:val="56"/>
          <w:szCs w:val="56"/>
        </w:rPr>
      </w:pPr>
    </w:p>
    <w:p w14:paraId="3BDF5AB8">
      <w:pPr>
        <w:pStyle w:val="13"/>
        <w:jc w:val="center"/>
        <w:rPr>
          <w:sz w:val="56"/>
          <w:szCs w:val="56"/>
        </w:rPr>
      </w:pPr>
    </w:p>
    <w:p w14:paraId="60CA4575">
      <w:pPr>
        <w:pStyle w:val="13"/>
        <w:jc w:val="center"/>
        <w:rPr>
          <w:sz w:val="84"/>
          <w:szCs w:val="84"/>
        </w:rPr>
      </w:pPr>
    </w:p>
    <w:p w14:paraId="215EB31D">
      <w:pPr>
        <w:pStyle w:val="13"/>
        <w:jc w:val="center"/>
        <w:rPr>
          <w:sz w:val="84"/>
          <w:szCs w:val="84"/>
        </w:rPr>
      </w:pPr>
    </w:p>
    <w:p w14:paraId="376C8602">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市政府研究室</w:t>
      </w:r>
      <w:r>
        <w:rPr>
          <w:rFonts w:hint="eastAsia" w:ascii="方正小标宋_GBK" w:hAnsi="方正小标宋_GBK" w:eastAsia="方正小标宋_GBK" w:cs="方正小标宋_GBK"/>
          <w:sz w:val="84"/>
          <w:szCs w:val="84"/>
        </w:rPr>
        <w:t>部门决算</w:t>
      </w:r>
    </w:p>
    <w:p w14:paraId="3A699C16">
      <w:pPr>
        <w:pStyle w:val="13"/>
        <w:jc w:val="center"/>
        <w:rPr>
          <w:rFonts w:hint="eastAsia" w:ascii="方正小标宋_GBK" w:hAnsi="方正小标宋_GBK" w:eastAsia="方正小标宋_GBK" w:cs="方正小标宋_GBK"/>
          <w:sz w:val="56"/>
          <w:szCs w:val="56"/>
        </w:rPr>
      </w:pPr>
    </w:p>
    <w:p w14:paraId="72C8FB58">
      <w:pPr>
        <w:pStyle w:val="13"/>
        <w:jc w:val="center"/>
        <w:rPr>
          <w:sz w:val="56"/>
          <w:szCs w:val="56"/>
        </w:rPr>
      </w:pPr>
    </w:p>
    <w:p w14:paraId="25018D25">
      <w:pPr>
        <w:pStyle w:val="13"/>
        <w:jc w:val="center"/>
        <w:rPr>
          <w:sz w:val="56"/>
          <w:szCs w:val="56"/>
        </w:rPr>
      </w:pPr>
    </w:p>
    <w:p w14:paraId="5EE73A38">
      <w:pPr>
        <w:pStyle w:val="13"/>
        <w:jc w:val="center"/>
        <w:rPr>
          <w:sz w:val="56"/>
          <w:szCs w:val="56"/>
        </w:rPr>
      </w:pPr>
    </w:p>
    <w:p w14:paraId="297571C5">
      <w:pPr>
        <w:pStyle w:val="13"/>
        <w:jc w:val="center"/>
        <w:rPr>
          <w:sz w:val="32"/>
          <w:szCs w:val="32"/>
        </w:rPr>
      </w:pPr>
    </w:p>
    <w:p w14:paraId="08493D1E">
      <w:pPr>
        <w:pStyle w:val="13"/>
        <w:jc w:val="center"/>
        <w:rPr>
          <w:sz w:val="32"/>
          <w:szCs w:val="32"/>
        </w:rPr>
      </w:pPr>
    </w:p>
    <w:p w14:paraId="5BD6E8BD">
      <w:pPr>
        <w:pStyle w:val="13"/>
        <w:jc w:val="center"/>
        <w:rPr>
          <w:sz w:val="32"/>
          <w:szCs w:val="32"/>
        </w:rPr>
      </w:pPr>
    </w:p>
    <w:p w14:paraId="1062A3B4">
      <w:pPr>
        <w:pStyle w:val="13"/>
        <w:jc w:val="center"/>
        <w:rPr>
          <w:sz w:val="32"/>
          <w:szCs w:val="32"/>
        </w:rPr>
      </w:pPr>
    </w:p>
    <w:p w14:paraId="6311DFC7">
      <w:pPr>
        <w:pStyle w:val="13"/>
        <w:jc w:val="center"/>
        <w:rPr>
          <w:sz w:val="32"/>
          <w:szCs w:val="32"/>
        </w:rPr>
      </w:pPr>
    </w:p>
    <w:p w14:paraId="50228290">
      <w:pPr>
        <w:pStyle w:val="13"/>
        <w:spacing w:line="540" w:lineRule="exact"/>
        <w:jc w:val="center"/>
        <w:rPr>
          <w:sz w:val="56"/>
          <w:szCs w:val="56"/>
        </w:rPr>
      </w:pPr>
    </w:p>
    <w:p w14:paraId="459C483D">
      <w:pPr>
        <w:pStyle w:val="13"/>
        <w:spacing w:line="500" w:lineRule="exact"/>
        <w:jc w:val="both"/>
        <w:rPr>
          <w:b/>
          <w:sz w:val="36"/>
          <w:szCs w:val="28"/>
        </w:rPr>
      </w:pPr>
    </w:p>
    <w:p w14:paraId="24F3309B">
      <w:pPr>
        <w:pStyle w:val="13"/>
        <w:spacing w:line="500" w:lineRule="exact"/>
        <w:jc w:val="center"/>
        <w:rPr>
          <w:b/>
          <w:sz w:val="36"/>
          <w:szCs w:val="28"/>
        </w:rPr>
      </w:pPr>
      <w:r>
        <w:rPr>
          <w:rFonts w:hint="eastAsia"/>
          <w:b/>
          <w:sz w:val="36"/>
          <w:szCs w:val="28"/>
        </w:rPr>
        <w:t>目录</w:t>
      </w:r>
    </w:p>
    <w:p w14:paraId="6CBD0C2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岳阳市人民政府研究室</w:t>
      </w:r>
      <w:r>
        <w:rPr>
          <w:rFonts w:hint="eastAsia" w:ascii="黑体" w:hAnsi="黑体" w:eastAsia="黑体" w:cs="黑体"/>
          <w:b w:val="0"/>
          <w:bCs/>
          <w:sz w:val="28"/>
          <w:szCs w:val="28"/>
        </w:rPr>
        <w:t>概况</w:t>
      </w:r>
    </w:p>
    <w:p w14:paraId="060CB1D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3"/>
        <w:jc w:val="center"/>
        <w:rPr>
          <w:rFonts w:hint="eastAsia" w:ascii="方正小标宋_GBK" w:hAnsi="方正小标宋_GBK" w:eastAsia="方正小标宋_GBK" w:cs="方正小标宋_GBK"/>
          <w:sz w:val="84"/>
          <w:szCs w:val="84"/>
        </w:rPr>
      </w:pPr>
    </w:p>
    <w:p w14:paraId="1095DEAB">
      <w:pPr>
        <w:pStyle w:val="13"/>
        <w:jc w:val="center"/>
        <w:rPr>
          <w:rFonts w:hint="eastAsia" w:ascii="方正小标宋_GBK" w:hAnsi="方正小标宋_GBK" w:eastAsia="方正小标宋_GBK" w:cs="方正小标宋_GBK"/>
          <w:sz w:val="84"/>
          <w:szCs w:val="84"/>
        </w:rPr>
      </w:pPr>
    </w:p>
    <w:p w14:paraId="0DEEC24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3"/>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市政府研究室</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D27848A">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（一）负责起草政府工作报告和市政府主要领导同志重要讲话、报告、文章。</w:t>
      </w:r>
    </w:p>
    <w:p w14:paraId="213F7AFC">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（二）负责起草市政府向省委、省政府的重要汇报材料；组织和协同有关方面起草、修改市政府的有关重要综合性文件；参与起草市委、市政府有关重要会议的文件。</w:t>
      </w:r>
    </w:p>
    <w:p w14:paraId="699856E4">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（三）对涉及全市经济建设、社会发展和改革开放等全局性工作的重大课题组织调查研究，及时综合归纳，提出供市政府决策的参考方针和政策性建议。</w:t>
      </w:r>
    </w:p>
    <w:p w14:paraId="4C76BF48">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（四）对市内外经济形势和社会发展政策进行分析和研究，提出政策建议。</w:t>
      </w:r>
    </w:p>
    <w:p w14:paraId="6C9E1623">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（五）收集、整理全市政务信息，及时向省政府办公厅传报；收集、分析、整理和报送经济社会发展的重要信息、动态，为市政府决策提供参考建议。</w:t>
      </w:r>
    </w:p>
    <w:p w14:paraId="70128843">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（六）负责全市政府系统的情况综合、调查研究和信息工作指导。</w:t>
      </w:r>
    </w:p>
    <w:p w14:paraId="6D91BF41">
      <w:pPr>
        <w:keepNext/>
        <w:keepLines/>
        <w:shd w:val="clear" w:color="auto" w:fill="FFFFFF"/>
        <w:spacing w:beforeLines="0" w:afterLines="0"/>
        <w:ind w:firstLine="64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（七）编发《领导决策参考》、《政务信息与交流》。</w:t>
      </w:r>
    </w:p>
    <w:p w14:paraId="79F45176">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（八）承办市人民政府交办的其他事项。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485283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textAlignment w:val="center"/>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color w:val="auto"/>
          <w:kern w:val="0"/>
          <w:sz w:val="32"/>
          <w:szCs w:val="32"/>
          <w:lang w:val="en-US" w:eastAsia="zh-CN" w:bidi="ar-SA"/>
        </w:rPr>
        <w:t>岳阳市人民政府研究室</w:t>
      </w:r>
      <w:r>
        <w:rPr>
          <w:rFonts w:hint="eastAsia" w:ascii="Times New Roman" w:hAnsi="Times New Roman" w:eastAsia="仿宋_GB2312" w:cs="仿宋_GB2312"/>
          <w:bCs/>
          <w:color w:val="auto"/>
          <w:kern w:val="0"/>
          <w:sz w:val="32"/>
          <w:szCs w:val="32"/>
        </w:rPr>
        <w:t>单位内设机构包括：</w:t>
      </w:r>
      <w:r>
        <w:rPr>
          <w:rFonts w:hint="eastAsia" w:ascii="Times New Roman" w:hAnsi="Times New Roman" w:eastAsia="仿宋_GB2312" w:cs="仿宋_GB2312"/>
          <w:bCs/>
          <w:color w:val="auto"/>
          <w:kern w:val="0"/>
          <w:sz w:val="32"/>
          <w:szCs w:val="32"/>
          <w:lang w:eastAsia="zh-CN"/>
        </w:rPr>
        <w:t>岳阳市人民政府研究室本级</w:t>
      </w:r>
      <w:r>
        <w:rPr>
          <w:rFonts w:hint="eastAsia" w:ascii="Times New Roman" w:hAnsi="Times New Roman" w:eastAsia="仿宋_GB2312" w:cs="仿宋_GB2312"/>
          <w:bCs/>
          <w:color w:val="auto"/>
          <w:kern w:val="0"/>
          <w:sz w:val="32"/>
          <w:szCs w:val="32"/>
          <w:lang w:val="en-US" w:eastAsia="zh-CN"/>
        </w:rPr>
        <w:t>内设科室4个，分别是办公室、综合科、社会科、经济科；二级机构1个（财务未单列），是岳阳市经济发展中心。</w:t>
      </w:r>
    </w:p>
    <w:p w14:paraId="1D6D7A8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textAlignment w:val="cente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w:t>
      </w:r>
      <w:r>
        <w:rPr>
          <w:rFonts w:hint="eastAsia" w:ascii="Times New Roman" w:hAnsi="Times New Roman" w:eastAsia="仿宋_GB2312" w:cs="仿宋_GB2312"/>
          <w:bCs/>
          <w:kern w:val="0"/>
          <w:sz w:val="32"/>
          <w:szCs w:val="32"/>
        </w:rPr>
        <w:t>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岳阳市人民政府研究室</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color w:val="auto"/>
          <w:kern w:val="0"/>
          <w:sz w:val="32"/>
          <w:szCs w:val="32"/>
          <w:lang w:val="en-US" w:eastAsia="zh-CN"/>
        </w:rPr>
        <w:t>以及财务未单列的二级机构岳阳市经济发展中</w:t>
      </w:r>
    </w:p>
    <w:p w14:paraId="2E47952B">
      <w:pPr>
        <w:pStyle w:val="3"/>
      </w:pPr>
    </w:p>
    <w:p w14:paraId="18A19BE5"/>
    <w:p w14:paraId="7CCBF86D">
      <w:pPr>
        <w:pStyle w:val="2"/>
      </w:pPr>
    </w:p>
    <w:p w14:paraId="0017F5EC">
      <w:pPr>
        <w:pStyle w:val="3"/>
      </w:pPr>
    </w:p>
    <w:p w14:paraId="76181D4E"/>
    <w:p w14:paraId="1A174866">
      <w:pPr>
        <w:pStyle w:val="13"/>
        <w:jc w:val="center"/>
        <w:rPr>
          <w:rFonts w:hint="eastAsia" w:ascii="方正小标宋_GBK" w:hAnsi="方正小标宋_GBK" w:eastAsia="方正小标宋_GBK" w:cs="方正小标宋_GBK"/>
          <w:sz w:val="84"/>
          <w:szCs w:val="84"/>
        </w:rPr>
      </w:pPr>
    </w:p>
    <w:p w14:paraId="2B49F2B7">
      <w:pPr>
        <w:pStyle w:val="13"/>
        <w:jc w:val="center"/>
        <w:rPr>
          <w:rFonts w:hint="eastAsia" w:ascii="方正小标宋_GBK" w:hAnsi="方正小标宋_GBK" w:eastAsia="方正小标宋_GBK" w:cs="方正小标宋_GBK"/>
          <w:sz w:val="84"/>
          <w:szCs w:val="84"/>
        </w:rPr>
      </w:pP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3"/>
        <w:jc w:val="center"/>
        <w:rPr>
          <w:rFonts w:hint="eastAsia" w:ascii="仿宋_GB2312" w:hAnsi="仿宋_GB2312" w:eastAsia="仿宋_GB2312" w:cs="仿宋_GB2312"/>
          <w:b w:val="0"/>
          <w:bCs w:val="0"/>
          <w:sz w:val="72"/>
          <w:szCs w:val="72"/>
          <w:lang w:eastAsia="zh-CN"/>
        </w:rPr>
      </w:pPr>
    </w:p>
    <w:p w14:paraId="0568D1B8">
      <w:pPr>
        <w:pStyle w:val="13"/>
        <w:jc w:val="center"/>
        <w:rPr>
          <w:rFonts w:hint="eastAsia" w:ascii="仿宋_GB2312" w:hAnsi="仿宋_GB2312" w:eastAsia="仿宋_GB2312" w:cs="仿宋_GB2312"/>
          <w:b w:val="0"/>
          <w:bCs w:val="0"/>
          <w:sz w:val="72"/>
          <w:szCs w:val="72"/>
          <w:lang w:eastAsia="zh-CN"/>
        </w:rPr>
      </w:pPr>
    </w:p>
    <w:p w14:paraId="5C65B646">
      <w:pPr>
        <w:pStyle w:val="13"/>
        <w:jc w:val="center"/>
        <w:rPr>
          <w:rFonts w:hint="eastAsia" w:ascii="仿宋_GB2312" w:hAnsi="仿宋_GB2312" w:eastAsia="仿宋_GB2312" w:cs="仿宋_GB2312"/>
          <w:b w:val="0"/>
          <w:bCs w:val="0"/>
          <w:sz w:val="72"/>
          <w:szCs w:val="72"/>
          <w:lang w:eastAsia="zh-CN"/>
        </w:rPr>
      </w:pPr>
    </w:p>
    <w:p w14:paraId="62EA5E89">
      <w:pPr>
        <w:pStyle w:val="13"/>
        <w:jc w:val="center"/>
        <w:rPr>
          <w:rFonts w:hint="eastAsia" w:ascii="仿宋_GB2312" w:hAnsi="仿宋_GB2312" w:eastAsia="仿宋_GB2312" w:cs="仿宋_GB2312"/>
          <w:b w:val="0"/>
          <w:bCs w:val="0"/>
          <w:sz w:val="72"/>
          <w:szCs w:val="72"/>
          <w:lang w:eastAsia="zh-CN"/>
        </w:rPr>
      </w:pPr>
    </w:p>
    <w:p w14:paraId="63BFFD84">
      <w:pPr>
        <w:pStyle w:val="13"/>
        <w:jc w:val="center"/>
        <w:rPr>
          <w:rFonts w:hint="eastAsia" w:ascii="仿宋_GB2312" w:hAnsi="仿宋_GB2312" w:eastAsia="仿宋_GB2312" w:cs="仿宋_GB2312"/>
          <w:b w:val="0"/>
          <w:bCs w:val="0"/>
          <w:sz w:val="72"/>
          <w:szCs w:val="72"/>
          <w:lang w:eastAsia="zh-CN"/>
        </w:rPr>
      </w:pPr>
    </w:p>
    <w:p w14:paraId="4565BABE">
      <w:pPr>
        <w:pStyle w:val="13"/>
        <w:jc w:val="center"/>
        <w:rPr>
          <w:rFonts w:hint="eastAsia" w:ascii="仿宋_GB2312" w:hAnsi="仿宋_GB2312" w:eastAsia="仿宋_GB2312" w:cs="仿宋_GB2312"/>
          <w:b w:val="0"/>
          <w:bCs w:val="0"/>
          <w:sz w:val="72"/>
          <w:szCs w:val="72"/>
          <w:lang w:eastAsia="zh-CN"/>
        </w:rPr>
      </w:pPr>
    </w:p>
    <w:p w14:paraId="7A44A82E">
      <w:pPr>
        <w:pStyle w:val="13"/>
        <w:jc w:val="both"/>
        <w:rPr>
          <w:rFonts w:hint="eastAsia" w:ascii="方正小标宋_GBK" w:hAnsi="方正小标宋_GBK" w:eastAsia="方正小标宋_GBK" w:cs="方正小标宋_GBK"/>
          <w:sz w:val="72"/>
          <w:szCs w:val="72"/>
        </w:rPr>
      </w:pPr>
    </w:p>
    <w:p w14:paraId="06211665">
      <w:pPr>
        <w:pStyle w:val="13"/>
        <w:jc w:val="both"/>
        <w:rPr>
          <w:rFonts w:hint="eastAsia" w:ascii="方正小标宋_GBK" w:hAnsi="方正小标宋_GBK" w:eastAsia="方正小标宋_GBK" w:cs="方正小标宋_GBK"/>
          <w:sz w:val="72"/>
          <w:szCs w:val="72"/>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3"/>
        <w:jc w:val="center"/>
        <w:rPr>
          <w:rFonts w:hint="eastAsia" w:ascii="方正小标宋_GBK" w:hAnsi="方正小标宋_GBK" w:eastAsia="方正小标宋_GBK" w:cs="方正小标宋_GBK"/>
          <w:sz w:val="70"/>
          <w:szCs w:val="70"/>
        </w:rPr>
      </w:pPr>
    </w:p>
    <w:p w14:paraId="6EEC30AB">
      <w:pPr>
        <w:pStyle w:val="13"/>
        <w:jc w:val="center"/>
        <w:rPr>
          <w:rFonts w:hint="eastAsia" w:ascii="方正小标宋_GBK" w:hAnsi="方正小标宋_GBK" w:eastAsia="方正小标宋_GBK" w:cs="方正小标宋_GBK"/>
          <w:sz w:val="70"/>
          <w:szCs w:val="70"/>
        </w:rPr>
      </w:pPr>
    </w:p>
    <w:p w14:paraId="417367C1">
      <w:pPr>
        <w:pStyle w:val="13"/>
        <w:jc w:val="center"/>
        <w:rPr>
          <w:rFonts w:hint="eastAsia" w:ascii="方正小标宋_GBK" w:hAnsi="方正小标宋_GBK" w:eastAsia="方正小标宋_GBK" w:cs="方正小标宋_GBK"/>
          <w:sz w:val="70"/>
          <w:szCs w:val="70"/>
        </w:rPr>
      </w:pPr>
    </w:p>
    <w:p w14:paraId="5EF1049C">
      <w:pPr>
        <w:pStyle w:val="13"/>
        <w:jc w:val="center"/>
        <w:rPr>
          <w:rFonts w:hint="eastAsia" w:ascii="方正小标宋_GBK" w:hAnsi="方正小标宋_GBK" w:eastAsia="方正小标宋_GBK" w:cs="方正小标宋_GBK"/>
          <w:sz w:val="70"/>
          <w:szCs w:val="70"/>
        </w:rPr>
      </w:pPr>
    </w:p>
    <w:p w14:paraId="7E4B3CF9">
      <w:pPr>
        <w:pStyle w:val="13"/>
        <w:jc w:val="center"/>
        <w:rPr>
          <w:rFonts w:hint="eastAsia" w:ascii="方正小标宋_GBK" w:hAnsi="方正小标宋_GBK" w:eastAsia="方正小标宋_GBK" w:cs="方正小标宋_GBK"/>
          <w:sz w:val="70"/>
          <w:szCs w:val="70"/>
        </w:rPr>
      </w:pPr>
    </w:p>
    <w:p w14:paraId="514C0722">
      <w:pPr>
        <w:pStyle w:val="13"/>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11.45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3.37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未独立核算的二级机构发展研究中心年初调入3名工作人员，导致人员经费和公用经费增加。</w:t>
      </w:r>
    </w:p>
    <w:p w14:paraId="07DA9E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2D1A2B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232.38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66.21</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118.6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33.79</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仿宋_GB2312" w:hAnsi="仿宋_GB2312" w:eastAsia="仿宋_GB2312" w:cs="仿宋_GB2312"/>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年度财政拨款收、支总计350.98万元。与上年相比，增加11.45万元，增长3.37%，主要是因为未独立核算的二级机构发展研究中心年初调入3名工作人员，</w:t>
      </w:r>
      <w:r>
        <w:rPr>
          <w:rFonts w:hint="eastAsia" w:ascii="仿宋_GB2312" w:hAnsi="仿宋_GB2312" w:eastAsia="仿宋_GB2312" w:cs="仿宋_GB2312"/>
          <w:sz w:val="32"/>
          <w:szCs w:val="32"/>
          <w:lang w:val="en-US" w:eastAsia="zh-CN"/>
        </w:rPr>
        <w:t>导致人员经费和公用经费增加</w:t>
      </w:r>
      <w:r>
        <w:rPr>
          <w:rFonts w:hint="eastAsia" w:ascii="仿宋_GB2312" w:hAnsi="仿宋_GB2312" w:eastAsia="仿宋_GB2312" w:cs="仿宋_GB2312"/>
          <w:sz w:val="32"/>
          <w:szCs w:val="32"/>
        </w:rPr>
        <w:t>。</w:t>
      </w:r>
    </w:p>
    <w:p w14:paraId="4BB30A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6F15B18">
      <w:pPr>
        <w:pStyle w:val="13"/>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11.45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3.37</w:t>
      </w:r>
      <w:r>
        <w:rPr>
          <w:rFonts w:hint="eastAsia" w:ascii="仿宋_GB2312" w:hAnsi="仿宋_GB2312" w:eastAsia="仿宋_GB2312" w:cs="仿宋_GB2312"/>
          <w:sz w:val="32"/>
          <w:szCs w:val="32"/>
        </w:rPr>
        <w:t>%，主要是因为未独立核算的二级机构发展研究中心年初调入3名工作人员，</w:t>
      </w:r>
      <w:r>
        <w:rPr>
          <w:rFonts w:hint="eastAsia" w:ascii="仿宋_GB2312" w:hAnsi="仿宋_GB2312" w:eastAsia="仿宋_GB2312" w:cs="仿宋_GB2312"/>
          <w:sz w:val="32"/>
          <w:szCs w:val="32"/>
          <w:lang w:val="en-US" w:eastAsia="zh-CN"/>
        </w:rPr>
        <w:t>导致人员经费和公用经费增加</w:t>
      </w:r>
      <w:r>
        <w:rPr>
          <w:rFonts w:hint="eastAsia" w:ascii="仿宋_GB2312" w:hAnsi="仿宋_GB2312" w:eastAsia="仿宋_GB2312" w:cs="仿宋_GB2312"/>
          <w:sz w:val="32"/>
          <w:szCs w:val="32"/>
        </w:rPr>
        <w:t>。</w:t>
      </w:r>
    </w:p>
    <w:p w14:paraId="66C54C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306.46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87.31</w:t>
      </w:r>
      <w:r>
        <w:rPr>
          <w:rFonts w:hint="eastAsia" w:ascii="仿宋_GB2312" w:hAnsi="仿宋_GB2312" w:eastAsia="仿宋_GB2312" w:cs="仿宋_GB2312"/>
          <w:sz w:val="32"/>
          <w:szCs w:val="32"/>
        </w:rPr>
        <w:t>%；社会保障和就业（类）支出</w:t>
      </w:r>
      <w:r>
        <w:rPr>
          <w:rFonts w:hint="eastAsia" w:ascii="仿宋_GB2312" w:hAnsi="仿宋_GB2312" w:eastAsia="仿宋_GB2312" w:cs="仿宋_GB2312"/>
          <w:sz w:val="32"/>
          <w:szCs w:val="32"/>
          <w:lang w:val="en-US" w:eastAsia="zh-CN"/>
        </w:rPr>
        <w:t>25.16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7.16</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卫生健康（类）支出</w:t>
      </w:r>
      <w:r>
        <w:rPr>
          <w:rFonts w:hint="eastAsia" w:ascii="仿宋_GB2312" w:hAnsi="仿宋_GB2312" w:eastAsia="仿宋_GB2312" w:cs="仿宋_GB2312"/>
          <w:sz w:val="32"/>
          <w:szCs w:val="32"/>
          <w:lang w:val="en-US" w:eastAsia="zh-CN"/>
        </w:rPr>
        <w:t>6.78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1.93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仿宋_GB2312" w:hAnsi="仿宋_GB2312" w:eastAsia="仿宋_GB2312" w:cs="仿宋_GB2312"/>
          <w:sz w:val="32"/>
          <w:szCs w:val="32"/>
        </w:rPr>
        <w:t>住房保障支出</w:t>
      </w:r>
      <w:r>
        <w:rPr>
          <w:rFonts w:hint="eastAsia" w:ascii="仿宋_GB2312" w:hAnsi="仿宋_GB2312" w:eastAsia="仿宋_GB2312" w:cs="仿宋_GB2312"/>
          <w:sz w:val="32"/>
          <w:szCs w:val="32"/>
          <w:lang w:val="en-US" w:eastAsia="zh-CN"/>
        </w:rPr>
        <w:t>12.58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w:t>
      </w:r>
    </w:p>
    <w:p w14:paraId="5CDBADF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257</w:t>
      </w:r>
      <w:bookmarkStart w:id="0" w:name="_GoBack"/>
      <w:bookmarkEnd w:id="0"/>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350.98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136.48</w:t>
      </w:r>
      <w:r>
        <w:rPr>
          <w:rFonts w:hint="eastAsia" w:ascii="仿宋_GB2312" w:hAnsi="仿宋_GB2312" w:eastAsia="仿宋_GB2312" w:cs="仿宋_GB2312"/>
          <w:sz w:val="32"/>
          <w:szCs w:val="32"/>
        </w:rPr>
        <w:t>%，其中：</w:t>
      </w:r>
    </w:p>
    <w:p w14:paraId="39430B52">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一般公共服务（类）</w:t>
      </w:r>
      <w:r>
        <w:rPr>
          <w:rFonts w:hint="eastAsia" w:ascii="Times New Roman" w:hAnsi="Times New Roman" w:eastAsia="仿宋_GB2312"/>
          <w:sz w:val="32"/>
          <w:szCs w:val="32"/>
          <w:lang w:eastAsia="zh-CN"/>
        </w:rPr>
        <w:t>政府办公</w:t>
      </w:r>
      <w:r>
        <w:rPr>
          <w:rFonts w:hint="eastAsia" w:ascii="Times New Roman" w:hAnsi="Times New Roman" w:eastAsia="仿宋_GB2312"/>
          <w:sz w:val="32"/>
          <w:szCs w:val="32"/>
          <w:lang w:val="en-US" w:eastAsia="zh-CN"/>
        </w:rPr>
        <w:t>室</w:t>
      </w:r>
      <w:r>
        <w:rPr>
          <w:rFonts w:hint="eastAsia" w:ascii="Times New Roman" w:hAnsi="Times New Roman" w:eastAsia="仿宋_GB2312"/>
          <w:sz w:val="32"/>
          <w:szCs w:val="32"/>
          <w:lang w:eastAsia="zh-CN"/>
        </w:rPr>
        <w:t>及相关机构事务</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行政运行</w:t>
      </w:r>
      <w:r>
        <w:rPr>
          <w:rFonts w:hint="eastAsia" w:ascii="Times New Roman" w:hAnsi="Times New Roman" w:eastAsia="仿宋_GB2312"/>
          <w:sz w:val="32"/>
          <w:szCs w:val="32"/>
        </w:rPr>
        <w:t>（项）。</w:t>
      </w:r>
    </w:p>
    <w:p w14:paraId="45001F65">
      <w:pPr>
        <w:pStyle w:val="13"/>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149.46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190.64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127.55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rPr>
        <w:t>财政追加拨付人员经费等</w:t>
      </w:r>
      <w:r>
        <w:rPr>
          <w:rFonts w:hint="eastAsia" w:ascii="仿宋_GB2312" w:hAnsi="仿宋_GB2312" w:eastAsia="仿宋_GB2312" w:cs="仿宋_GB2312"/>
          <w:sz w:val="32"/>
          <w:szCs w:val="32"/>
          <w:highlight w:val="none"/>
          <w:lang w:eastAsia="zh-CN"/>
        </w:rPr>
        <w:t>。</w:t>
      </w:r>
    </w:p>
    <w:p w14:paraId="01374DC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2、一般公共服务（类）</w:t>
      </w:r>
      <w:r>
        <w:rPr>
          <w:rFonts w:hint="eastAsia" w:ascii="Times New Roman" w:hAnsi="Times New Roman" w:eastAsia="仿宋_GB2312"/>
          <w:sz w:val="32"/>
          <w:szCs w:val="32"/>
          <w:lang w:eastAsia="zh-CN"/>
        </w:rPr>
        <w:t>政府办公</w:t>
      </w:r>
      <w:r>
        <w:rPr>
          <w:rFonts w:hint="eastAsia" w:ascii="Times New Roman" w:hAnsi="Times New Roman" w:eastAsia="仿宋_GB2312"/>
          <w:sz w:val="32"/>
          <w:szCs w:val="32"/>
          <w:lang w:val="en-US" w:eastAsia="zh-CN"/>
        </w:rPr>
        <w:t>室</w:t>
      </w:r>
      <w:r>
        <w:rPr>
          <w:rFonts w:hint="eastAsia" w:ascii="Times New Roman" w:hAnsi="Times New Roman" w:eastAsia="仿宋_GB2312"/>
          <w:sz w:val="32"/>
          <w:szCs w:val="32"/>
          <w:lang w:eastAsia="zh-CN"/>
        </w:rPr>
        <w:t>及相关机构事务</w:t>
      </w:r>
      <w:r>
        <w:rPr>
          <w:rFonts w:hint="eastAsia" w:ascii="仿宋_GB2312" w:hAnsi="仿宋_GB2312" w:eastAsia="仿宋_GB2312" w:cs="仿宋_GB2312"/>
          <w:sz w:val="32"/>
          <w:szCs w:val="32"/>
        </w:rPr>
        <w:t>（款）一般行政管理事务（项）。</w:t>
      </w:r>
    </w:p>
    <w:p w14:paraId="3FDE54E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99.4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165.66</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eastAsia="zh-CN"/>
        </w:rPr>
        <w:t>财政追加拨付人员经费等。</w:t>
      </w:r>
    </w:p>
    <w:p w14:paraId="7336317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一般公共服务（类）政府办公厅（室）及相关机构事务（款）其他政府办公厅（室）及相关机构事务支出（项）。</w:t>
      </w:r>
    </w:p>
    <w:p w14:paraId="02DCEE9C">
      <w:pPr>
        <w:pStyle w:val="13"/>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16.42</w:t>
      </w:r>
      <w:r>
        <w:rPr>
          <w:rFonts w:hint="eastAsia" w:ascii="仿宋_GB2312" w:hAnsi="仿宋_GB2312" w:eastAsia="仿宋_GB2312" w:cs="仿宋_GB2312"/>
          <w:sz w:val="32"/>
          <w:szCs w:val="32"/>
        </w:rPr>
        <w:t>万元，决算数大于年初预算数的主要原因是：</w:t>
      </w:r>
      <w:r>
        <w:rPr>
          <w:rFonts w:hint="eastAsia" w:ascii="Times New Roman" w:hAnsi="Times New Roman" w:eastAsia="仿宋_GB2312"/>
          <w:sz w:val="32"/>
          <w:szCs w:val="32"/>
          <w:lang w:eastAsia="zh-CN"/>
        </w:rPr>
        <w:t>财政追加拨付人员经费等。</w:t>
      </w:r>
    </w:p>
    <w:p w14:paraId="285E895A">
      <w:pPr>
        <w:pStyle w:val="13"/>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default" w:ascii="Times New Roman" w:hAnsi="Times New Roman" w:eastAsia="仿宋_GB2312"/>
          <w:sz w:val="32"/>
          <w:szCs w:val="32"/>
          <w:lang w:val="en-US" w:eastAsia="zh-CN"/>
        </w:rPr>
        <w:t>社会保障和就业支出（类）行政事业单位养老支出（款）行政单位离退休（项）。</w:t>
      </w:r>
    </w:p>
    <w:p w14:paraId="217532FA">
      <w:pPr>
        <w:pStyle w:val="13"/>
        <w:keepNext w:val="0"/>
        <w:keepLines w:val="0"/>
        <w:pageBreakBefore w:val="0"/>
        <w:widowControl w:val="0"/>
        <w:numPr>
          <w:ilvl w:val="0"/>
          <w:numId w:val="0"/>
        </w:numPr>
        <w:kinsoku/>
        <w:wordWrap/>
        <w:overflowPunct/>
        <w:topLinePunct w:val="0"/>
        <w:bidi w:val="0"/>
        <w:snapToGrid/>
        <w:spacing w:line="600" w:lineRule="exact"/>
        <w:ind w:firstLine="64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年初预算为3.28万元，支出决算为3.06万元，</w:t>
      </w:r>
      <w:r>
        <w:rPr>
          <w:rFonts w:hint="eastAsia" w:ascii="Times New Roman" w:hAnsi="Times New Roman" w:eastAsia="仿宋_GB2312"/>
          <w:sz w:val="32"/>
          <w:szCs w:val="32"/>
        </w:rPr>
        <w:t>完成年初预算的</w:t>
      </w:r>
      <w:r>
        <w:rPr>
          <w:rFonts w:hint="eastAsia" w:ascii="Times New Roman" w:hAnsi="Times New Roman" w:eastAsia="仿宋_GB2312"/>
          <w:sz w:val="32"/>
          <w:szCs w:val="32"/>
          <w:lang w:val="en-US" w:eastAsia="zh-CN"/>
        </w:rPr>
        <w:t>93.29%，决算数小于年初预算数的主要原因是：财政直接支付退休人员绩效。</w:t>
      </w:r>
    </w:p>
    <w:p w14:paraId="1E23BC6D">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800" w:firstLineChars="250"/>
        <w:textAlignment w:val="auto"/>
        <w:rPr>
          <w:rFonts w:hint="eastAsia" w:ascii="Times New Roman" w:hAnsi="Times New Roman" w:eastAsia="仿宋_GB2312"/>
          <w:sz w:val="32"/>
          <w:szCs w:val="32"/>
          <w:lang w:val="en-US" w:eastAsia="zh-CN"/>
        </w:rPr>
      </w:pPr>
      <w:r>
        <w:rPr>
          <w:rFonts w:hint="default" w:ascii="Times New Roman" w:hAnsi="Times New Roman" w:eastAsia="仿宋_GB2312"/>
          <w:sz w:val="32"/>
          <w:szCs w:val="32"/>
          <w:lang w:val="en-US" w:eastAsia="zh-CN"/>
        </w:rPr>
        <w:t>社会保障和就业支出（类）行政事业单位养老支出（款）机关事业单位基本养老保险缴费支出（项）。</w:t>
      </w:r>
    </w:p>
    <w:p w14:paraId="4F1E2312">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年初预算为17.47万元，支出决算为17.47万元，</w:t>
      </w:r>
      <w:r>
        <w:rPr>
          <w:rFonts w:hint="eastAsia" w:ascii="Times New Roman" w:hAnsi="Times New Roman" w:eastAsia="仿宋_GB2312"/>
          <w:sz w:val="32"/>
          <w:szCs w:val="32"/>
        </w:rPr>
        <w:t>完成年初预算的</w:t>
      </w:r>
      <w:r>
        <w:rPr>
          <w:rFonts w:hint="eastAsia" w:ascii="Times New Roman" w:hAnsi="Times New Roman" w:eastAsia="仿宋_GB2312"/>
          <w:sz w:val="32"/>
          <w:szCs w:val="32"/>
          <w:lang w:val="en-US" w:eastAsia="zh-CN"/>
        </w:rPr>
        <w:t>100%，决算数等于年初预算数的主要原因是：预算执行科学合理。</w:t>
      </w:r>
    </w:p>
    <w:p w14:paraId="3859BFED">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社会保障和就业支出（类）残疾人事业（款）其他残疾人事业支出（项）。</w:t>
      </w:r>
    </w:p>
    <w:p w14:paraId="16BA8AD0">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年初预算为1.26万元，支出决算为1.26万元，</w:t>
      </w:r>
      <w:r>
        <w:rPr>
          <w:rFonts w:hint="eastAsia" w:ascii="Times New Roman" w:hAnsi="Times New Roman" w:eastAsia="仿宋_GB2312"/>
          <w:sz w:val="32"/>
          <w:szCs w:val="32"/>
        </w:rPr>
        <w:t>完成年初预算的</w:t>
      </w:r>
      <w:r>
        <w:rPr>
          <w:rFonts w:hint="eastAsia" w:ascii="Times New Roman" w:hAnsi="Times New Roman" w:eastAsia="仿宋_GB2312"/>
          <w:sz w:val="32"/>
          <w:szCs w:val="32"/>
          <w:lang w:val="en-US" w:eastAsia="zh-CN"/>
        </w:rPr>
        <w:t>100%，决算数等于年初预算数的主要原因是：预算执行科学合理。</w:t>
      </w:r>
    </w:p>
    <w:p w14:paraId="69DFC118">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800" w:firstLineChars="250"/>
        <w:textAlignment w:val="auto"/>
        <w:rPr>
          <w:rFonts w:hint="eastAsia" w:ascii="Times New Roman" w:hAnsi="Times New Roman" w:eastAsia="仿宋_GB2312"/>
          <w:sz w:val="32"/>
          <w:szCs w:val="32"/>
          <w:lang w:val="en-US" w:eastAsia="zh-CN"/>
        </w:rPr>
      </w:pPr>
      <w:r>
        <w:rPr>
          <w:rFonts w:hint="default" w:ascii="Times New Roman" w:hAnsi="Times New Roman" w:eastAsia="仿宋_GB2312"/>
          <w:sz w:val="32"/>
          <w:szCs w:val="32"/>
          <w:lang w:val="en-US" w:eastAsia="zh-CN"/>
        </w:rPr>
        <w:t>社会保障和就业支出（类）</w:t>
      </w:r>
      <w:r>
        <w:rPr>
          <w:rFonts w:hint="eastAsia" w:ascii="Times New Roman" w:hAnsi="Times New Roman" w:eastAsia="仿宋_GB2312"/>
          <w:sz w:val="32"/>
          <w:szCs w:val="32"/>
          <w:lang w:val="en-US" w:eastAsia="zh-CN"/>
        </w:rPr>
        <w:t>其他社会保障就业支出（款）其他社会保障就业支出（项）</w:t>
      </w:r>
    </w:p>
    <w:p w14:paraId="59B446E5">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年初预算为3.36万元，支出决算为3.36万元，完成年初预算的100%，</w:t>
      </w:r>
    </w:p>
    <w:p w14:paraId="15170EB8">
      <w:pPr>
        <w:pStyle w:val="13"/>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决算数等于年初预算数的主要原因是：预算执行科学合理。</w:t>
      </w:r>
    </w:p>
    <w:p w14:paraId="76D0D257">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卫生健康（类）行政事业单位医疗（款）行政单位医疗（项）</w:t>
      </w:r>
    </w:p>
    <w:p w14:paraId="5B95D2C3">
      <w:pPr>
        <w:pStyle w:val="13"/>
        <w:keepNext w:val="0"/>
        <w:keepLines w:val="0"/>
        <w:pageBreakBefore w:val="0"/>
        <w:widowControl w:val="0"/>
        <w:numPr>
          <w:ilvl w:val="0"/>
          <w:numId w:val="0"/>
        </w:numPr>
        <w:kinsoku/>
        <w:wordWrap/>
        <w:overflowPunct/>
        <w:topLinePunct w:val="0"/>
        <w:bidi w:val="0"/>
        <w:snapToGrid/>
        <w:spacing w:line="600" w:lineRule="exact"/>
        <w:ind w:firstLine="64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年初预算为6.78万元，支出决算为6.78万元，</w:t>
      </w:r>
      <w:r>
        <w:rPr>
          <w:rFonts w:hint="eastAsia" w:ascii="Times New Roman" w:hAnsi="Times New Roman" w:eastAsia="仿宋_GB2312"/>
          <w:sz w:val="32"/>
          <w:szCs w:val="32"/>
        </w:rPr>
        <w:t>完成年初预算的</w:t>
      </w:r>
      <w:r>
        <w:rPr>
          <w:rFonts w:hint="eastAsia" w:ascii="Times New Roman" w:hAnsi="Times New Roman" w:eastAsia="仿宋_GB2312"/>
          <w:sz w:val="32"/>
          <w:szCs w:val="32"/>
          <w:lang w:val="en-US" w:eastAsia="zh-CN"/>
        </w:rPr>
        <w:t>100%，决算数等于年初预算数的主要原因是：预算执行科学合理。</w:t>
      </w:r>
    </w:p>
    <w:p w14:paraId="2C62F84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、卫生健康（类）行政事业单位医疗（款）公务员医疗补助（项）。</w:t>
      </w:r>
    </w:p>
    <w:p w14:paraId="5051D42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2.95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财政直接支付公务员医疗补助经费。</w:t>
      </w:r>
    </w:p>
    <w:p w14:paraId="5E47220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、住房保障（类）住房改革支出（款）住房公积金（项）。</w:t>
      </w:r>
    </w:p>
    <w:p w14:paraId="48232D3B">
      <w:pPr>
        <w:pStyle w:val="13"/>
        <w:keepNext w:val="0"/>
        <w:keepLines w:val="0"/>
        <w:pageBreakBefore w:val="0"/>
        <w:widowControl w:val="0"/>
        <w:numPr>
          <w:ilvl w:val="0"/>
          <w:numId w:val="0"/>
        </w:numPr>
        <w:kinsoku/>
        <w:wordWrap/>
        <w:overflowPunct/>
        <w:topLinePunct w:val="0"/>
        <w:bidi w:val="0"/>
        <w:snapToGrid/>
        <w:spacing w:line="600" w:lineRule="exact"/>
        <w:ind w:firstLine="64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12.58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12.58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eastAsia="zh-CN"/>
        </w:rPr>
        <w:t>的</w:t>
      </w:r>
      <w:r>
        <w:rPr>
          <w:rFonts w:hint="eastAsia" w:ascii="Times New Roman" w:hAnsi="Times New Roman" w:eastAsia="仿宋_GB2312"/>
          <w:sz w:val="32"/>
          <w:szCs w:val="32"/>
          <w:lang w:val="en-US" w:eastAsia="zh-CN"/>
        </w:rPr>
        <w:t>主要原因是预算执行科学合理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ab/>
      </w:r>
    </w:p>
    <w:p w14:paraId="373E8BA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232.38</w:t>
      </w:r>
      <w:r>
        <w:rPr>
          <w:rFonts w:hint="eastAsia" w:ascii="仿宋_GB2312" w:hAnsi="仿宋_GB2312" w:eastAsia="仿宋_GB2312" w:cs="仿宋_GB2312"/>
          <w:sz w:val="32"/>
          <w:szCs w:val="32"/>
        </w:rPr>
        <w:t>万元，其中：</w:t>
      </w:r>
    </w:p>
    <w:p w14:paraId="1E327A9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86.97</w:t>
      </w:r>
      <w:r>
        <w:rPr>
          <w:rFonts w:hint="eastAsia" w:ascii="仿宋_GB2312" w:hAnsi="仿宋_GB2312" w:eastAsia="仿宋_GB2312" w:cs="仿宋_GB2312"/>
          <w:sz w:val="32"/>
          <w:szCs w:val="32"/>
        </w:rPr>
        <w:t>%,主要包括基本工资、津贴补贴、奖金、伙食补助费、绩效工资、机关事业单位基本养老保险缴费、职工基本医疗保险缴费、其他社会保障缴费、住房公积金、医疗费、退休费、医疗费补助、奖励金、其他对个人和家庭的补助。</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30.28</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13.03</w:t>
      </w:r>
      <w:r>
        <w:rPr>
          <w:rFonts w:hint="eastAsia" w:ascii="仿宋_GB2312" w:hAnsi="仿宋_GB2312" w:eastAsia="仿宋_GB2312" w:cs="仿宋_GB2312"/>
          <w:sz w:val="32"/>
          <w:szCs w:val="32"/>
        </w:rPr>
        <w:t>%，主要包括办公费、印刷费、邮电费、物业管理费、差旅费、会议费、培训费、公务接待费、劳务费、委托业务费、工会经费、公务用车运行维护费、其他交通费用、其他商品和服务支出。</w:t>
      </w:r>
    </w:p>
    <w:p w14:paraId="238B27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6.18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4.84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78.32</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0.12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2.54</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厉行节约，减少开支</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公务车进行了大型保养，维护费用增加</w:t>
      </w:r>
      <w:r>
        <w:rPr>
          <w:rFonts w:ascii="Times New Roman" w:hAnsi="Times New Roman" w:eastAsia="仿宋_GB2312" w:cs="Times New Roman"/>
          <w:sz w:val="32"/>
          <w:szCs w:val="32"/>
        </w:rPr>
        <w:t>。</w:t>
      </w:r>
    </w:p>
    <w:p w14:paraId="352D03A7">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7CC4F77C">
      <w:pPr>
        <w:pStyle w:val="13"/>
        <w:overflowPunct w:val="0"/>
        <w:autoSpaceDE/>
        <w:autoSpaceDN/>
        <w:spacing w:line="600" w:lineRule="exact"/>
        <w:ind w:firstLine="640" w:firstLineChars="200"/>
        <w:jc w:val="both"/>
        <w:rPr>
          <w:rFonts w:ascii="Times New Roman" w:hAnsi="Times New Roman" w:eastAsia="楷体" w:cs="Times New Roman"/>
          <w:b/>
          <w:bCs/>
          <w:i/>
          <w:color w:val="000000" w:themeColor="text1"/>
          <w:sz w:val="32"/>
          <w:szCs w:val="32"/>
          <w14:textFill>
            <w14:solidFill>
              <w14:schemeClr w14:val="tx1"/>
            </w14:solidFill>
          </w14:textFill>
        </w:rPr>
      </w:pPr>
      <w:r>
        <w:rPr>
          <w:rFonts w:ascii="Times New Roman" w:hAnsi="Times New Roman" w:eastAsia="仿宋_GB2312" w:cs="Times New Roman"/>
          <w:sz w:val="32"/>
          <w:szCs w:val="32"/>
        </w:rPr>
        <w:t>1.</w:t>
      </w:r>
      <w:r>
        <w:rPr>
          <w:rFonts w:ascii="Times New Roman" w:hAnsi="Times New Roman" w:eastAsia="仿宋_GB2312" w:cs="Times New Roman"/>
          <w:color w:val="000000" w:themeColor="text1"/>
          <w:sz w:val="32"/>
          <w:szCs w:val="32"/>
          <w14:textFill>
            <w14:solidFill>
              <w14:schemeClr w14:val="tx1"/>
            </w14:solidFill>
          </w14:textFill>
        </w:rPr>
        <w:t>因公出国（境）费支出预算为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万元，支出决算为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决算数等于预算数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，主要原因是我单位严格按预算执行决算</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与上年一致，无增减变动，主要原因是未安排因公出国（境）活动。</w:t>
      </w:r>
      <w:r>
        <w:rPr>
          <w:rFonts w:ascii="Times New Roman" w:hAnsi="Times New Roman" w:eastAsia="仿宋_GB2312" w:cs="Times New Roman"/>
          <w:color w:val="000000" w:themeColor="text1"/>
          <w:sz w:val="32"/>
          <w:szCs w:val="32"/>
          <w14:textFill>
            <w14:solidFill>
              <w14:schemeClr w14:val="tx1"/>
            </w14:solidFill>
          </w14:textFill>
        </w:rPr>
        <w:t>2024年度安排因公出国（境）团组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个，累计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人次</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2F0C0072">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公务用车购置费及运行维护费支出预算为0万元，支出决算为0万元，决算数等于预算数；与上年一致，无增减变动。其中：</w:t>
      </w:r>
    </w:p>
    <w:p w14:paraId="07AF86AC">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公务用车购置费支出预算为0万元，支出决算为0万元，决算数等于预算数，主要原因是我单位严格按预算执行决算；与上年一致，无增减变动，主要原因是两年均未购置公务用车。本单位更新公务用车0辆。</w:t>
      </w:r>
    </w:p>
    <w:p w14:paraId="1D422951">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4.1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3.99</w:t>
      </w:r>
      <w:r>
        <w:rPr>
          <w:rFonts w:ascii="Times New Roman" w:hAnsi="Times New Roman" w:eastAsia="仿宋_GB2312" w:cs="Times New Roman"/>
          <w:sz w:val="32"/>
          <w:szCs w:val="32"/>
        </w:rPr>
        <w:t>万元，</w:t>
      </w:r>
    </w:p>
    <w:p w14:paraId="75A272CE">
      <w:pPr>
        <w:pStyle w:val="13"/>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val="en-US" w:eastAsia="zh-CN"/>
        </w:rPr>
        <w:t>公务车维护、油卡充值等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97.32</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1.09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36.45</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rPr>
        <w:t>厉行节约，减少开支</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公务车</w:t>
      </w:r>
      <w:r>
        <w:rPr>
          <w:rFonts w:hint="eastAsia" w:ascii="Times New Roman" w:hAnsi="Times New Roman" w:eastAsia="仿宋_GB2312" w:cs="Times New Roman"/>
          <w:sz w:val="32"/>
          <w:szCs w:val="32"/>
          <w:lang w:val="en-US" w:eastAsia="zh-CN"/>
        </w:rPr>
        <w:t>进行了大型保养</w:t>
      </w:r>
      <w:r>
        <w:rPr>
          <w:rFonts w:hint="eastAsia" w:ascii="Times New Roman" w:hAnsi="Times New Roman" w:eastAsia="仿宋_GB2312" w:cs="Times New Roman"/>
          <w:sz w:val="32"/>
          <w:szCs w:val="32"/>
        </w:rPr>
        <w:t>，维护费用增加</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4B35674B">
      <w:pPr>
        <w:numPr>
          <w:ilvl w:val="0"/>
          <w:numId w:val="4"/>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2.08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0.85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40.86</w:t>
      </w:r>
      <w:r>
        <w:rPr>
          <w:rFonts w:ascii="Times New Roman" w:hAnsi="Times New Roman" w:eastAsia="仿宋_GB2312" w:cs="Times New Roman"/>
          <w:sz w:val="32"/>
          <w:szCs w:val="32"/>
        </w:rPr>
        <w:t>%；与上年相比减</w:t>
      </w:r>
      <w:r>
        <w:rPr>
          <w:rFonts w:hint="eastAsia" w:ascii="Times New Roman" w:hAnsi="Times New Roman" w:eastAsia="仿宋_GB2312" w:cs="Times New Roman"/>
          <w:sz w:val="32"/>
          <w:szCs w:val="32"/>
          <w:lang w:val="en-US" w:eastAsia="zh-CN"/>
        </w:rPr>
        <w:t>少0.97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53.3</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rPr>
        <w:t>厉行节约，减少开支</w:t>
      </w:r>
      <w:r>
        <w:rPr>
          <w:rFonts w:ascii="Times New Roman" w:hAnsi="Times New Roman" w:eastAsia="仿宋_GB2312" w:cs="Times New Roman"/>
          <w:sz w:val="32"/>
          <w:szCs w:val="32"/>
        </w:rPr>
        <w:t>。决算数小于上年数的主要原因是</w:t>
      </w:r>
      <w:r>
        <w:rPr>
          <w:rFonts w:hint="eastAsia" w:ascii="仿宋_GB2312" w:hAnsi="仿宋_GB2312" w:eastAsia="仿宋_GB2312" w:cs="仿宋_GB2312"/>
          <w:sz w:val="32"/>
          <w:szCs w:val="32"/>
        </w:rPr>
        <w:t>厉行节约，减少开支</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人次，</w:t>
      </w:r>
      <w:r>
        <w:rPr>
          <w:rFonts w:hint="eastAsia" w:ascii="仿宋_GB2312" w:hAnsi="仿宋_GB2312" w:eastAsia="仿宋_GB2312" w:cs="仿宋_GB2312"/>
          <w:sz w:val="32"/>
          <w:szCs w:val="32"/>
        </w:rPr>
        <w:t>主要是</w:t>
      </w:r>
      <w:r>
        <w:rPr>
          <w:rFonts w:hint="eastAsia" w:ascii="Times New Roman" w:hAnsi="Times New Roman" w:eastAsia="仿宋_GB2312"/>
          <w:sz w:val="32"/>
          <w:szCs w:val="32"/>
        </w:rPr>
        <w:t>主要是</w:t>
      </w:r>
      <w:r>
        <w:rPr>
          <w:rFonts w:hint="eastAsia" w:ascii="Times New Roman" w:hAnsi="Times New Roman" w:eastAsia="仿宋_GB2312"/>
          <w:sz w:val="32"/>
          <w:szCs w:val="32"/>
          <w:lang w:eastAsia="zh-CN"/>
        </w:rPr>
        <w:t>用于招待考察调研、学习交流等</w:t>
      </w:r>
      <w:r>
        <w:rPr>
          <w:rFonts w:hint="eastAsia" w:ascii="Times New Roman" w:hAnsi="Times New Roman" w:eastAsia="仿宋_GB2312"/>
          <w:sz w:val="32"/>
          <w:szCs w:val="32"/>
        </w:rPr>
        <w:t>发生的接待支出</w:t>
      </w:r>
      <w:r>
        <w:rPr>
          <w:rFonts w:hint="eastAsia" w:ascii="Times New Roman" w:hAnsi="Times New Roman" w:eastAsia="仿宋_GB2312"/>
          <w:sz w:val="32"/>
          <w:szCs w:val="32"/>
          <w:lang w:eastAsia="zh-CN"/>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十</w:t>
      </w:r>
      <w:r>
        <w:rPr>
          <w:rFonts w:hint="eastAsia" w:ascii="黑体" w:hAnsi="黑体" w:eastAsia="黑体" w:cs="黑体"/>
          <w:b w:val="0"/>
          <w:bCs/>
          <w:sz w:val="32"/>
          <w:szCs w:val="32"/>
        </w:rPr>
        <w:t>、关于机关运行经费支出说明</w:t>
      </w:r>
    </w:p>
    <w:p w14:paraId="38BA3ACD">
      <w:pPr>
        <w:pStyle w:val="13"/>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30.29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比上年决算数减少</w:t>
      </w:r>
      <w:r>
        <w:rPr>
          <w:rFonts w:hint="eastAsia" w:ascii="仿宋_GB2312" w:hAnsi="仿宋_GB2312" w:eastAsia="仿宋_GB2312" w:cs="仿宋_GB2312"/>
          <w:sz w:val="32"/>
          <w:szCs w:val="32"/>
          <w:highlight w:val="none"/>
          <w:lang w:val="en-US" w:eastAsia="zh-CN"/>
        </w:rPr>
        <w:t>32.07</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48.57</w:t>
      </w:r>
      <w:r>
        <w:rPr>
          <w:rFonts w:hint="eastAsia" w:ascii="仿宋_GB2312" w:hAnsi="仿宋_GB2312" w:eastAsia="仿宋_GB2312" w:cs="仿宋_GB2312"/>
          <w:sz w:val="32"/>
          <w:szCs w:val="32"/>
          <w:highlight w:val="none"/>
        </w:rPr>
        <w:t>%。主要原因是：本年度部分办公室日常经费放在项目支出里面。</w:t>
      </w:r>
    </w:p>
    <w:p w14:paraId="39684EF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年度，会议费年初预算1万元，支出决算为1万元，完成年初预算的100%。用于召开经济形势分析会会议会议，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分析岳阳市经济形势</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培训费年初预算0.1万元，支出决算为0万元，完成年初预算的0%。主要是本单位今年未开展培训，单位人员也未参加培训。</w:t>
      </w:r>
    </w:p>
    <w:p w14:paraId="40B9883A">
      <w:pPr>
        <w:pStyle w:val="13"/>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举办节庆、晚会、论坛、赛事活动年初预算0万元，支出决算为0万元。主要是</w:t>
      </w:r>
      <w:r>
        <w:rPr>
          <w:rFonts w:hint="eastAsia" w:ascii="Times New Roman" w:hAnsi="Times New Roman" w:eastAsia="仿宋_GB2312"/>
          <w:sz w:val="32"/>
          <w:szCs w:val="32"/>
          <w:lang w:val="en-US" w:eastAsia="zh-CN"/>
        </w:rPr>
        <w:t>本单位无举办节庆、晚会、论坛、赛事等活动的预算和支出决算数</w:t>
      </w:r>
      <w:r>
        <w:rPr>
          <w:rFonts w:hint="eastAsia" w:ascii="Times New Roman" w:hAnsi="Times New Roman" w:eastAsia="仿宋_GB2312"/>
          <w:sz w:val="32"/>
          <w:szCs w:val="32"/>
        </w:rPr>
        <w:t>。</w:t>
      </w:r>
    </w:p>
    <w:p w14:paraId="252D0B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87F52B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w:t>
      </w:r>
      <w:r>
        <w:rPr>
          <w:rFonts w:hint="eastAsia" w:ascii="仿宋_GB2312" w:hAnsi="仿宋_GB2312" w:eastAsia="仿宋_GB2312" w:cs="仿宋_GB2312"/>
          <w:sz w:val="32"/>
          <w:szCs w:val="32"/>
        </w:rPr>
        <w:t>政府采购支出总额</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0，故无法计算</w:t>
      </w:r>
      <w:r>
        <w:rPr>
          <w:rFonts w:hint="eastAsia" w:ascii="仿宋_GB2312" w:hAnsi="仿宋_GB2312" w:eastAsia="仿宋_GB2312" w:cs="仿宋_GB2312"/>
          <w:sz w:val="32"/>
          <w:szCs w:val="32"/>
        </w:rPr>
        <w:t>占政府采购支出总额的</w:t>
      </w:r>
      <w:r>
        <w:rPr>
          <w:rFonts w:hint="eastAsia" w:ascii="仿宋_GB2312" w:hAnsi="仿宋_GB2312" w:eastAsia="仿宋_GB2312" w:cs="仿宋_GB2312"/>
          <w:sz w:val="32"/>
          <w:szCs w:val="32"/>
          <w:lang w:eastAsia="zh-CN"/>
        </w:rPr>
        <w:t>比重）</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（由于授予中小企业合同金额为</w:t>
      </w:r>
      <w:r>
        <w:rPr>
          <w:rFonts w:hint="eastAsia" w:ascii="仿宋_GB2312" w:hAnsi="仿宋_GB2312" w:eastAsia="仿宋_GB2312" w:cs="仿宋_GB2312"/>
          <w:sz w:val="32"/>
          <w:szCs w:val="32"/>
          <w:lang w:val="en-US" w:eastAsia="zh-CN"/>
        </w:rPr>
        <w:t>0，故无法计算</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eastAsia="zh-CN"/>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比重）</w:t>
      </w:r>
      <w:r>
        <w:rPr>
          <w:rFonts w:hint="eastAsia" w:ascii="仿宋_GB2312" w:hAnsi="仿宋_GB2312" w:eastAsia="仿宋_GB2312" w:cs="仿宋_GB2312"/>
          <w:sz w:val="32"/>
          <w:szCs w:val="32"/>
        </w:rPr>
        <w:t>。货物采购授予中小企业合同金额占货物支出金额的</w:t>
      </w:r>
      <w:r>
        <w:rPr>
          <w:rFonts w:hint="eastAsia" w:ascii="仿宋_GB2312" w:hAnsi="仿宋_GB2312" w:eastAsia="仿宋_GB2312" w:cs="仿宋_GB2312"/>
          <w:sz w:val="32"/>
          <w:szCs w:val="32"/>
          <w:lang w:eastAsia="zh-CN"/>
        </w:rPr>
        <w:t>比重</w:t>
      </w:r>
      <w:r>
        <w:rPr>
          <w:rFonts w:hint="eastAsia" w:ascii="仿宋_GB2312" w:hAnsi="仿宋_GB2312" w:eastAsia="仿宋_GB2312" w:cs="仿宋_GB2312"/>
          <w:sz w:val="32"/>
          <w:szCs w:val="32"/>
        </w:rPr>
        <w:t>，工程采购授予中小企业合同金额占工程支出金额的</w:t>
      </w:r>
      <w:r>
        <w:rPr>
          <w:rFonts w:hint="eastAsia" w:ascii="仿宋_GB2312" w:hAnsi="仿宋_GB2312" w:eastAsia="仿宋_GB2312" w:cs="仿宋_GB2312"/>
          <w:sz w:val="32"/>
          <w:szCs w:val="32"/>
          <w:lang w:eastAsia="zh-CN"/>
        </w:rPr>
        <w:t>比重</w:t>
      </w:r>
      <w:r>
        <w:rPr>
          <w:rFonts w:hint="eastAsia" w:ascii="仿宋_GB2312" w:hAnsi="仿宋_GB2312" w:eastAsia="仿宋_GB2312" w:cs="仿宋_GB2312"/>
          <w:sz w:val="32"/>
          <w:szCs w:val="32"/>
        </w:rPr>
        <w:t>，服务采购授予中小企业合同金额占服务支出金额的</w:t>
      </w:r>
      <w:r>
        <w:rPr>
          <w:rFonts w:hint="eastAsia" w:ascii="仿宋_GB2312" w:hAnsi="仿宋_GB2312" w:eastAsia="仿宋_GB2312" w:cs="仿宋_GB2312"/>
          <w:sz w:val="32"/>
          <w:szCs w:val="32"/>
          <w:lang w:eastAsia="zh-CN"/>
        </w:rPr>
        <w:t>比重，由于以上各项合同金额为</w:t>
      </w:r>
      <w:r>
        <w:rPr>
          <w:rFonts w:hint="eastAsia" w:ascii="仿宋_GB2312" w:hAnsi="仿宋_GB2312" w:eastAsia="仿宋_GB2312" w:cs="仿宋_GB2312"/>
          <w:sz w:val="32"/>
          <w:szCs w:val="32"/>
          <w:lang w:val="en-US" w:eastAsia="zh-CN"/>
        </w:rPr>
        <w:t>0，故无法计算各项占比</w:t>
      </w:r>
      <w:r>
        <w:rPr>
          <w:rFonts w:hint="eastAsia" w:ascii="仿宋_GB2312" w:hAnsi="仿宋_GB2312" w:eastAsia="仿宋_GB2312" w:cs="仿宋_GB2312"/>
          <w:sz w:val="32"/>
          <w:szCs w:val="32"/>
        </w:rPr>
        <w:t>。</w:t>
      </w:r>
    </w:p>
    <w:p w14:paraId="246A0DF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b w:val="0"/>
          <w:bCs w:val="0"/>
          <w:kern w:val="0"/>
          <w:sz w:val="32"/>
          <w:szCs w:val="32"/>
          <w:highlight w:val="none"/>
          <w:lang w:val="en-US" w:eastAsia="zh-CN"/>
        </w:rPr>
        <w:t>1</w:t>
      </w:r>
      <w:r>
        <w:rPr>
          <w:rFonts w:hint="eastAsia" w:ascii="Times New Roman" w:hAnsi="Times New Roman" w:eastAsia="仿宋_GB2312" w:cs="Times New Roman"/>
          <w:kern w:val="0"/>
          <w:sz w:val="32"/>
          <w:szCs w:val="32"/>
          <w:highlight w:val="none"/>
          <w:lang w:val="en-US" w:eastAsia="zh-CN"/>
        </w:rPr>
        <w:t>.</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350.98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350.98</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r>
        <w:rPr>
          <w:rFonts w:hint="eastAsia" w:ascii="仿宋" w:hAnsi="仿宋" w:eastAsia="仿宋" w:cs="仿宋_GB2312"/>
          <w:color w:val="000000"/>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hint="eastAsia" w:ascii="仿宋" w:hAnsi="仿宋" w:eastAsia="仿宋" w:cs="仿宋_GB2312"/>
          <w:color w:val="000000"/>
          <w:kern w:val="0"/>
          <w:sz w:val="32"/>
          <w:szCs w:val="32"/>
        </w:rPr>
        <w:t>（由于</w:t>
      </w:r>
      <w:r>
        <w:rPr>
          <w:rFonts w:ascii="Times New Roman" w:hAnsi="Times New Roman" w:eastAsia="仿宋_GB2312" w:cs="Times New Roman"/>
          <w:kern w:val="0"/>
          <w:sz w:val="32"/>
          <w:szCs w:val="32"/>
        </w:rPr>
        <w:t>国有资本经营</w:t>
      </w:r>
      <w:r>
        <w:rPr>
          <w:rFonts w:hint="eastAsia" w:ascii="仿宋" w:hAnsi="仿宋" w:eastAsia="仿宋" w:cs="仿宋_GB2312"/>
          <w:color w:val="000000"/>
          <w:kern w:val="0"/>
          <w:sz w:val="32"/>
          <w:szCs w:val="32"/>
        </w:rPr>
        <w:t>预算项目支出总额为0，故无法计算占</w:t>
      </w:r>
      <w:r>
        <w:rPr>
          <w:rFonts w:ascii="Times New Roman" w:hAnsi="Times New Roman" w:eastAsia="仿宋_GB2312" w:cs="Times New Roman"/>
          <w:kern w:val="0"/>
          <w:sz w:val="32"/>
          <w:szCs w:val="32"/>
        </w:rPr>
        <w:t>国有资本经营</w:t>
      </w:r>
      <w:r>
        <w:rPr>
          <w:rFonts w:hint="eastAsia" w:ascii="仿宋" w:hAnsi="仿宋" w:eastAsia="仿宋" w:cs="仿宋_GB2312"/>
          <w:color w:val="000000"/>
          <w:kern w:val="0"/>
          <w:sz w:val="32"/>
          <w:szCs w:val="32"/>
        </w:rPr>
        <w:t>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w:t>
      </w:r>
      <w:r>
        <w:rPr>
          <w:rFonts w:hint="eastAsia" w:ascii="仿宋" w:hAnsi="仿宋" w:eastAsia="仿宋" w:cs="仿宋_GB2312"/>
          <w:color w:val="000000"/>
          <w:kern w:val="0"/>
          <w:sz w:val="32"/>
          <w:szCs w:val="32"/>
        </w:rPr>
        <w:t>（由于</w:t>
      </w:r>
      <w:r>
        <w:rPr>
          <w:rFonts w:hint="eastAsia" w:ascii="Times New Roman" w:hAnsi="Times New Roman" w:eastAsia="仿宋_GB2312" w:cs="Times New Roman"/>
          <w:kern w:val="0"/>
          <w:sz w:val="32"/>
          <w:szCs w:val="32"/>
        </w:rPr>
        <w:t>社会保险基金</w:t>
      </w:r>
      <w:r>
        <w:rPr>
          <w:rFonts w:hint="eastAsia" w:ascii="仿宋" w:hAnsi="仿宋" w:eastAsia="仿宋" w:cs="仿宋_GB2312"/>
          <w:color w:val="000000"/>
          <w:kern w:val="0"/>
          <w:sz w:val="32"/>
          <w:szCs w:val="32"/>
        </w:rPr>
        <w:t>预算项目支出总额为0，故无法计算占</w:t>
      </w:r>
      <w:r>
        <w:rPr>
          <w:rFonts w:hint="eastAsia" w:ascii="Times New Roman" w:hAnsi="Times New Roman" w:eastAsia="仿宋_GB2312" w:cs="Times New Roman"/>
          <w:kern w:val="0"/>
          <w:sz w:val="32"/>
          <w:szCs w:val="32"/>
        </w:rPr>
        <w:t>社会保险基金</w:t>
      </w:r>
      <w:r>
        <w:rPr>
          <w:rFonts w:hint="eastAsia" w:ascii="仿宋" w:hAnsi="仿宋" w:eastAsia="仿宋" w:cs="仿宋_GB2312"/>
          <w:color w:val="000000"/>
          <w:kern w:val="0"/>
          <w:sz w:val="32"/>
          <w:szCs w:val="32"/>
        </w:rPr>
        <w:t>预算项目支出总额的比重）</w:t>
      </w:r>
      <w:r>
        <w:rPr>
          <w:rFonts w:ascii="Times New Roman" w:hAnsi="Times New Roman" w:eastAsia="仿宋_GB2312" w:cs="Times New Roman"/>
          <w:kern w:val="0"/>
          <w:sz w:val="32"/>
          <w:szCs w:val="32"/>
          <w:highlight w:val="none"/>
        </w:rPr>
        <w:t>。</w:t>
      </w:r>
      <w:r>
        <w:rPr>
          <w:rFonts w:hint="eastAsia" w:ascii="Times New Roman" w:hAnsi="Times New Roman" w:eastAsia="仿宋_GB2312" w:cs="Times New Roman"/>
          <w:kern w:val="0"/>
          <w:sz w:val="32"/>
          <w:szCs w:val="32"/>
          <w:highlight w:val="none"/>
        </w:rPr>
        <w:t>绩效目标完成情况：一是起草《政府工作报告》和市政府主要领导同志重要讲话、报告、文章；二是起草市政府向省委、省政府的重要汇报材料；三是组织和协同起草、修改市政府的有关重要综合性文件；四是参与起草市委、市政府有关重要会议的文件；五是组织重大课题调查研究并完成有价值、有见地、有分析、有对策的调研成果，为市委市政府决策提供可靠依据和可行对策；六是收集、整理全市政务信息，及时向省政府办公厅传报；七是收集、分析、整理和报送经济社会发展的重要信息、动态，为市政府决策提供参考建议。</w:t>
      </w:r>
    </w:p>
    <w:p w14:paraId="4F89347E">
      <w:pPr>
        <w:numPr>
          <w:ilvl w:val="0"/>
          <w:numId w:val="0"/>
        </w:num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val="0"/>
          <w:bCs w:val="0"/>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sz w:val="32"/>
          <w:szCs w:val="32"/>
          <w:lang w:val="en-US" w:eastAsia="zh-CN"/>
        </w:rPr>
        <w:t>政府工作报告及调研经费</w:t>
      </w:r>
      <w:r>
        <w:rPr>
          <w:rFonts w:ascii="Times New Roman" w:hAnsi="Times New Roman" w:eastAsia="仿宋_GB2312" w:cs="Times New Roman"/>
          <w:kern w:val="0"/>
          <w:sz w:val="32"/>
          <w:szCs w:val="32"/>
        </w:rPr>
        <w:t>”项目开展了部门评价，涉及一般公共预算支出</w:t>
      </w:r>
      <w:r>
        <w:rPr>
          <w:rFonts w:hint="eastAsia" w:ascii="Times New Roman" w:hAnsi="Times New Roman" w:eastAsia="仿宋_GB2312" w:cs="Times New Roman"/>
          <w:sz w:val="32"/>
          <w:szCs w:val="32"/>
          <w:lang w:val="en-US" w:eastAsia="zh-CN"/>
        </w:rPr>
        <w:t>118.6</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004D01B3">
      <w:pPr>
        <w:numPr>
          <w:ilvl w:val="0"/>
          <w:numId w:val="0"/>
        </w:num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本单位及所属单位本年度未新增重大政策和重大项目，所以无事前绩效评估开展情况。</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257.16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350.98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136.48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r>
        <w:rPr>
          <w:rFonts w:hint="eastAsia" w:ascii="Times New Roman" w:hAnsi="Times New Roman" w:eastAsia="仿宋_GB2312" w:cs="Times New Roman"/>
          <w:kern w:val="0"/>
          <w:sz w:val="32"/>
          <w:szCs w:val="32"/>
          <w:highlight w:val="none"/>
        </w:rPr>
        <w:t>绩效目标完成情况：</w:t>
      </w:r>
      <w:r>
        <w:rPr>
          <w:rFonts w:hint="eastAsia" w:ascii="Times New Roman" w:hAnsi="Times New Roman" w:eastAsia="仿宋_GB2312" w:cs="Times New Roman"/>
          <w:sz w:val="32"/>
          <w:szCs w:val="32"/>
        </w:rPr>
        <w:t>一是起草《政府工作报告》和市政府主要领导同志重要讲话、报告、文章；二是起草市政府向省委、省政府的重要汇报材料；三是组织和协同起草、修改市政府的有关重要综合性文件；四是参与起草市委、市政府有关重要会议的文件；五是组织重大课题调查研究并完成有价值、有见地、有分析、有对策的调研成果，为市委市政府决策提供可靠依据和可行对策；六是收集、整理全市政务信息，及时向省政府办公厅传报；七是收集、分析、整理和报送经济社会发展的重要信息、动态，为市政府决策提供参考建议。发现的主要问题及原因：一是绩效管理工作意识有待提高；二是绩效考核指标依据不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下一步改进措施：一是加快完善相应制度建设和账务处理能力，进一步提升部门效率，加强政策学习，提高思想认识，更大力度严格执行财经纪律；二是将绩效考核制度全面渗透到日常工作中，真正凸显绩效考核的作用，将员工的工作积极性和主动性调动起来。</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sz w:val="32"/>
          <w:szCs w:val="32"/>
          <w:lang w:val="en-US" w:eastAsia="zh-CN"/>
        </w:rPr>
        <w:t>政府工作报告及调研</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118.6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197.65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rPr>
        <w:t>是绩效评价指标体系还不完善，评价指标设定的科学性有待加强；</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rPr>
        <w:t>是绩效评价工作监督力度需进一步提高。</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rPr>
        <w:t>是单位的各项工作能够与绩效考核的制度紧密结合起来，充分凸显出绩效考核的针对性，促使绩效管理的细节化和可操作化真正落到实处，从而真正达到行政事业单位绩效考核工作的整体与部分相协调；</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rPr>
        <w:t>是单位建立抽查机制，并准确深入的就行政事业单位内部的绩效考核情况进行分析。尤其是对一些比较重要的项目，可邀请专业的审查团队开展绩效考核监管工作，以此保证整个绩效考核管理的监控工作能够顺利的进行</w:t>
      </w:r>
      <w:r>
        <w:rPr>
          <w:rFonts w:ascii="Times New Roman" w:hAnsi="Times New Roman" w:eastAsia="仿宋_GB2312" w:cs="Times New Roman"/>
          <w:sz w:val="32"/>
          <w:szCs w:val="32"/>
        </w:rPr>
        <w:t>。</w:t>
      </w:r>
    </w:p>
    <w:p w14:paraId="594CEC69">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color w:val="auto"/>
          <w:sz w:val="32"/>
          <w:szCs w:val="32"/>
          <w:highlight w:val="none"/>
          <w:lang w:val="en-US" w:eastAsia="zh-CN"/>
        </w:rPr>
        <w:t>本单位及所属单位本年度未开展事前绩效评估，所以无事前绩效评估结果。</w:t>
      </w:r>
    </w:p>
    <w:p w14:paraId="5DC4775D">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p>
    <w:p w14:paraId="2C89E516">
      <w:pPr>
        <w:numPr>
          <w:ilvl w:val="0"/>
          <w:numId w:val="5"/>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645BAB8C">
      <w:p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针对绩效评价结果，本部门积极采取措施加以应用，以进一步提升预算绩效管理水平。首先，对于绩效自评和部门评价中发现的问题，如预算编制与实际支出项目存在差距、预算拨付资金滞后等，我们及时与相关部门进行对接沟通，明确问题原因，并制定了详细的改进措施。在预算编制环节，我们加强了与业务部门的协同，确保预算项目更加贴近实际需求；在预算拨付方面，我们积极与财政部门协调，争取资金尽早到位，减少年终资金结存。</w:t>
      </w:r>
    </w:p>
    <w:p w14:paraId="620721EF">
      <w:p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其次，我们将绩效评价结果作为下一年度预算编制的重要依据。对于绩效自评和部门评价中得分较高、效果显著的项目，我们在下一年度预算中给予了优先保障；对于存在问题的项目，我们则根据实际情况调整预算安排，确保资金能够更加精准地投入到关键领域和薄弱环节。</w:t>
      </w:r>
    </w:p>
    <w:p w14:paraId="79D490B7">
      <w:p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此外，我们还通过内部培训、经验交流等方式，将绩效评价结果和改进措施传达给全体工作人员，提高大家对预算绩效管理的认识和重视程度。通过这些措施的实施，我们逐步形成了“以评促管、以管提效”的良好氛围，为进一步提升部门整体绩效水平奠定了坚实基础。</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2"/>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7E06D0">
      <w:pPr>
        <w:pStyle w:val="13"/>
        <w:jc w:val="both"/>
        <w:rPr>
          <w:rFonts w:hint="eastAsia" w:ascii="方正小标宋_GBK" w:hAnsi="方正小标宋_GBK" w:eastAsia="方正小标宋_GBK" w:cs="方正小标宋_GBK"/>
          <w:sz w:val="24"/>
          <w:szCs w:val="24"/>
        </w:rPr>
      </w:pPr>
    </w:p>
    <w:p w14:paraId="3D83FDA1">
      <w:pPr>
        <w:pStyle w:val="13"/>
        <w:jc w:val="center"/>
        <w:rPr>
          <w:rFonts w:hint="eastAsia" w:ascii="方正小标宋_GBK" w:hAnsi="方正小标宋_GBK" w:eastAsia="方正小标宋_GBK" w:cs="方正小标宋_GBK"/>
          <w:sz w:val="72"/>
          <w:szCs w:val="72"/>
        </w:rPr>
      </w:pPr>
    </w:p>
    <w:p w14:paraId="6FB6F211">
      <w:pPr>
        <w:pStyle w:val="13"/>
        <w:jc w:val="center"/>
        <w:rPr>
          <w:rFonts w:hint="eastAsia" w:ascii="方正小标宋_GBK" w:hAnsi="方正小标宋_GBK" w:eastAsia="方正小标宋_GBK" w:cs="方正小标宋_GBK"/>
          <w:sz w:val="72"/>
          <w:szCs w:val="72"/>
        </w:rPr>
      </w:pPr>
    </w:p>
    <w:p w14:paraId="3A01B6B0">
      <w:pPr>
        <w:pStyle w:val="13"/>
        <w:jc w:val="center"/>
        <w:rPr>
          <w:rFonts w:hint="eastAsia" w:ascii="方正小标宋_GBK" w:hAnsi="方正小标宋_GBK" w:eastAsia="方正小标宋_GBK" w:cs="方正小标宋_GBK"/>
          <w:sz w:val="72"/>
          <w:szCs w:val="72"/>
        </w:rPr>
      </w:pPr>
    </w:p>
    <w:p w14:paraId="475C1000">
      <w:pPr>
        <w:pStyle w:val="13"/>
        <w:jc w:val="center"/>
        <w:rPr>
          <w:rFonts w:hint="eastAsia" w:ascii="方正小标宋_GBK" w:hAnsi="方正小标宋_GBK" w:eastAsia="方正小标宋_GBK" w:cs="方正小标宋_GBK"/>
          <w:sz w:val="72"/>
          <w:szCs w:val="72"/>
        </w:rPr>
      </w:pPr>
    </w:p>
    <w:p w14:paraId="3B3CE02D">
      <w:pPr>
        <w:pStyle w:val="13"/>
        <w:jc w:val="center"/>
        <w:rPr>
          <w:rFonts w:hint="eastAsia" w:ascii="方正小标宋_GBK" w:hAnsi="方正小标宋_GBK" w:eastAsia="方正小标宋_GBK" w:cs="方正小标宋_GBK"/>
          <w:sz w:val="72"/>
          <w:szCs w:val="72"/>
        </w:rPr>
      </w:pPr>
    </w:p>
    <w:p w14:paraId="1D2F2F4E">
      <w:pPr>
        <w:pStyle w:val="13"/>
        <w:jc w:val="center"/>
        <w:rPr>
          <w:rFonts w:hint="eastAsia" w:ascii="方正小标宋_GBK" w:hAnsi="方正小标宋_GBK" w:eastAsia="方正小标宋_GBK" w:cs="方正小标宋_GBK"/>
          <w:sz w:val="72"/>
          <w:szCs w:val="72"/>
        </w:rPr>
      </w:pPr>
    </w:p>
    <w:p w14:paraId="55F403A9">
      <w:pPr>
        <w:pStyle w:val="13"/>
        <w:jc w:val="center"/>
        <w:rPr>
          <w:rFonts w:hint="eastAsia" w:ascii="方正小标宋_GBK" w:hAnsi="方正小标宋_GBK" w:eastAsia="方正小标宋_GBK" w:cs="方正小标宋_GBK"/>
          <w:sz w:val="72"/>
          <w:szCs w:val="72"/>
        </w:rPr>
      </w:pPr>
    </w:p>
    <w:p w14:paraId="48C5F428">
      <w:pPr>
        <w:pStyle w:val="13"/>
        <w:jc w:val="center"/>
        <w:rPr>
          <w:rFonts w:hint="eastAsia" w:ascii="方正小标宋_GBK" w:hAnsi="方正小标宋_GBK" w:eastAsia="方正小标宋_GBK" w:cs="方正小标宋_GBK"/>
          <w:sz w:val="72"/>
          <w:szCs w:val="72"/>
        </w:rPr>
      </w:pPr>
    </w:p>
    <w:p w14:paraId="7EE03722">
      <w:pPr>
        <w:pStyle w:val="13"/>
        <w:jc w:val="center"/>
        <w:rPr>
          <w:rFonts w:hint="eastAsia" w:ascii="方正小标宋_GBK" w:hAnsi="方正小标宋_GBK" w:eastAsia="方正小标宋_GBK" w:cs="方正小标宋_GBK"/>
          <w:sz w:val="72"/>
          <w:szCs w:val="72"/>
        </w:rPr>
      </w:pPr>
    </w:p>
    <w:p w14:paraId="104BB417">
      <w:pPr>
        <w:pStyle w:val="13"/>
        <w:jc w:val="center"/>
        <w:rPr>
          <w:rFonts w:hint="eastAsia" w:ascii="方正小标宋_GBK" w:hAnsi="方正小标宋_GBK" w:eastAsia="方正小标宋_GBK" w:cs="方正小标宋_GBK"/>
          <w:sz w:val="72"/>
          <w:szCs w:val="72"/>
        </w:rPr>
      </w:pPr>
    </w:p>
    <w:p w14:paraId="6A5A782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5974BE2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2" w:lineRule="atLeast"/>
        <w:ind w:left="0" w:right="0" w:firstLine="640" w:firstLineChars="200"/>
        <w:jc w:val="both"/>
        <w:textAlignment w:val="center"/>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三、基本支出：指为保障机构正常运转、完成日常工作任务而发生的各项支出，包括人员支出和公用支出。</w:t>
      </w:r>
    </w:p>
    <w:p w14:paraId="171BF1B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2" w:lineRule="atLeast"/>
        <w:ind w:left="0" w:right="0" w:firstLine="640" w:firstLineChars="200"/>
        <w:jc w:val="both"/>
        <w:textAlignment w:val="center"/>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四、项目支出：指在基本支出以外为完成相关行政任务和事业发展目标所发生的各项支出。</w:t>
      </w:r>
    </w:p>
    <w:p w14:paraId="2AE81CE8">
      <w:pPr>
        <w:pStyle w:val="13"/>
        <w:jc w:val="center"/>
        <w:rPr>
          <w:rFonts w:hint="eastAsia" w:ascii="仿宋_GB2312" w:hAnsi="仿宋_GB2312" w:eastAsia="仿宋_GB2312" w:cs="仿宋_GB2312"/>
          <w:color w:val="000000"/>
          <w:kern w:val="0"/>
          <w:sz w:val="32"/>
          <w:szCs w:val="32"/>
          <w:lang w:val="en-US" w:eastAsia="zh-CN" w:bidi="ar-SA"/>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0C1858E3">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3"/>
        <w:jc w:val="both"/>
        <w:rPr>
          <w:rFonts w:hint="eastAsia" w:ascii="方正小标宋_GBK" w:hAnsi="方正小标宋_GBK" w:eastAsia="方正小标宋_GBK" w:cs="方正小标宋_GBK"/>
          <w:sz w:val="70"/>
          <w:szCs w:val="70"/>
          <w:lang w:eastAsia="zh-CN"/>
        </w:rPr>
      </w:pPr>
    </w:p>
    <w:p w14:paraId="490142D3">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DA0E2483"/>
    <w:multiLevelType w:val="singleLevel"/>
    <w:tmpl w:val="DA0E2483"/>
    <w:lvl w:ilvl="0" w:tentative="0">
      <w:start w:val="1"/>
      <w:numFmt w:val="decimal"/>
      <w:suff w:val="nothing"/>
      <w:lvlText w:val="%1、"/>
      <w:lvlJc w:val="left"/>
    </w:lvl>
  </w:abstractNum>
  <w:abstractNum w:abstractNumId="2">
    <w:nsid w:val="E3CBC331"/>
    <w:multiLevelType w:val="singleLevel"/>
    <w:tmpl w:val="E3CBC331"/>
    <w:lvl w:ilvl="0" w:tentative="0">
      <w:start w:val="3"/>
      <w:numFmt w:val="decimal"/>
      <w:lvlText w:val="%1."/>
      <w:lvlJc w:val="left"/>
      <w:pPr>
        <w:tabs>
          <w:tab w:val="left" w:pos="312"/>
        </w:tabs>
      </w:pPr>
    </w:lvl>
  </w:abstractNum>
  <w:abstractNum w:abstractNumId="3">
    <w:nsid w:val="222B3145"/>
    <w:multiLevelType w:val="singleLevel"/>
    <w:tmpl w:val="222B3145"/>
    <w:lvl w:ilvl="0" w:tentative="0">
      <w:start w:val="4"/>
      <w:numFmt w:val="decimal"/>
      <w:suff w:val="nothing"/>
      <w:lvlText w:val="%1、"/>
      <w:lvlJc w:val="left"/>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70E5B4A"/>
    <w:rsid w:val="08C24A73"/>
    <w:rsid w:val="11944E2C"/>
    <w:rsid w:val="12583BA5"/>
    <w:rsid w:val="13BA5B9C"/>
    <w:rsid w:val="1D97DEFF"/>
    <w:rsid w:val="1DFF72E5"/>
    <w:rsid w:val="1EFC6F07"/>
    <w:rsid w:val="1F0527A6"/>
    <w:rsid w:val="209A3152"/>
    <w:rsid w:val="22AC03C2"/>
    <w:rsid w:val="283B15FE"/>
    <w:rsid w:val="29DC1984"/>
    <w:rsid w:val="2CAC0EFB"/>
    <w:rsid w:val="2FDF85B8"/>
    <w:rsid w:val="2FFFEE04"/>
    <w:rsid w:val="31C95635"/>
    <w:rsid w:val="34DF85B0"/>
    <w:rsid w:val="37746DB7"/>
    <w:rsid w:val="3B8F36BC"/>
    <w:rsid w:val="43EB5BA5"/>
    <w:rsid w:val="491FF225"/>
    <w:rsid w:val="4EC310A1"/>
    <w:rsid w:val="4FFD214C"/>
    <w:rsid w:val="5352765A"/>
    <w:rsid w:val="5777D4F5"/>
    <w:rsid w:val="57F22B6F"/>
    <w:rsid w:val="59DD8326"/>
    <w:rsid w:val="5DEF592A"/>
    <w:rsid w:val="5FC6BB1E"/>
    <w:rsid w:val="5FF720F1"/>
    <w:rsid w:val="622964C1"/>
    <w:rsid w:val="67FF5C0B"/>
    <w:rsid w:val="6BAA4A2F"/>
    <w:rsid w:val="6DDEC5C0"/>
    <w:rsid w:val="6EFC0924"/>
    <w:rsid w:val="6FB74722"/>
    <w:rsid w:val="6FEF8B7E"/>
    <w:rsid w:val="717FE77F"/>
    <w:rsid w:val="71A6591B"/>
    <w:rsid w:val="737D59BA"/>
    <w:rsid w:val="737F32B1"/>
    <w:rsid w:val="73BD3FCA"/>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6993</Words>
  <Characters>7479</Characters>
  <Lines>63</Lines>
  <Paragraphs>18</Paragraphs>
  <TotalTime>43</TotalTime>
  <ScaleCrop>false</ScaleCrop>
  <LinksUpToDate>false</LinksUpToDate>
  <CharactersWithSpaces>7506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阿藜</cp:lastModifiedBy>
  <cp:lastPrinted>2024-08-11T02:20:00Z</cp:lastPrinted>
  <dcterms:modified xsi:type="dcterms:W3CDTF">2025-09-23T08:57:09Z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eyJoZGlkIjoiY2I5NDQxNTBiMDk3YjQ4NmFkNzBlZmU2NWUxNThmYzMiLCJ1c2VySWQiOiI0OTE5MzM3NjEifQ==</vt:lpwstr>
  </property>
</Properties>
</file>