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中共岳阳市委社会工作部</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中共岳阳市委社会工作部部门</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中共岳阳市委社会工作部</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rPr>
          <w:rFonts w:hint="eastAsia" w:ascii="黑体" w:hAnsi="黑体" w:eastAsia="黑体" w:cs="黑体"/>
          <w:b w:val="0"/>
          <w:bCs w:val="0"/>
          <w:sz w:val="32"/>
          <w:szCs w:val="32"/>
        </w:rPr>
      </w:pPr>
    </w:p>
    <w:p>
      <w:pPr>
        <w:pStyle w:val="2"/>
        <w:rPr>
          <w:rFonts w:hint="eastAsia" w:ascii="黑体" w:hAnsi="黑体" w:eastAsia="黑体" w:cs="黑体"/>
          <w:b w:val="0"/>
          <w:bCs w:val="0"/>
          <w:sz w:val="32"/>
          <w:szCs w:val="32"/>
        </w:rPr>
      </w:pPr>
    </w:p>
    <w:p>
      <w:pPr>
        <w:pStyle w:val="3"/>
        <w:rPr>
          <w:rFonts w:hint="eastAsia"/>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sz w:val="32"/>
          <w:szCs w:val="32"/>
          <w:lang w:eastAsia="zh-CN"/>
        </w:rPr>
        <w:t>研究相关理论、政策和规划，拟订相关地方性法规、规章草案和其他规范性文件并组织实施。深入调查研究，及时向市委报告工作情况并提出建议。指导县市区党委社会工作部门开展工作。</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（二）</w:t>
      </w:r>
      <w:r>
        <w:rPr>
          <w:rFonts w:hint="eastAsia" w:ascii="Times New Roman" w:hAnsi="Times New Roman" w:eastAsia="仿宋_GB2312" w:cs="仿宋_GB2312"/>
          <w:sz w:val="32"/>
          <w:szCs w:val="32"/>
          <w:lang w:eastAsia="zh-CN"/>
        </w:rPr>
        <w:t>统筹指导群众利益协调、诉求表达、矛盾调处、权益保障等人民信访工作，协调解决人民群众急难愁盼的重大问题。指导人民建议征集工作，负责征集和办理公民、法人及其他组织提出的意见建议，向市委、市人民政府及时反映公民、法人及其他组织提出的有关重要意见建议。指导、规范和监督全市民意反映渠道的运行管理工作。</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（三）统筹推进党建引领基层治理和基层政权建设，协调推进城乡社区治理体系和治理能力建设，推动基层民主政治建设，指导、监督基层群众自治制度的有效实施，健全基层群众自治机制。</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指导混合所有制企业、非公有制企业和新经济组织、新社会组织、新就业群体党建工作，指导协调相关企业单位、社会组织、就业群体中党员的教育、管理、监督和服务工作，研究完善相关领域群体利益协调机制。</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（五）指导全市性社会组织党建工作，统一领导全市行业协会商会党的工作，协调推动行业协会商会深化改革和转型发展。</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（六）负责全市志愿服务工作的统筹规划、协调指导、督促检查。指导社会工作人才队伍建设。</w:t>
      </w:r>
    </w:p>
    <w:p>
      <w:pPr>
        <w:keepNext w:val="0"/>
        <w:keepLines w:val="0"/>
        <w:pageBreakBefore w:val="0"/>
        <w:widowControl w:val="0"/>
        <w:kinsoku/>
        <w:wordWrap/>
        <w:overflowPunct/>
        <w:topLinePunct w:val="0"/>
        <w:autoSpaceDE/>
        <w:autoSpaceDN/>
        <w:bidi w:val="0"/>
        <w:adjustRightIn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（七）完成市委交办的其他任务。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中共岳阳市委社会工作部</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综合科、基层治理和基层政权建设科、两企三新党建科、行业协会商会工作科、人民建议征集科、志愿服务和社会工作服务科。</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（二）决算单位构成。本单位无独立核算的下属单位，2024年度部门决算汇总公开单位仅包括</w:t>
      </w:r>
      <w:r>
        <w:rPr>
          <w:rFonts w:hint="eastAsia" w:ascii="Times New Roman" w:hAnsi="Times New Roman" w:eastAsia="仿宋_GB2312" w:cs="仿宋_GB2312"/>
          <w:bCs/>
          <w:kern w:val="0"/>
          <w:sz w:val="32"/>
          <w:szCs w:val="32"/>
          <w:lang w:eastAsia="zh-CN"/>
        </w:rPr>
        <w:t>中共岳阳市委社会工作部</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2"/>
        <w:jc w:val="center"/>
        <w:rPr>
          <w:rFonts w:hint="eastAsia" w:ascii="方正小标宋_GBK" w:hAnsi="方正小标宋_GBK" w:eastAsia="方正小标宋_GBK" w:cs="方正小标宋_GBK"/>
          <w:sz w:val="84"/>
          <w:szCs w:val="84"/>
        </w:rPr>
      </w:pPr>
    </w:p>
    <w:p>
      <w:pPr>
        <w:pStyle w:val="12"/>
        <w:jc w:val="both"/>
        <w:rPr>
          <w:rFonts w:hint="eastAsia" w:ascii="方正小标宋_GBK" w:hAnsi="方正小标宋_GBK" w:eastAsia="方正小标宋_GBK" w:cs="方正小标宋_GBK"/>
          <w:sz w:val="84"/>
          <w:szCs w:val="84"/>
        </w:rPr>
      </w:pPr>
    </w:p>
    <w:p>
      <w:pPr>
        <w:pStyle w:val="12"/>
        <w:jc w:val="both"/>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both"/>
        <w:rPr>
          <w:rFonts w:hint="eastAsia" w:ascii="方正小标宋_GBK" w:hAnsi="方正小标宋_GBK" w:eastAsia="方正小标宋_GBK" w:cs="方正小标宋_GBK"/>
          <w:sz w:val="70"/>
          <w:szCs w:val="70"/>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我单位为</w:t>
      </w:r>
      <w:r>
        <w:rPr>
          <w:rFonts w:hint="eastAsia" w:ascii="仿宋_GB2312" w:hAnsi="仿宋_GB2312" w:eastAsia="仿宋_GB2312" w:cs="仿宋_GB2312"/>
          <w:sz w:val="32"/>
          <w:szCs w:val="32"/>
          <w:lang w:val="en-US" w:eastAsia="zh-CN"/>
        </w:rPr>
        <w:t>2024年5月新成立的单位，上年数据为0。</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202.66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186.19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91.87</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16.47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%，主要是因为我单位</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2024年5月新成立的单位，上年数据为0。</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highlight w:val="none"/>
          <w:lang w:val="en-US" w:eastAsia="zh-CN"/>
        </w:rPr>
        <w:t>99.99</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%，主要是因为我单位</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2024年5月新成立的单位，上年数据为0。</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149.14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73.60</w:t>
      </w:r>
      <w:r>
        <w:rPr>
          <w:rFonts w:hint="eastAsia" w:ascii="仿宋_GB2312" w:hAnsi="仿宋_GB2312" w:eastAsia="仿宋_GB2312" w:cs="仿宋_GB2312"/>
          <w:sz w:val="32"/>
          <w:szCs w:val="32"/>
        </w:rPr>
        <w:t>%；公共安全</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2.87万元，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；科学技术（类）支出</w:t>
      </w:r>
      <w:r>
        <w:rPr>
          <w:rFonts w:hint="eastAsia" w:ascii="仿宋_GB2312" w:hAnsi="仿宋_GB2312" w:eastAsia="仿宋_GB2312" w:cs="仿宋_GB2312"/>
          <w:sz w:val="32"/>
          <w:szCs w:val="32"/>
          <w:lang w:val="en-US" w:eastAsia="zh-CN"/>
        </w:rPr>
        <w:t>13.60万元，占6.71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；社会保障和就业（类）支出</w:t>
      </w:r>
      <w:r>
        <w:rPr>
          <w:rFonts w:hint="eastAsia" w:ascii="仿宋_GB2312" w:hAnsi="仿宋_GB2312" w:eastAsia="仿宋_GB2312" w:cs="仿宋_GB2312"/>
          <w:sz w:val="32"/>
          <w:szCs w:val="32"/>
          <w:lang w:val="en-US" w:eastAsia="zh-CN"/>
        </w:rPr>
        <w:t>12.67万元，占6.25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；卫生健康（类）支出</w:t>
      </w:r>
      <w:r>
        <w:rPr>
          <w:rFonts w:hint="eastAsia" w:ascii="仿宋_GB2312" w:hAnsi="仿宋_GB2312" w:eastAsia="仿宋_GB2312" w:cs="仿宋_GB2312"/>
          <w:sz w:val="32"/>
          <w:szCs w:val="32"/>
          <w:lang w:val="en-US" w:eastAsia="zh-CN"/>
        </w:rPr>
        <w:t>2.46万元，占1.21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；农林水（类）支出</w:t>
      </w:r>
      <w:r>
        <w:rPr>
          <w:rFonts w:hint="eastAsia" w:ascii="仿宋_GB2312" w:hAnsi="仿宋_GB2312" w:eastAsia="仿宋_GB2312" w:cs="仿宋_GB2312"/>
          <w:sz w:val="32"/>
          <w:szCs w:val="32"/>
          <w:lang w:val="en-US" w:eastAsia="zh-CN"/>
        </w:rPr>
        <w:t>16.66万元，占8.22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；住房保障（类）支出</w:t>
      </w:r>
      <w:r>
        <w:rPr>
          <w:rFonts w:hint="eastAsia" w:ascii="仿宋_GB2312" w:hAnsi="仿宋_GB2312" w:eastAsia="仿宋_GB2312" w:cs="仿宋_GB2312"/>
          <w:sz w:val="32"/>
          <w:szCs w:val="32"/>
          <w:lang w:val="en-US" w:eastAsia="zh-CN"/>
        </w:rPr>
        <w:t>5.26万元，占2.59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202.64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1、一般公共服务（类）政府办公厅（室）及相关机构事务（款）行政运行（项）。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26.17</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、一般公共服务</w:t>
      </w:r>
      <w:r>
        <w:rPr>
          <w:rFonts w:hint="eastAsia" w:ascii="仿宋_GB2312" w:hAnsi="仿宋_GB2312" w:eastAsia="仿宋_GB2312" w:cs="仿宋_GB2312"/>
          <w:sz w:val="32"/>
          <w:szCs w:val="32"/>
        </w:rPr>
        <w:t>（类）组织事务（款）行政运行（项）。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3.12</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、一般公共服务（类）组织事务（款）一般行政管理事务（项）。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36.27</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、一般公共服务（类）社会工作事务（款）行政运行（项）。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13.54</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、一般公共服务（类）社会工作事务（款）一般行政管理事务（项）。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1.61</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、一般公共服务（类）社会工作事务（款）其他社会工作事务支出（项）。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68.43</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7、公共安全支出（类）其他公共安全支出（款）其他公共安全支出（项）。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2.87</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8、科学技术支出（类）其他科学技术支出（款）其他科学技术支出（项）。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13.60</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9、社会保障和就业支出（类）民政管理事务（款）其他民政管理事务支出（项）。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6.19</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10、社会保障和就业支出（类）行政事业单位养老支出（款）机关事业单位基本养老保险缴费支出（项）。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6.48</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11、卫生健康支出（类）行政事业单位医疗（款）行政单位医疗（项）。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12、卫生健康支出（类）行政事业单位医疗（款）公务员医疗补助（项）。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0.76</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13、农林水支出（类）巩固脱贫攻坚成果衔接乡村振兴（款）行政运行（项）。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16.66</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14、住房保障支出（类）住房改革支出（款）住房公积金（项）。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5.26</w:t>
      </w:r>
      <w:r>
        <w:rPr>
          <w:rFonts w:hint="eastAsia" w:ascii="仿宋_GB2312" w:hAnsi="仿宋_GB2312" w:eastAsia="仿宋_GB2312" w:cs="仿宋_GB2312"/>
          <w:sz w:val="32"/>
          <w:szCs w:val="32"/>
        </w:rPr>
        <w:t>万元，决算数大于年初预算数的主要原因是：我单位为2024年5月新成立的单位，</w:t>
      </w:r>
      <w:r>
        <w:rPr>
          <w:rFonts w:hint="eastAsia" w:ascii="仿宋_GB2312" w:hAnsi="仿宋_GB2312" w:eastAsia="仿宋_GB2312" w:cs="仿宋_GB2312"/>
          <w:sz w:val="32"/>
          <w:szCs w:val="32"/>
          <w:lang w:eastAsia="zh-CN"/>
        </w:rPr>
        <w:t>年初无预算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186.17</w:t>
      </w:r>
      <w:r>
        <w:rPr>
          <w:rFonts w:hint="eastAsia" w:ascii="仿宋_GB2312" w:hAnsi="仿宋_GB2312" w:eastAsia="仿宋_GB2312" w:cs="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105.01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56.41</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、绩效工资、机关事业单位基本养老保险缴费、职工基本医疗保险缴费、其他社会保障缴费、住房公积金、医疗费。</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81.16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43.59</w:t>
      </w:r>
      <w:r>
        <w:rPr>
          <w:rFonts w:hint="eastAsia" w:ascii="仿宋_GB2312" w:hAnsi="仿宋_GB2312" w:eastAsia="仿宋_GB2312" w:cs="仿宋_GB2312"/>
          <w:sz w:val="32"/>
          <w:szCs w:val="32"/>
        </w:rPr>
        <w:t>%，主要包括办公费、印刷费、</w:t>
      </w:r>
      <w:r>
        <w:rPr>
          <w:rFonts w:hint="eastAsia" w:ascii="仿宋_GB2312" w:hAnsi="仿宋_GB2312" w:eastAsia="仿宋_GB2312" w:cs="仿宋_GB2312"/>
          <w:sz w:val="32"/>
          <w:szCs w:val="32"/>
          <w:lang w:eastAsia="zh-CN"/>
        </w:rPr>
        <w:t>水费、电费、邮电费、物业管理费、差旅费、维修（护）费、会议费、劳务费、委托业务费、工会经费、其他交通费用、其他商品和服务支出、办公设备购置</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度“三公”经费财政拨款支出预算为0万元，支出决算为0万元，决算数等于预算数，主要原因是我单位严格按预算执行决算；与上年一致，无增减变动，主要原因是按有关政策厉行节约，严控“三公经费”支出。</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因公出国（境）费支出预算为0万元，支出决算为0万元，决算数等于预算数，主要原因是我单位严格按预算执行决算；与上年一致，无增减变动，主要原因是未安排因公出国（境）活动。2024年度安排因公出国（境）团组0个，累计0人次。</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2.公务用车购置费及运行维护费支出预算为0万元，支出决算为0万元，决算数等于预算数；与上年一致，无增减变动。其中：</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公务用车购置费支出预算为0万元，支出决算为0万元，决算数等于预算数，主要原因是我单位严格按预算执行决算；与上年一致，无增减变动，主要原因是两年均未购置公务用车。本单位更新公务用车0辆。</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运行维护费支出预算为0万元，支出决算为0万元，决算数等于预算数，主要原因是我单位严格按预算执行决算；与上年一致，无增减变动，主要原因是两年均无公务用车需要运行维护。截止到2024年12月31日，我单位开支财政拨款的公务用车保有量为</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辆。</w:t>
      </w:r>
    </w:p>
    <w:p>
      <w:pPr>
        <w:pStyle w:val="12"/>
        <w:overflowPunct w:val="0"/>
        <w:autoSpaceDE/>
        <w:autoSpaceDN/>
        <w:spacing w:line="600" w:lineRule="exact"/>
        <w:ind w:firstLine="640" w:firstLineChars="200"/>
        <w:jc w:val="both"/>
        <w:rPr>
          <w:rFonts w:hint="eastAsia" w:ascii="Times New Roman" w:hAnsi="Times New Roman" w:eastAsia="仿宋_GB2312"/>
          <w:b/>
          <w:color w:val="auto"/>
          <w:sz w:val="32"/>
          <w:szCs w:val="32"/>
          <w:lang w:eastAsia="zh-CN"/>
        </w:rPr>
      </w:pPr>
      <w:r>
        <w:rPr>
          <w:rFonts w:hint="eastAsia" w:ascii="Times New Roman" w:hAnsi="Times New Roman" w:eastAsia="仿宋_GB2312" w:cs="Times New Roman"/>
          <w:sz w:val="32"/>
          <w:szCs w:val="32"/>
        </w:rPr>
        <w:t>3.公务接待费支出预算为 0万元，支出决算为0万元，决算数等于预算数，主要原因是严格执行中央八项规定；与上年一致，无增减变动，主要原因是按有关政策厉行节约，严控公务接待支出。2024年度共接待来访团组0个、来宾0人次。</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81.16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比年初预算数增加</w:t>
      </w:r>
      <w:r>
        <w:rPr>
          <w:rFonts w:hint="eastAsia" w:ascii="仿宋_GB2312" w:hAnsi="仿宋_GB2312" w:eastAsia="仿宋_GB2312" w:cs="仿宋_GB2312"/>
          <w:sz w:val="32"/>
          <w:szCs w:val="32"/>
          <w:highlight w:val="none"/>
          <w:lang w:val="en-US" w:eastAsia="zh-CN"/>
        </w:rPr>
        <w:t>81.16</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%。主要原因是：我单位为2024年5月新成立的单位，年初无预算。</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年度，会议费年初预算0万元，支出决算为0.80万元，完成年初预算的100%。用于召开全市行业协会商会改革发展联席会议第一次会议，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83</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全市行业协会商会改革发展文件解读和工作部署</w:t>
      </w:r>
      <w:r>
        <w:rPr>
          <w:rFonts w:hint="eastAsia" w:ascii="仿宋_GB2312" w:hAnsi="仿宋_GB2312" w:eastAsia="仿宋_GB2312" w:cs="仿宋_GB2312"/>
          <w:sz w:val="32"/>
          <w:szCs w:val="32"/>
          <w:lang w:eastAsia="zh-CN"/>
        </w:rPr>
        <w:t>。</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本单位无培训费的预算和支出决算数。</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76.88</w:t>
      </w:r>
      <w:r>
        <w:rPr>
          <w:rFonts w:hint="eastAsia" w:ascii="仿宋_GB2312" w:hAnsi="仿宋_GB2312" w:eastAsia="仿宋_GB2312" w:cs="仿宋_GB2312"/>
          <w:sz w:val="32"/>
          <w:szCs w:val="32"/>
        </w:rPr>
        <w:t>万元，其中：政府采购货物支出0.48万元、政府采购工程支出</w:t>
      </w:r>
      <w:r>
        <w:rPr>
          <w:rFonts w:hint="eastAsia" w:ascii="仿宋_GB2312" w:hAnsi="仿宋_GB2312" w:eastAsia="仿宋_GB2312" w:cs="仿宋_GB2312"/>
          <w:sz w:val="32"/>
          <w:szCs w:val="32"/>
          <w:lang w:val="en-US" w:eastAsia="zh-CN"/>
        </w:rPr>
        <w:t>11.95</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64.45</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万元（由于授予中小企业合同金额为0，故无法计算占授予中小企业合同金额的比重）</w:t>
      </w:r>
      <w:r>
        <w:rPr>
          <w:rFonts w:hint="eastAsia" w:ascii="仿宋_GB2312" w:hAnsi="仿宋_GB2312" w:eastAsia="仿宋_GB2312" w:cs="仿宋_GB2312"/>
          <w:color w:val="auto"/>
          <w:sz w:val="32"/>
          <w:szCs w:val="32"/>
        </w:rPr>
        <w:t>。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辆，其他用车主要是用于公务用途的车辆；单位价值100万元以上设备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202.64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202.64</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sz w:val="32"/>
          <w:szCs w:val="32"/>
          <w:lang w:eastAsia="zh-CN"/>
        </w:rPr>
        <w:t>群英断是非</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w:t>
      </w:r>
      <w:r>
        <w:rPr>
          <w:rFonts w:hint="eastAsia" w:ascii="Times New Roman" w:hAnsi="Times New Roman" w:eastAsia="仿宋_GB2312" w:cs="Times New Roman"/>
          <w:sz w:val="32"/>
          <w:szCs w:val="32"/>
          <w:lang w:eastAsia="zh-CN"/>
        </w:rPr>
        <w:t>党员教育培训</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16.47</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rPr>
        <w:t>本单位及所属单位本年度未新增重大政策和重大项目，所以无事前绩效评估开展情况。</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230.26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202.64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97.40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lang w:eastAsia="zh-CN"/>
        </w:rPr>
        <w:t>一是</w:t>
      </w:r>
      <w:r>
        <w:rPr>
          <w:rFonts w:hint="eastAsia" w:ascii="Times New Roman" w:hAnsi="Times New Roman" w:eastAsia="仿宋_GB2312" w:cs="Times New Roman"/>
          <w:sz w:val="32"/>
          <w:szCs w:val="32"/>
        </w:rPr>
        <w:t>严格预算支出管理</w:t>
      </w:r>
      <w:r>
        <w:rPr>
          <w:rFonts w:hint="eastAsia" w:ascii="Times New Roman" w:hAnsi="Times New Roman" w:eastAsia="仿宋_GB2312" w:cs="Times New Roman"/>
          <w:sz w:val="32"/>
          <w:szCs w:val="32"/>
          <w:lang w:eastAsia="zh-CN"/>
        </w:rPr>
        <w:t>，在支出预算编制上，人员经费按照配置定额，逐人核定编制，公用经费分类分档，按定额编制，根据“总量控制、计划管理”的要求从严控制行政经费，严格控制“三公”经费，资产的配置严格执行政府采购程序，按照预算科目和项目资金的规定使用财政资金，保障部门整体支出的规范化、制度化；二是财务管理按制度运行，按照国家法律法规，制定了机关财务、资产配置使用、接待、会务、因公出差、车辆使用等内部控制制度，并按照制度管理和执行，防范风险，保证财政资金的安全和高效运行；三是各项工作良好开局，持续推动机构组建，召开系列重要会议，着力开展业务培训，建立健全工作机制，成功举办多个大型活动，积极参与防范化解社会风险工作，畅通人民建议渠道，开展特色志愿服务，高度重视媒体赋能，积极开展社会工作课题研究。</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rPr>
        <w:t>一是预算编制还不够精细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因部门新成立，尚不了解支出情况，在编制预算时存在简单分配后续再调整指标的情况</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二是绩效管理还不够科学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因对绩效管理工作重要性认识不够，在设置评价指标和开展绩效自评时主要由财务人员负责，业务科室参与度较低</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三是部门履职效能还有待提高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因部门工作还在摸索中前进，工作缺少抓手，部门工作成效还不够突出。</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rPr>
        <w:t>一是提高思想认识，构建全员参与格局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每半年度开展一次绩效管理专题培训，提升领导干部对绩效管理工作的重视程度，要求各业务科室积极参与绩效评价指标的设置和自评</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二是深化结果运用，提升预算编制水平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认真分析上一年度绩效评价结果和决算数据，作为下一年预算编制的基础，提升预算指标分配的科学性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三是锚定工作目标，展现社会工作风采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贯彻落实习总书记对社会工作的重要指示、中央社会工作会议精神，聚焦新兴领域党建、党建引领基层治理和基层政权建设、凝聚服务群众三大职责任务，全面提升我市社会工作履职效能。</w:t>
      </w:r>
    </w:p>
    <w:p>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val="0"/>
          <w:bCs w:val="0"/>
          <w:kern w:val="0"/>
          <w:sz w:val="32"/>
          <w:szCs w:val="32"/>
          <w:lang w:eastAsia="zh-CN"/>
        </w:rPr>
        <w:t>“</w:t>
      </w:r>
      <w:r>
        <w:rPr>
          <w:rFonts w:hint="eastAsia" w:ascii="Times New Roman" w:hAnsi="Times New Roman" w:eastAsia="仿宋_GB2312" w:cs="Times New Roman"/>
          <w:b w:val="0"/>
          <w:bCs w:val="0"/>
          <w:sz w:val="32"/>
          <w:szCs w:val="32"/>
          <w:lang w:val="en-US" w:eastAsia="zh-CN"/>
        </w:rPr>
        <w:t>群英断是非</w:t>
      </w:r>
      <w:r>
        <w:rPr>
          <w:rFonts w:hint="eastAsia" w:ascii="Times New Roman" w:hAnsi="Times New Roman" w:eastAsia="仿宋_GB2312" w:cs="Times New Roman"/>
          <w:b w:val="0"/>
          <w:bCs w:val="0"/>
          <w:kern w:val="0"/>
          <w:sz w:val="32"/>
          <w:szCs w:val="32"/>
          <w:lang w:eastAsia="zh-CN"/>
        </w:rPr>
        <w:t>”</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2.87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92.80</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eastAsia="zh-CN"/>
        </w:rPr>
        <w:t>预算执行率不高，由于单位新成立，对支出项目预计不够精准</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lang w:eastAsia="zh-CN"/>
        </w:rPr>
        <w:t>结合部门业务工作需要细化支出项目，确保预算安排与实际需要相符。“党员教育培训”</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13.6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13.6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99.70</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eastAsia="zh-CN"/>
        </w:rPr>
        <w:t>培训成效有待提高，由于经费有限，参加培训的对象不够广泛</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lang w:eastAsia="zh-CN"/>
        </w:rPr>
        <w:t>根据部门职能职责制定培训计划，加大业务培训力度</w:t>
      </w:r>
      <w:r>
        <w:rPr>
          <w:rFonts w:ascii="Times New Roman" w:hAnsi="Times New Roman" w:eastAsia="仿宋_GB2312" w:cs="Times New Roman"/>
          <w:sz w:val="32"/>
          <w:szCs w:val="32"/>
        </w:rPr>
        <w:t>。</w:t>
      </w:r>
    </w:p>
    <w:p>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rPr>
        <w:t>本单位及所属单位本年度未开展事前绩效评估，所以无事前绩效评估结果。</w:t>
      </w:r>
    </w:p>
    <w:p>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numPr>
          <w:ilvl w:val="0"/>
          <w:numId w:val="0"/>
        </w:numPr>
        <w:autoSpaceDE w:val="0"/>
        <w:autoSpaceDN w:val="0"/>
        <w:adjustRightInd w:val="0"/>
        <w:ind w:firstLine="640" w:firstLineChars="200"/>
        <w:jc w:val="left"/>
        <w:rPr>
          <w:rFonts w:hint="eastAsia"/>
          <w:lang w:eastAsia="zh-CN"/>
        </w:rPr>
      </w:pPr>
      <w:r>
        <w:rPr>
          <w:rFonts w:hint="eastAsia" w:ascii="Times New Roman" w:hAnsi="Times New Roman" w:eastAsia="仿宋_GB2312" w:cs="Times New Roman"/>
          <w:color w:val="auto"/>
          <w:sz w:val="32"/>
          <w:szCs w:val="32"/>
          <w:highlight w:val="none"/>
          <w:lang w:eastAsia="zh-CN"/>
        </w:rPr>
        <w:t>一是运用评估</w:t>
      </w:r>
      <w:r>
        <w:rPr>
          <w:rFonts w:hint="eastAsia" w:ascii="Times New Roman" w:hAnsi="Times New Roman" w:eastAsia="仿宋_GB2312" w:cs="Times New Roman"/>
          <w:color w:val="auto"/>
          <w:sz w:val="32"/>
          <w:szCs w:val="32"/>
          <w:highlight w:val="none"/>
        </w:rPr>
        <w:t>结果，精准优化预算安排</w:t>
      </w:r>
      <w:r>
        <w:rPr>
          <w:rFonts w:hint="eastAsia" w:ascii="Times New Roman" w:hAnsi="Times New Roman" w:eastAsia="仿宋_GB2312" w:cs="Times New Roman"/>
          <w:color w:val="auto"/>
          <w:sz w:val="32"/>
          <w:szCs w:val="32"/>
          <w:highlight w:val="none"/>
          <w:lang w:eastAsia="zh-CN"/>
        </w:rPr>
        <w:t>。对于绩效目标达成度高、效益显著的工作领域，2025 年预算安排予以重点保障，优先满足其合理资金需求；对于绩效成效不佳、资源配置效率低的领域，适当压缩预算规模，或暂缓新增预算安排，推动预算资源向高绩效领域倾斜。二是聚焦反馈问题，系统调整支出结构。针对绩效评价中指出的 “低效支出”“冗余支出” 类别，削减相关支出占比；对于绩效表现突出、与部门核心职能关联紧密的支出类别，提高其在总支出中的比重。同时，根据事前绩效评价对拟新增支出项目的评估结论，合理纳入或剔除相关支出，确保支出结构与部门战略目标、绩效目标相匹配。三是依托结果导向，升级资金管理机制。结合自评与部门评价中对资金效益的分析结论，建立资金使用效益跟踪机制，对 2025 年资金使用过程进行动态监控，及时纠正偏离绩效目标的资金使用行为，保障资金安全高效运行。四是立足结果闭环，健全制度保障体系。针对绩效评价中暴露的如绩效目标设定不科学、评价结果应用不充分等问题，制定或修订相应的管理制度，明确预算编制、执行、评价全流程的操作规范；同时，建立事前评估制度，为2025年及后续年度预算项目立项、资金安排提供更科学的制度依据，推动预算管理工作制度化、规范化。</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2"/>
        <w:jc w:val="both"/>
        <w:rPr>
          <w:rFonts w:hint="eastAsia" w:ascii="方正小标宋_GBK" w:hAnsi="方正小标宋_GBK" w:eastAsia="方正小标宋_GBK" w:cs="方正小标宋_GBK"/>
          <w:sz w:val="24"/>
          <w:szCs w:val="24"/>
        </w:rPr>
      </w:pPr>
      <w:bookmarkStart w:id="0" w:name="_GoBack"/>
      <w:bookmarkEnd w:id="0"/>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br w:type="page"/>
      </w: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二</w:t>
      </w:r>
      <w:r>
        <w:rPr>
          <w:rFonts w:hint="eastAsia" w:ascii="仿宋_GB2312" w:hAnsi="仿宋_GB2312" w:eastAsia="仿宋_GB2312" w:cs="仿宋_GB2312"/>
          <w:color w:val="000000"/>
          <w:kern w:val="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三</w:t>
      </w:r>
      <w:r>
        <w:rPr>
          <w:rFonts w:hint="eastAsia" w:ascii="仿宋_GB2312" w:hAnsi="仿宋_GB2312" w:eastAsia="仿宋_GB2312" w:cs="仿宋_GB2312"/>
          <w:color w:val="000000"/>
          <w:kern w:val="0"/>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四、财政拨款支出：指单位本年发生的财政拨款支出金额。</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五、一般公共服务（类）支出：指主要用于保障机关事业单位正常运转,支持各机关单位履行职能,保障各机关部门的项目支出需要。</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六、公共安全（类）支出：指政府为了维护社会秩序、保护人民生命财产安全、预防和应对各种突发事件、事故和灾害而进行的财政支出。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七、科学技术（类）支出：指用于科学技术方面的支出，包括保障机构正常运转、完成日常和特定的工作任务或事业发展目标的支出。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八、社会保障和就业（类）支出：指用于社会保障和就业方面的支出，包括保障机构正常运转、完成日常和特定的工作任务或事业发展目标的支出。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九、卫生健康（类）支出：指用于医疗卫生与计划生育方面的支出，包括保障机构正常运转、完成日常和特定的工作任务或事业发展目标的支出。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lang w:eastAsia="zh-CN"/>
        </w:rPr>
      </w:pPr>
      <w:r>
        <w:rPr>
          <w:rFonts w:hint="eastAsia" w:ascii="仿宋_GB2312" w:hAnsi="仿宋_GB2312" w:eastAsia="仿宋_GB2312" w:cs="仿宋_GB2312"/>
          <w:color w:val="000000"/>
          <w:kern w:val="0"/>
          <w:sz w:val="32"/>
          <w:szCs w:val="32"/>
          <w:lang w:eastAsia="zh-CN"/>
        </w:rPr>
        <w:t>十、农林水（类）支出：指用于农林水事务支出，包括保障机构正常运转、完成日常和特定的工作任务或事业发展目标的支出。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十一、住房保障（类）支出：指用于住房方面的支出，包括保障机构正常运转、完成日常和特定的工作任务或事业发展目标的支出。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十二、人员经费：指单位基本支出中用一般公共预算财政拨款安排的工资福利支出和对个人和家庭的补助。</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十三、公用经费：指部门和单位“商品和服务支出”和“资本性支出”中属于基本支出内容的支出。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含武警）军官、文职干部的职务（专业技术等级）工资、军衔（级别）工资和军龄工资；军队士官的军衔等级工资和军龄工资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十五、津贴补贴：反映按规定发放的津贴、补贴,包括机关工作人员工作性津贴、生活性补贴、地区附加津贴、岗位津贴，机关事业单位艰苦边远地区津贴，事业单位工作人员特殊岗位津贴补贴，以及机关事业单位提租补贴、购房补贴、采暖补贴、物业服务补贴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十六、奖金：反映按规定发放的奖金，包括机关工作人员年终一次性奖金、绩效奖金（基础绩效奖、年度绩效奖）等。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十七、伙食补助费：反映单位发给职工的伙食补助费，因公负伤等住院治疗、住疗养院期间的伙食补助费，军队（含武警）人员的伙食费等。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十八、绩效工资：反映事业单位工作人员的绩效工资。</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十九、机关事业单位基本养老保险缴费：反映单位为职工缴纳的基本养老保险费。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二十、职工基本医疗保险缴费：反映单位为职工缴纳的基本医疗保险（含生育保险）费。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二十一、其他社会保障缴费：反映单位为职工缴纳的失业、工伤等社会保险费，军队（含武警）为军人缴纳的退役养老、医疗等社会保险费。</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二十二、住房公积金：反映单位按规定为职工缴纳的住房公积金。</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二十三、医疗费：反映未参加医疗保险单位的医疗经费和单位按规定为职工支出的其他医疗费用。</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二十四、办公费：反映单位购买日常办公用品、书报杂志等支出。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二十五、印刷费：反映单位的印刷费支出。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二十六、水费：反映单位的水费、污水处理费等支出。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二十七、电费：反映单位的电费支出。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二十八、邮电费：反映单位开支的信函、包裹、货物等物品的邮寄费及电话费、电报费、传真费、网络通讯费等。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二十九、物业管理费： 反映单位开支的办公用房以及未实行职工住宅物业服务改革的在职职工和离退休人员宿舍等的物业管理费，包括综合治理、绿化、卫生等方面的支出。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三十、差旅费：反映单位工作人员国（境）内出差发生的城市间交通费、住宿费、伙食补助费和市内交通费。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三十一、维修（护）费：反映单位日常开支的固定资产（不包括车船等交通工具）修理和维护费用，网络信息系统运行与维护费用。</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二、会议费：反映单位在会议期间按规定开支的住宿费、伙食费、会议场地租金、交通费、文件印刷费、医药费、设备租赁费、线路费、电视电话会议通话费、技术服务费、软件应用费、音视频制作费等各类会议费用。</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三十三、劳务费：反映支付给个人的劳务费用，如临时聘用人员、钟点工工资，稿费、翻译费，评审费等。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三十四、委托业务费：反映因委托外单位办理业务而支付的委托业务费。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三十五、工会经费：反映单位按规定提取或安排的工会经费。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三十六、其他交通费用：反映单位除公务用车运行维护费以外的其他交通费用。如公务交通补贴，租车费用、出租车费用，飞机、船舶等的燃料费、维修费、保险费等。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三十七、其他商品和服务支出：反映上述科目未包括的日常公用支出。如诉讼费、国内组织的会员费、来访费、广告宣传费以及离休人员特需费、残疾人就业保障金等。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lang w:val="en-US" w:eastAsia="zh-CN"/>
        </w:rPr>
      </w:pPr>
      <w:r>
        <w:rPr>
          <w:rFonts w:hint="eastAsia" w:ascii="仿宋_GB2312" w:hAnsi="仿宋_GB2312" w:eastAsia="仿宋_GB2312" w:cs="仿宋_GB2312"/>
          <w:color w:val="000000"/>
          <w:kern w:val="0"/>
          <w:sz w:val="32"/>
          <w:szCs w:val="32"/>
          <w:lang w:val="en-US" w:eastAsia="zh-CN"/>
        </w:rPr>
        <w:t>三十八、办公设备购置：反映用于购置并按财务会计制度规定纳入固定资产核算范围的办公家具和办公设备的支出。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三十九</w:t>
      </w:r>
      <w:r>
        <w:rPr>
          <w:rFonts w:hint="eastAsia" w:ascii="仿宋_GB2312" w:hAnsi="仿宋_GB2312" w:eastAsia="仿宋_GB2312" w:cs="仿宋_GB2312"/>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四十</w:t>
      </w:r>
      <w:r>
        <w:rPr>
          <w:rFonts w:hint="eastAsia" w:ascii="仿宋_GB2312" w:hAnsi="仿宋_GB2312" w:eastAsia="仿宋_GB2312" w:cs="仿宋_GB2312"/>
          <w:color w:val="000000"/>
          <w:kern w:val="0"/>
          <w:sz w:val="32"/>
          <w:szCs w:val="32"/>
        </w:rPr>
        <w:t>、机关运行经费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四十一、一般性支出：指国家权力机关和行政机关的经费支出，主要包括各级人大及人大常委会的活动费用，各级人民政府及其职能部门的活动费用。</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pPr>
      <w:r>
        <w:rPr>
          <w:rFonts w:hint="eastAsia" w:ascii="仿宋_GB2312" w:hAnsi="仿宋_GB2312" w:eastAsia="仿宋_GB2312" w:cs="仿宋_GB2312"/>
          <w:color w:val="000000"/>
          <w:kern w:val="0"/>
          <w:sz w:val="32"/>
          <w:szCs w:val="32"/>
          <w:lang w:eastAsia="zh-CN"/>
        </w:rPr>
        <w:t>四十二、政府采购支出：指政府为了满足公共需求，购买货物、工程和服务的支出。</w:t>
      </w:r>
    </w:p>
    <w:p/>
    <w:p>
      <w:pPr>
        <w:pStyle w:val="2"/>
      </w:pPr>
    </w:p>
    <w:p>
      <w:pPr>
        <w:pStyle w:val="3"/>
      </w:pPr>
    </w:p>
    <w:p/>
    <w:p>
      <w:pPr>
        <w:pStyle w:val="3"/>
        <w:ind w:left="0" w:leftChars="0" w:firstLine="0" w:firstLineChars="0"/>
      </w:pPr>
    </w:p>
    <w:p/>
    <w:p>
      <w:pPr>
        <w:pStyle w:val="2"/>
      </w:pPr>
    </w:p>
    <w:p>
      <w:pPr>
        <w:pStyle w:val="3"/>
      </w:pPr>
    </w:p>
    <w:p/>
    <w:p>
      <w:pPr>
        <w:pStyle w:val="2"/>
      </w:pPr>
    </w:p>
    <w:p>
      <w:pPr>
        <w:pStyle w:val="2"/>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F37BA6"/>
    <w:rsid w:val="059958AD"/>
    <w:rsid w:val="06C857E7"/>
    <w:rsid w:val="08C24A73"/>
    <w:rsid w:val="0BD63B64"/>
    <w:rsid w:val="0DE23A56"/>
    <w:rsid w:val="0FF7A546"/>
    <w:rsid w:val="11944E2C"/>
    <w:rsid w:val="12583BA5"/>
    <w:rsid w:val="13BA5B9C"/>
    <w:rsid w:val="14C377DF"/>
    <w:rsid w:val="1D97DEFF"/>
    <w:rsid w:val="1DFF72E5"/>
    <w:rsid w:val="1E68C0F5"/>
    <w:rsid w:val="1EFC6F07"/>
    <w:rsid w:val="1F0527A6"/>
    <w:rsid w:val="2235B774"/>
    <w:rsid w:val="22AC03C2"/>
    <w:rsid w:val="25F496C8"/>
    <w:rsid w:val="25FB46CA"/>
    <w:rsid w:val="283B15FE"/>
    <w:rsid w:val="28C209BA"/>
    <w:rsid w:val="2BD60D0D"/>
    <w:rsid w:val="2BFEF8DE"/>
    <w:rsid w:val="2BFF39EC"/>
    <w:rsid w:val="2DBF661F"/>
    <w:rsid w:val="2FDD5736"/>
    <w:rsid w:val="2FDF85B8"/>
    <w:rsid w:val="2FFF41BA"/>
    <w:rsid w:val="2FFFEE04"/>
    <w:rsid w:val="300A6015"/>
    <w:rsid w:val="313F2568"/>
    <w:rsid w:val="31C95635"/>
    <w:rsid w:val="31F12209"/>
    <w:rsid w:val="34DF85B0"/>
    <w:rsid w:val="3675F599"/>
    <w:rsid w:val="369F9CA5"/>
    <w:rsid w:val="36A644A2"/>
    <w:rsid w:val="36FEF19A"/>
    <w:rsid w:val="374DE65E"/>
    <w:rsid w:val="37DFB940"/>
    <w:rsid w:val="399FFF58"/>
    <w:rsid w:val="3B5E11FF"/>
    <w:rsid w:val="3B8F36BC"/>
    <w:rsid w:val="3BA77DEB"/>
    <w:rsid w:val="3BFF0FB0"/>
    <w:rsid w:val="3CDF680F"/>
    <w:rsid w:val="3D775487"/>
    <w:rsid w:val="3D7FB15B"/>
    <w:rsid w:val="3DB76A1E"/>
    <w:rsid w:val="3DDFFCE9"/>
    <w:rsid w:val="3EEE9AC2"/>
    <w:rsid w:val="3F67CC3E"/>
    <w:rsid w:val="3F7F55DF"/>
    <w:rsid w:val="3F8A2017"/>
    <w:rsid w:val="3F9DF4FE"/>
    <w:rsid w:val="3FDFA11F"/>
    <w:rsid w:val="3FFC0BCB"/>
    <w:rsid w:val="421739EA"/>
    <w:rsid w:val="43EB5BA5"/>
    <w:rsid w:val="45A7B07A"/>
    <w:rsid w:val="47EE280D"/>
    <w:rsid w:val="47FF36ED"/>
    <w:rsid w:val="491FF225"/>
    <w:rsid w:val="4EC310A1"/>
    <w:rsid w:val="4F6C9B77"/>
    <w:rsid w:val="4F9D8C0E"/>
    <w:rsid w:val="4FFD214C"/>
    <w:rsid w:val="5237B38C"/>
    <w:rsid w:val="52774C84"/>
    <w:rsid w:val="52DD312F"/>
    <w:rsid w:val="5352765A"/>
    <w:rsid w:val="543F7195"/>
    <w:rsid w:val="55FFC16D"/>
    <w:rsid w:val="56751173"/>
    <w:rsid w:val="5737635C"/>
    <w:rsid w:val="5777D4F5"/>
    <w:rsid w:val="57DFA16B"/>
    <w:rsid w:val="57F22B6F"/>
    <w:rsid w:val="59DD8326"/>
    <w:rsid w:val="5AE83848"/>
    <w:rsid w:val="5B6E239F"/>
    <w:rsid w:val="5BBE68FE"/>
    <w:rsid w:val="5BFF8C35"/>
    <w:rsid w:val="5C4FAD26"/>
    <w:rsid w:val="5D5FD55E"/>
    <w:rsid w:val="5DEF592A"/>
    <w:rsid w:val="5DF7905F"/>
    <w:rsid w:val="5DFD2482"/>
    <w:rsid w:val="5DFDB333"/>
    <w:rsid w:val="5DFDC059"/>
    <w:rsid w:val="5DFF82CF"/>
    <w:rsid w:val="5E2FA77A"/>
    <w:rsid w:val="5E7FF0B8"/>
    <w:rsid w:val="5F3D387D"/>
    <w:rsid w:val="5F6B94DC"/>
    <w:rsid w:val="5F7D5DDB"/>
    <w:rsid w:val="5FA975D4"/>
    <w:rsid w:val="5FB6811D"/>
    <w:rsid w:val="5FBD151E"/>
    <w:rsid w:val="5FC6BB1E"/>
    <w:rsid w:val="5FDFF053"/>
    <w:rsid w:val="5FF720F1"/>
    <w:rsid w:val="622964C1"/>
    <w:rsid w:val="62C95A86"/>
    <w:rsid w:val="637FF8E4"/>
    <w:rsid w:val="65FF5CCE"/>
    <w:rsid w:val="67ED1C8F"/>
    <w:rsid w:val="67FF5C0B"/>
    <w:rsid w:val="67FF7F00"/>
    <w:rsid w:val="6BAA4A2F"/>
    <w:rsid w:val="6BFF272B"/>
    <w:rsid w:val="6DDEC5C0"/>
    <w:rsid w:val="6E3F88B6"/>
    <w:rsid w:val="6EF72EC0"/>
    <w:rsid w:val="6EF7B3DB"/>
    <w:rsid w:val="6EFC0924"/>
    <w:rsid w:val="6F9851E4"/>
    <w:rsid w:val="6FB74722"/>
    <w:rsid w:val="6FEF8B7E"/>
    <w:rsid w:val="717FE77F"/>
    <w:rsid w:val="71A6591B"/>
    <w:rsid w:val="71DF0762"/>
    <w:rsid w:val="7249798C"/>
    <w:rsid w:val="737D59BA"/>
    <w:rsid w:val="737F32B1"/>
    <w:rsid w:val="73BD3FCA"/>
    <w:rsid w:val="74600D87"/>
    <w:rsid w:val="75EC4704"/>
    <w:rsid w:val="75FC2F20"/>
    <w:rsid w:val="776BDA01"/>
    <w:rsid w:val="77BBEFCC"/>
    <w:rsid w:val="77C37683"/>
    <w:rsid w:val="77DEFF66"/>
    <w:rsid w:val="79D734CB"/>
    <w:rsid w:val="79DF03F5"/>
    <w:rsid w:val="79EC3F2E"/>
    <w:rsid w:val="79FF515B"/>
    <w:rsid w:val="7A777183"/>
    <w:rsid w:val="7AB7C88D"/>
    <w:rsid w:val="7B2D0957"/>
    <w:rsid w:val="7BFF2286"/>
    <w:rsid w:val="7BFFC53F"/>
    <w:rsid w:val="7CCB1807"/>
    <w:rsid w:val="7CFB64A8"/>
    <w:rsid w:val="7D6DA780"/>
    <w:rsid w:val="7D7F5A18"/>
    <w:rsid w:val="7DBD945D"/>
    <w:rsid w:val="7DEC6267"/>
    <w:rsid w:val="7DFBFF20"/>
    <w:rsid w:val="7DFEDED4"/>
    <w:rsid w:val="7E9E1962"/>
    <w:rsid w:val="7E9F11B4"/>
    <w:rsid w:val="7EBF09B1"/>
    <w:rsid w:val="7F2FDCC0"/>
    <w:rsid w:val="7F37EC1E"/>
    <w:rsid w:val="7F676264"/>
    <w:rsid w:val="7F6ED750"/>
    <w:rsid w:val="7F7C0DDA"/>
    <w:rsid w:val="7F7DCD9D"/>
    <w:rsid w:val="7F970A6F"/>
    <w:rsid w:val="7F979276"/>
    <w:rsid w:val="7FAFBB03"/>
    <w:rsid w:val="7FC1FFF3"/>
    <w:rsid w:val="7FC69637"/>
    <w:rsid w:val="7FDF8620"/>
    <w:rsid w:val="7FE5BA32"/>
    <w:rsid w:val="7FEA64A6"/>
    <w:rsid w:val="7FEBAC0C"/>
    <w:rsid w:val="7FEF980E"/>
    <w:rsid w:val="7FFB242F"/>
    <w:rsid w:val="7FFB8F88"/>
    <w:rsid w:val="7FFBDDFA"/>
    <w:rsid w:val="7FFDB408"/>
    <w:rsid w:val="7FFE4EEB"/>
    <w:rsid w:val="84E3E91C"/>
    <w:rsid w:val="8BAE730F"/>
    <w:rsid w:val="8FBE98E3"/>
    <w:rsid w:val="95FB2B98"/>
    <w:rsid w:val="98F75DD6"/>
    <w:rsid w:val="9A639BC2"/>
    <w:rsid w:val="9BE53397"/>
    <w:rsid w:val="9BE628EB"/>
    <w:rsid w:val="9BF7A273"/>
    <w:rsid w:val="9F9F66CE"/>
    <w:rsid w:val="9FF7D786"/>
    <w:rsid w:val="9FF9E508"/>
    <w:rsid w:val="A474320A"/>
    <w:rsid w:val="A4B9C9D7"/>
    <w:rsid w:val="A6D7EBCB"/>
    <w:rsid w:val="ABBFB23D"/>
    <w:rsid w:val="ADFE917C"/>
    <w:rsid w:val="AEDB9FEF"/>
    <w:rsid w:val="AEEB8762"/>
    <w:rsid w:val="AFEFDB4B"/>
    <w:rsid w:val="AFFF4600"/>
    <w:rsid w:val="B3ED244B"/>
    <w:rsid w:val="B6BE5A03"/>
    <w:rsid w:val="B7FFFE36"/>
    <w:rsid w:val="B8C93228"/>
    <w:rsid w:val="B8E355C1"/>
    <w:rsid w:val="B8E7FEF0"/>
    <w:rsid w:val="B9BF7DEE"/>
    <w:rsid w:val="BA76222F"/>
    <w:rsid w:val="BB7F53E9"/>
    <w:rsid w:val="BCEF7D23"/>
    <w:rsid w:val="BE7F498E"/>
    <w:rsid w:val="BF7D5F80"/>
    <w:rsid w:val="BFDF0FDE"/>
    <w:rsid w:val="BFDF4079"/>
    <w:rsid w:val="BFF24FA1"/>
    <w:rsid w:val="C3B4DA5A"/>
    <w:rsid w:val="C4FF458C"/>
    <w:rsid w:val="C7BBD038"/>
    <w:rsid w:val="CBFF70E0"/>
    <w:rsid w:val="CEF31997"/>
    <w:rsid w:val="CFF50B82"/>
    <w:rsid w:val="CFFFAD89"/>
    <w:rsid w:val="CFFFE910"/>
    <w:rsid w:val="D37F80D6"/>
    <w:rsid w:val="D3EE8091"/>
    <w:rsid w:val="D7BDF4B9"/>
    <w:rsid w:val="DCFB6858"/>
    <w:rsid w:val="DDEEA61A"/>
    <w:rsid w:val="DDF115DE"/>
    <w:rsid w:val="DE770F4C"/>
    <w:rsid w:val="DE7E1973"/>
    <w:rsid w:val="DEFA7CA5"/>
    <w:rsid w:val="DEFE1200"/>
    <w:rsid w:val="DF3C8721"/>
    <w:rsid w:val="DF7D1C47"/>
    <w:rsid w:val="DF7E27A5"/>
    <w:rsid w:val="DFB3FD5D"/>
    <w:rsid w:val="DFFE359E"/>
    <w:rsid w:val="DFFE4FFD"/>
    <w:rsid w:val="DFFF0E8C"/>
    <w:rsid w:val="DFFF5403"/>
    <w:rsid w:val="DFFF8DB9"/>
    <w:rsid w:val="E1DB47BF"/>
    <w:rsid w:val="E3DF5317"/>
    <w:rsid w:val="E7DD4EC3"/>
    <w:rsid w:val="EBC3E00A"/>
    <w:rsid w:val="EBEAC8B8"/>
    <w:rsid w:val="ED239C13"/>
    <w:rsid w:val="EDE1A0E2"/>
    <w:rsid w:val="EDFBE100"/>
    <w:rsid w:val="EEAB453D"/>
    <w:rsid w:val="EEABED75"/>
    <w:rsid w:val="EEF47911"/>
    <w:rsid w:val="EEFE5DD9"/>
    <w:rsid w:val="EF7B6696"/>
    <w:rsid w:val="EF7E8003"/>
    <w:rsid w:val="EFF5B8C8"/>
    <w:rsid w:val="EFFE8831"/>
    <w:rsid w:val="F0BBAD72"/>
    <w:rsid w:val="F2EFA9BC"/>
    <w:rsid w:val="F3BB4053"/>
    <w:rsid w:val="F4CF2E2E"/>
    <w:rsid w:val="F56FDF51"/>
    <w:rsid w:val="F5F3EE78"/>
    <w:rsid w:val="F6B69F17"/>
    <w:rsid w:val="F6B779F4"/>
    <w:rsid w:val="F6E5BB3A"/>
    <w:rsid w:val="F77F1D61"/>
    <w:rsid w:val="F7CB8837"/>
    <w:rsid w:val="F7F8FEFA"/>
    <w:rsid w:val="F7FED3A9"/>
    <w:rsid w:val="F7FFB3CC"/>
    <w:rsid w:val="F8C9DB26"/>
    <w:rsid w:val="F91D4612"/>
    <w:rsid w:val="F97E8EAE"/>
    <w:rsid w:val="FAEBD238"/>
    <w:rsid w:val="FAF798EE"/>
    <w:rsid w:val="FB36E1A6"/>
    <w:rsid w:val="FB3BE134"/>
    <w:rsid w:val="FB7D46B4"/>
    <w:rsid w:val="FCA3E4A7"/>
    <w:rsid w:val="FCEFEA5C"/>
    <w:rsid w:val="FCF5DB8B"/>
    <w:rsid w:val="FCFF4275"/>
    <w:rsid w:val="FCFFDF48"/>
    <w:rsid w:val="FD5D64C5"/>
    <w:rsid w:val="FD7DA1C9"/>
    <w:rsid w:val="FD7FEEEA"/>
    <w:rsid w:val="FDF785CB"/>
    <w:rsid w:val="FDFA62A6"/>
    <w:rsid w:val="FDFB9D67"/>
    <w:rsid w:val="FDFFB577"/>
    <w:rsid w:val="FED76FAB"/>
    <w:rsid w:val="FEEA50FE"/>
    <w:rsid w:val="FEFF5FCF"/>
    <w:rsid w:val="FEFF99AA"/>
    <w:rsid w:val="FEFFF3AA"/>
    <w:rsid w:val="FF7D47A9"/>
    <w:rsid w:val="FF7F892E"/>
    <w:rsid w:val="FF7F9CC6"/>
    <w:rsid w:val="FF9FD646"/>
    <w:rsid w:val="FFB25BED"/>
    <w:rsid w:val="FFC7A7F1"/>
    <w:rsid w:val="FFCF21CB"/>
    <w:rsid w:val="FFDB862A"/>
    <w:rsid w:val="FFDF88C5"/>
    <w:rsid w:val="FFDFE587"/>
    <w:rsid w:val="FFE35714"/>
    <w:rsid w:val="FFED8C0B"/>
    <w:rsid w:val="FFEE28CF"/>
    <w:rsid w:val="FFEED88A"/>
    <w:rsid w:val="FFEF749F"/>
    <w:rsid w:val="FFF64214"/>
    <w:rsid w:val="FFF94102"/>
    <w:rsid w:val="FFFD139D"/>
    <w:rsid w:val="FFFD229F"/>
    <w:rsid w:val="FFFD268F"/>
    <w:rsid w:val="FFFF1C8B"/>
    <w:rsid w:val="FFFF6A9B"/>
    <w:rsid w:val="FFFF7436"/>
    <w:rsid w:val="FFFF7F20"/>
    <w:rsid w:val="FFFFB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1347</Words>
  <Characters>7679</Characters>
  <Lines>63</Lines>
  <Paragraphs>18</Paragraphs>
  <TotalTime>277</TotalTime>
  <ScaleCrop>false</ScaleCrop>
  <LinksUpToDate>false</LinksUpToDate>
  <CharactersWithSpaces>9008</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2020-07-12T10:32:00Z</dcterms:created>
  <dc:creator>李航 null</dc:creator>
  <cp:lastModifiedBy>kylin</cp:lastModifiedBy>
  <cp:lastPrinted>2024-08-12T18:20:00Z</cp:lastPrinted>
  <dcterms:modified xsi:type="dcterms:W3CDTF">2025-09-25T16:38:28Z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98623D6660B449428EB8E073C6C952EA</vt:lpwstr>
  </property>
</Properties>
</file>