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DCFF1">
      <w:pPr>
        <w:pStyle w:val="12"/>
        <w:jc w:val="center"/>
        <w:rPr>
          <w:sz w:val="56"/>
          <w:szCs w:val="56"/>
        </w:rPr>
      </w:pPr>
    </w:p>
    <w:p w14:paraId="3BDF5AB8">
      <w:pPr>
        <w:pStyle w:val="12"/>
        <w:jc w:val="center"/>
        <w:rPr>
          <w:sz w:val="56"/>
          <w:szCs w:val="56"/>
        </w:rPr>
      </w:pPr>
    </w:p>
    <w:p w14:paraId="60CA4575">
      <w:pPr>
        <w:pStyle w:val="12"/>
        <w:jc w:val="center"/>
        <w:rPr>
          <w:sz w:val="84"/>
          <w:szCs w:val="84"/>
        </w:rPr>
      </w:pPr>
    </w:p>
    <w:p w14:paraId="215EB31D">
      <w:pPr>
        <w:pStyle w:val="12"/>
        <w:jc w:val="center"/>
        <w:rPr>
          <w:sz w:val="84"/>
          <w:szCs w:val="84"/>
        </w:rPr>
      </w:pPr>
    </w:p>
    <w:p w14:paraId="376C8602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202</w:t>
      </w: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年度</w:t>
      </w:r>
    </w:p>
    <w:p w14:paraId="6934EBE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岳阳市总工会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单位决算</w:t>
      </w:r>
    </w:p>
    <w:p w14:paraId="3A699C16">
      <w:pPr>
        <w:pStyle w:val="12"/>
        <w:jc w:val="center"/>
        <w:rPr>
          <w:rFonts w:hint="eastAsia" w:ascii="方正小标宋_GBK" w:hAnsi="方正小标宋_GBK" w:eastAsia="方正小标宋_GBK" w:cs="方正小标宋_GBK"/>
          <w:sz w:val="56"/>
          <w:szCs w:val="56"/>
        </w:rPr>
      </w:pPr>
    </w:p>
    <w:p w14:paraId="72C8FB58">
      <w:pPr>
        <w:pStyle w:val="12"/>
        <w:jc w:val="center"/>
        <w:rPr>
          <w:sz w:val="56"/>
          <w:szCs w:val="56"/>
        </w:rPr>
      </w:pPr>
    </w:p>
    <w:p w14:paraId="25018D25">
      <w:pPr>
        <w:pStyle w:val="12"/>
        <w:jc w:val="center"/>
        <w:rPr>
          <w:sz w:val="56"/>
          <w:szCs w:val="56"/>
        </w:rPr>
      </w:pPr>
    </w:p>
    <w:p w14:paraId="5EE73A38">
      <w:pPr>
        <w:pStyle w:val="12"/>
        <w:jc w:val="center"/>
        <w:rPr>
          <w:sz w:val="56"/>
          <w:szCs w:val="56"/>
        </w:rPr>
      </w:pPr>
    </w:p>
    <w:p w14:paraId="297571C5">
      <w:pPr>
        <w:pStyle w:val="12"/>
        <w:jc w:val="center"/>
        <w:rPr>
          <w:sz w:val="32"/>
          <w:szCs w:val="32"/>
        </w:rPr>
      </w:pPr>
    </w:p>
    <w:p w14:paraId="08493D1E">
      <w:pPr>
        <w:pStyle w:val="12"/>
        <w:jc w:val="center"/>
        <w:rPr>
          <w:sz w:val="32"/>
          <w:szCs w:val="32"/>
        </w:rPr>
      </w:pPr>
    </w:p>
    <w:p w14:paraId="5BD6E8BD">
      <w:pPr>
        <w:pStyle w:val="12"/>
        <w:jc w:val="center"/>
        <w:rPr>
          <w:sz w:val="32"/>
          <w:szCs w:val="32"/>
        </w:rPr>
      </w:pPr>
    </w:p>
    <w:p w14:paraId="1062A3B4">
      <w:pPr>
        <w:pStyle w:val="12"/>
        <w:jc w:val="center"/>
        <w:rPr>
          <w:sz w:val="32"/>
          <w:szCs w:val="32"/>
        </w:rPr>
      </w:pPr>
    </w:p>
    <w:p w14:paraId="6311DFC7">
      <w:pPr>
        <w:pStyle w:val="12"/>
        <w:jc w:val="center"/>
        <w:rPr>
          <w:sz w:val="32"/>
          <w:szCs w:val="32"/>
        </w:rPr>
      </w:pPr>
    </w:p>
    <w:p w14:paraId="50228290">
      <w:pPr>
        <w:pStyle w:val="12"/>
        <w:spacing w:line="540" w:lineRule="exact"/>
        <w:jc w:val="center"/>
        <w:rPr>
          <w:sz w:val="56"/>
          <w:szCs w:val="56"/>
        </w:rPr>
      </w:pPr>
    </w:p>
    <w:p w14:paraId="459C483D">
      <w:pPr>
        <w:pStyle w:val="12"/>
        <w:spacing w:line="500" w:lineRule="exact"/>
        <w:jc w:val="both"/>
        <w:rPr>
          <w:b/>
          <w:sz w:val="36"/>
          <w:szCs w:val="28"/>
        </w:rPr>
      </w:pPr>
    </w:p>
    <w:p w14:paraId="24F3309B">
      <w:pPr>
        <w:pStyle w:val="12"/>
        <w:spacing w:line="500" w:lineRule="exact"/>
        <w:jc w:val="center"/>
        <w:rPr>
          <w:b/>
          <w:sz w:val="36"/>
          <w:szCs w:val="28"/>
        </w:rPr>
      </w:pPr>
      <w:r>
        <w:rPr>
          <w:rFonts w:hint="eastAsia"/>
          <w:b/>
          <w:sz w:val="36"/>
          <w:szCs w:val="28"/>
        </w:rPr>
        <w:t>目录</w:t>
      </w:r>
    </w:p>
    <w:p w14:paraId="6CBD0C22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第一部分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val="en-US" w:eastAsia="zh-CN"/>
        </w:rPr>
        <w:t>岳阳市总工会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单位概况</w:t>
      </w:r>
    </w:p>
    <w:p w14:paraId="060CB1D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一、部门职责</w:t>
      </w:r>
    </w:p>
    <w:p w14:paraId="315E49DA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二、机构设置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及决算单位构成</w:t>
      </w:r>
    </w:p>
    <w:p w14:paraId="3CE431DD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第二部分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部门决算表</w:t>
      </w:r>
    </w:p>
    <w:p w14:paraId="4B1DE222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一、收入支出决算总表</w:t>
      </w:r>
    </w:p>
    <w:p w14:paraId="28DAEA9B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二、收入决算表</w:t>
      </w:r>
    </w:p>
    <w:p w14:paraId="4189E14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三、支出决算表</w:t>
      </w:r>
    </w:p>
    <w:p w14:paraId="0621647E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四、财政拨款收入支出决算总表</w:t>
      </w:r>
    </w:p>
    <w:p w14:paraId="28E0B171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五、一般公共预算财政拨款支出决算表</w:t>
      </w:r>
    </w:p>
    <w:p w14:paraId="0A1DA969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六、一般公共预算财政拨款基本支出决算明细表</w:t>
      </w:r>
    </w:p>
    <w:p w14:paraId="62E9A333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七、政府性基金预算财政拨款收入支出决算表</w:t>
      </w:r>
    </w:p>
    <w:p w14:paraId="316661B6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八、国有资本经营预算财政拨款支出决算表</w:t>
      </w:r>
    </w:p>
    <w:p w14:paraId="23827588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九、财政拨款“三公”经费支出决算表</w:t>
      </w:r>
    </w:p>
    <w:p w14:paraId="69B4707F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第三部分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部门决算情况说明</w:t>
      </w:r>
    </w:p>
    <w:p w14:paraId="30D2819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一、收入支出决算总体情况说明</w:t>
      </w:r>
    </w:p>
    <w:p w14:paraId="2F99AFEC">
      <w:pPr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二、收入决算情况说明</w:t>
      </w:r>
    </w:p>
    <w:p w14:paraId="69796A8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三、支出决算情况说明</w:t>
      </w:r>
    </w:p>
    <w:p w14:paraId="42F5763D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四、财政拨款收入支出决算总体情况说明</w:t>
      </w:r>
    </w:p>
    <w:p w14:paraId="4551B6B2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五、一般公共预算财政拨款支出决算情况说明</w:t>
      </w:r>
    </w:p>
    <w:p w14:paraId="0BC2CE30">
      <w:pPr>
        <w:autoSpaceDE w:val="0"/>
        <w:autoSpaceDN w:val="0"/>
        <w:adjustRightInd w:val="0"/>
        <w:spacing w:line="500" w:lineRule="exact"/>
        <w:ind w:firstLine="700" w:firstLineChars="250"/>
        <w:jc w:val="left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六、一般公共预算财政拨款基本支出决算情况说明</w:t>
      </w:r>
    </w:p>
    <w:p w14:paraId="11D85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七、政府性基金预算收入支出决算情况</w:t>
      </w:r>
    </w:p>
    <w:p w14:paraId="5F6B5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</w:rPr>
        <w:t>八、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国有资本经营预算财政拨款支出决算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情况</w:t>
      </w:r>
    </w:p>
    <w:p w14:paraId="71D910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九、财政拨款三公经费支出决算情况说明</w:t>
      </w:r>
    </w:p>
    <w:p w14:paraId="371B6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十、关于机关运行经费支出说明</w:t>
      </w:r>
    </w:p>
    <w:p w14:paraId="1624E7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十一、一般性支出情况说明</w:t>
      </w:r>
    </w:p>
    <w:p w14:paraId="6C86A3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十二、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</w:rPr>
        <w:t>关于政府采购支出说明</w:t>
      </w:r>
    </w:p>
    <w:p w14:paraId="5E15A6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exact"/>
        <w:ind w:firstLine="700" w:firstLineChars="25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-SA"/>
        </w:rPr>
        <w:t>十三、关于国有资产占用情况说明</w:t>
      </w:r>
    </w:p>
    <w:p w14:paraId="5BD7D26C">
      <w:pPr>
        <w:pStyle w:val="12"/>
        <w:spacing w:line="500" w:lineRule="exact"/>
        <w:ind w:firstLine="700" w:firstLineChars="250"/>
        <w:rPr>
          <w:rFonts w:hint="eastAsia" w:ascii="仿宋_GB2312" w:hAnsi="仿宋_GB2312" w:eastAsia="仿宋_GB2312" w:cs="仿宋_GB2312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highlight w:val="none"/>
          <w:lang w:val="en-US" w:eastAsia="zh-CN" w:bidi="ar-SA"/>
        </w:rPr>
        <w:t>十四、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关于</w:t>
      </w:r>
      <w:r>
        <w:rPr>
          <w:rFonts w:hint="default" w:ascii="Times New Roman" w:hAnsi="Times New Roman" w:eastAsia="仿宋_GB2312" w:cs="Times New Roman"/>
          <w:sz w:val="28"/>
          <w:szCs w:val="28"/>
          <w:highlight w:val="none"/>
        </w:rPr>
        <w:t>202</w:t>
      </w:r>
      <w:r>
        <w:rPr>
          <w:rFonts w:hint="eastAsia" w:ascii="Times New Roman" w:hAnsi="Times New Roman" w:eastAsia="仿宋_GB2312" w:cs="Times New Roman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预算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绩效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管理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情况的说明</w:t>
      </w:r>
    </w:p>
    <w:p w14:paraId="51852483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第四部分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名词解释</w:t>
      </w:r>
    </w:p>
    <w:p w14:paraId="7D866A9C">
      <w:pPr>
        <w:pStyle w:val="12"/>
        <w:spacing w:line="500" w:lineRule="exact"/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第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五</w:t>
      </w:r>
      <w:r>
        <w:rPr>
          <w:rFonts w:hint="eastAsia" w:ascii="黑体" w:hAnsi="黑体" w:eastAsia="黑体" w:cs="黑体"/>
          <w:b w:val="0"/>
          <w:bCs/>
          <w:sz w:val="28"/>
          <w:szCs w:val="28"/>
        </w:rPr>
        <w:t>部分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 xml:space="preserve"> </w:t>
      </w:r>
      <w:r>
        <w:rPr>
          <w:rFonts w:hint="eastAsia" w:hAnsi="黑体" w:cs="黑体"/>
          <w:b w:val="0"/>
          <w:bCs/>
          <w:sz w:val="28"/>
          <w:szCs w:val="28"/>
          <w:lang w:eastAsia="zh-CN"/>
        </w:rPr>
        <w:t>附件</w:t>
      </w:r>
    </w:p>
    <w:p w14:paraId="2E7F14A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095DE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0DEEC249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 xml:space="preserve">第一部分 </w:t>
      </w:r>
    </w:p>
    <w:p w14:paraId="5C6A94F8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EF69A9D"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  <w:t>岳阳市总工会</w:t>
      </w: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单位概况</w:t>
      </w:r>
    </w:p>
    <w:p w14:paraId="77A0C778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97AC3FB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3F2C40A">
      <w:pPr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28B0AE2">
      <w:pPr>
        <w:pStyle w:val="2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1469560B">
      <w:pPr>
        <w:pStyle w:val="3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55E857AF">
      <w:pPr>
        <w:pStyle w:val="13"/>
        <w:numPr>
          <w:ilvl w:val="0"/>
          <w:numId w:val="1"/>
        </w:numPr>
        <w:ind w:firstLineChars="0"/>
        <w:jc w:val="left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部门职责</w:t>
      </w:r>
    </w:p>
    <w:p w14:paraId="741C78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）根据党的基本理论、基本路线和基本纲领，遵照《工会法》、《工会章程》和全国总工会和省总工会确定的工会工作的指导方针和任务，围绕大局，结合岳阳实际，指导全市工会工作。  </w:t>
      </w:r>
    </w:p>
    <w:p w14:paraId="6090D9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贯彻执行全国总工会、省总工会和市总工会代表大会的决议，依照法律和章程，组织和指导全市各级工会履行工会“维护、建设、参与、教育”等社会职能，组织开展工会各项业务工作；领导市总工会直属单位的工作。  </w:t>
      </w:r>
    </w:p>
    <w:p w14:paraId="6A60C54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）对有关职工利益的重大问题进行调查研究， 向市委、市政府和上级工会反映职工群众的情绪、愿望和要求，并提出意见和建议；参与涉及职工切身利益的有关政策、措施和制度的制订；对侵犯职工合法权益的重大事件进行调查并提出处理意见，参与职工重大伤亡事故的调查处理。  </w:t>
      </w:r>
    </w:p>
    <w:p w14:paraId="12B5A2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负责工会理论政策研究，为各级工会提供理论政策服务；研究制订工会的各项组织制度和民主制度，监督检查《工会法》、《工会章程》的贯彻执行；研究指导工会自身改革和建设；指导基层工会组织职工开展以职工代表大会为基本制度的民主选举、民主决策、民主管理和民主监督工作，建立健全调整劳动关系、维护职工劳动权益的平等协商制度和集体合同制度。  </w:t>
      </w:r>
    </w:p>
    <w:p w14:paraId="0879B6D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协助县(市)委和市直有关委、局党组(党委)及中央、省属企事业单位党委管理区县(市)区工会和市级产业工会与中央、省属企事业单位工会的领导班子；监督直属单位党员干部党风廉政建设情况，研究制订工会干部管理制度和培训规划，负责直属基层单位及县(市) 区工会领导干部的培训工作。  </w:t>
      </w:r>
    </w:p>
    <w:p w14:paraId="7DC62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仿宋_GB2312" w:cs="仿宋_GB2312"/>
          <w:sz w:val="32"/>
          <w:szCs w:val="32"/>
        </w:rPr>
        <w:t xml:space="preserve">）受市政府委托，承担全国、全省劳模的推荐、管理和市劳模的推荐、评选、管理工作；负责本市全国“五一”劳动奖章、奖状获得者的推荐、管理工作。  </w:t>
      </w:r>
    </w:p>
    <w:p w14:paraId="4FA8C6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七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）负责工会经费的管理、审查、审计工作，研究制订工会组织兴办职工劳动福利事业的有关政策和规定；负责工会劳动福利事业发展的指导、协调工作；负责职工医疗修养事业的规划、指导和管理工作。</w:t>
      </w:r>
    </w:p>
    <w:p w14:paraId="502F73B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八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）负责工会国际联络和国际工运的研究工作；发展同外国工会组织的友好关系；负责与港澳台工会的联络和交流合作工作。</w:t>
      </w:r>
    </w:p>
    <w:p w14:paraId="28B858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九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）承担市委、市政府交办的其他事项。</w:t>
      </w:r>
    </w:p>
    <w:p w14:paraId="2DC82B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kern w:val="0"/>
          <w:sz w:val="32"/>
          <w:szCs w:val="32"/>
        </w:rPr>
        <w:t>二、机构设置及决算单位构成</w:t>
      </w:r>
    </w:p>
    <w:p w14:paraId="6130DF0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（一）内设机构设置。</w:t>
      </w:r>
    </w:p>
    <w:p w14:paraId="024D52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岳阳市总工会</w:t>
      </w:r>
      <w:r>
        <w:rPr>
          <w:rFonts w:hint="eastAsia" w:ascii="仿宋_GB2312" w:hAnsi="仿宋_GB2312" w:eastAsia="仿宋_GB2312" w:cs="仿宋_GB2312"/>
          <w:sz w:val="32"/>
        </w:rPr>
        <w:t>设置</w:t>
      </w:r>
      <w:r>
        <w:rPr>
          <w:rFonts w:hint="eastAsia" w:ascii="仿宋_GB2312" w:hAnsi="仿宋_GB2312" w:eastAsia="仿宋_GB2312" w:cs="仿宋_GB2312"/>
          <w:color w:val="auto"/>
          <w:sz w:val="32"/>
        </w:rPr>
        <w:t>内设机构13个：办公室、组织部、基层工作部、权益保障部、宣传教育和网络信息部、劳动和经济服务部、财务资产部、女职工部、经费审查委员会办公室、机关党委、机关纪委、驻会工会两个（直工委、外工委）、核定行政编制27个，实有23人。离退休干部43人（其中离休干部1人）。</w:t>
      </w:r>
    </w:p>
    <w:p w14:paraId="0F2D3B1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</w:rPr>
        <w:t>下属事业</w:t>
      </w:r>
      <w:r>
        <w:rPr>
          <w:rFonts w:hint="eastAsia" w:ascii="仿宋_GB2312" w:hAnsi="仿宋_GB2312" w:eastAsia="仿宋_GB2312" w:cs="仿宋_GB2312"/>
          <w:color w:val="auto"/>
          <w:sz w:val="32"/>
        </w:rPr>
        <w:t>单位2个：市职工服务中心为公益一类全额拨款事业单位，有全额拨款事业编制10个，在编10人，职工服务中心人员及运行经费由市总全额保障，列入市总财务统一核算。市工人文化宫为公益一类经费全额拨款事业单位，有全额拨款事业编制1</w:t>
      </w:r>
      <w:r>
        <w:rPr>
          <w:rFonts w:hint="eastAsia" w:ascii="仿宋_GB2312" w:hAnsi="仿宋_GB2312" w:eastAsia="仿宋_GB2312" w:cs="仿宋_GB2312"/>
          <w:color w:val="auto"/>
          <w:sz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</w:rPr>
        <w:t>个，在编10人。</w:t>
      </w:r>
    </w:p>
    <w:p w14:paraId="5A007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仿宋_GB2312"/>
          <w:bCs/>
          <w:kern w:val="0"/>
          <w:sz w:val="32"/>
          <w:szCs w:val="32"/>
        </w:rPr>
        <w:t>（二）决算单位构成。</w:t>
      </w:r>
    </w:p>
    <w:p w14:paraId="38F8B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本单位无独立核算的下属单位，2024年度部门决算汇总公开单位仅包括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val="en-US" w:eastAsia="zh-CN"/>
        </w:rPr>
        <w:t>岳阳市总工会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</w:rPr>
        <w:t>单位本级</w:t>
      </w:r>
      <w:r>
        <w:rPr>
          <w:rFonts w:hint="eastAsia" w:ascii="仿宋_GB2312" w:hAnsi="仿宋_GB2312" w:eastAsia="仿宋_GB2312" w:cs="仿宋_GB2312"/>
          <w:bCs/>
          <w:kern w:val="0"/>
          <w:sz w:val="32"/>
          <w:szCs w:val="32"/>
          <w:lang w:eastAsia="zh-CN"/>
        </w:rPr>
        <w:t>。</w:t>
      </w:r>
    </w:p>
    <w:p w14:paraId="38152785"/>
    <w:p w14:paraId="3CE56614">
      <w:pPr>
        <w:pStyle w:val="2"/>
      </w:pPr>
    </w:p>
    <w:p w14:paraId="70B4D569">
      <w:pPr>
        <w:pStyle w:val="3"/>
      </w:pPr>
    </w:p>
    <w:p w14:paraId="5B1D6CBC"/>
    <w:p w14:paraId="7D6C31E4">
      <w:pPr>
        <w:pStyle w:val="2"/>
      </w:pPr>
    </w:p>
    <w:p w14:paraId="056E4ECA">
      <w:pPr>
        <w:pStyle w:val="3"/>
      </w:pPr>
    </w:p>
    <w:p w14:paraId="3288C9C5"/>
    <w:p w14:paraId="76181D4E"/>
    <w:p w14:paraId="1A174866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2B49F2B7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661BBFC8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第二部分</w:t>
      </w:r>
    </w:p>
    <w:p w14:paraId="5FB02ED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</w:p>
    <w:p w14:paraId="3860F185">
      <w:pPr>
        <w:pStyle w:val="12"/>
        <w:jc w:val="center"/>
        <w:rPr>
          <w:rFonts w:hint="eastAsia" w:ascii="方正小标宋_GBK" w:hAnsi="方正小标宋_GBK" w:eastAsia="方正小标宋_GBK" w:cs="方正小标宋_GBK"/>
          <w:sz w:val="84"/>
          <w:szCs w:val="84"/>
        </w:rPr>
      </w:pPr>
      <w:r>
        <w:rPr>
          <w:rFonts w:hint="eastAsia" w:ascii="方正小标宋_GBK" w:hAnsi="方正小标宋_GBK" w:eastAsia="方正小标宋_GBK" w:cs="方正小标宋_GBK"/>
          <w:sz w:val="84"/>
          <w:szCs w:val="84"/>
        </w:rPr>
        <w:t>部门决算表</w:t>
      </w:r>
    </w:p>
    <w:p w14:paraId="50A5962C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  <w:t>（见附件）</w:t>
      </w:r>
    </w:p>
    <w:p w14:paraId="325AF5B5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0568D1B8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5C65B646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2EA5E89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3BFFD84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4565BABE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EEAB3EF">
      <w:pPr>
        <w:pStyle w:val="12"/>
        <w:jc w:val="center"/>
        <w:rPr>
          <w:rFonts w:hint="eastAsia" w:ascii="仿宋_GB2312" w:hAnsi="仿宋_GB2312" w:eastAsia="仿宋_GB2312" w:cs="仿宋_GB2312"/>
          <w:b w:val="0"/>
          <w:bCs w:val="0"/>
          <w:sz w:val="72"/>
          <w:szCs w:val="72"/>
          <w:lang w:eastAsia="zh-CN"/>
        </w:rPr>
      </w:pPr>
    </w:p>
    <w:p w14:paraId="603C04A7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A44A82E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6211665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7804FBAA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第三部分</w:t>
      </w:r>
    </w:p>
    <w:p w14:paraId="7D53C94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F77A5A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202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>4</w:t>
      </w:r>
      <w:r>
        <w:rPr>
          <w:rFonts w:hint="eastAsia" w:ascii="方正小标宋_GBK" w:hAnsi="方正小标宋_GBK" w:eastAsia="方正小标宋_GBK" w:cs="方正小标宋_GBK"/>
          <w:sz w:val="70"/>
          <w:szCs w:val="70"/>
        </w:rPr>
        <w:t>年度部门决算情况说明</w:t>
      </w:r>
    </w:p>
    <w:p w14:paraId="17862F9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6EEC30AB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17367C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5EF1049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</w:p>
    <w:p w14:paraId="48D7263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</w:p>
    <w:p w14:paraId="2411C08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一、收入支出决算总体情况说明</w:t>
      </w:r>
    </w:p>
    <w:p w14:paraId="5CDCBAD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年度收、支总计2951.83万元。与上年相比，增加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1169.48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65.61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结转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2023年帮扶资金及劳模资金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190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万元、2023年公用经费70万元、2023年财政代扣工会经费61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</w:t>
      </w:r>
    </w:p>
    <w:p w14:paraId="07DA9E3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二、收入决算情况说明</w:t>
      </w:r>
    </w:p>
    <w:p w14:paraId="2A53B2A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年度收入合计2951.83万元，其中：财政拨款收入2951.83万元，占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%；事业收入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%；附属单位上缴收入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%；其他收入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2D1A2B4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三、支出决算情况说明</w:t>
      </w:r>
    </w:p>
    <w:p w14:paraId="28222937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年度支出合计2951.83万元，其中：基本支出2019.15万元，占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68.4</w:t>
      </w:r>
      <w:r>
        <w:rPr>
          <w:rFonts w:hint="eastAsia" w:ascii="仿宋_GB2312" w:hAnsi="仿宋_GB2312" w:eastAsia="仿宋_GB2312" w:cs="仿宋_GB2312"/>
          <w:sz w:val="32"/>
          <w:szCs w:val="32"/>
        </w:rPr>
        <w:t>%；项目支出932.68万元，占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31.6</w:t>
      </w:r>
      <w:r>
        <w:rPr>
          <w:rFonts w:hint="eastAsia" w:ascii="仿宋_GB2312" w:hAnsi="仿宋_GB2312" w:eastAsia="仿宋_GB2312" w:cs="仿宋_GB2312"/>
          <w:sz w:val="32"/>
          <w:szCs w:val="32"/>
        </w:rPr>
        <w:t>%；上缴上级支出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%；经营支出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%；对附属单位补助支出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 w14:paraId="6985752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四、财政拨款收入支出决算总体情况说明</w:t>
      </w:r>
    </w:p>
    <w:p w14:paraId="4ED35F4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年度财政拨款收、支总计2951.83万元，与上年相比，增加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1169.48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65.61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结转2023年帮扶资金及劳模资金190万元、2023年公用经费70万元、2023年财政代扣工会经费61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4BB30A6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五、一般公共预算财政拨款支出决算情况说明</w:t>
      </w:r>
    </w:p>
    <w:p w14:paraId="6023283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（一）一般公共预算财政拨款支出决算总体情况</w:t>
      </w:r>
    </w:p>
    <w:p w14:paraId="55BA907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年度财政拨款支出2951.83万元，占本年支出合计的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%，与上年相比，财政拨款支出增加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1169.48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65.61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%，主要是因为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结转2023年帮扶资金及劳模资金190万元、2023年公用经费70万元、2023年财政代扣工会经费61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6.66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6C54C8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（二）一般公共预算财政拨款支出决算结构情况</w:t>
      </w:r>
    </w:p>
    <w:p w14:paraId="100B560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年度财政拨款支出2951.83万元，主要用于以下方面：一般公共服务支出2499.22万元，占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84.67</w:t>
      </w:r>
      <w:r>
        <w:rPr>
          <w:rFonts w:hint="eastAsia" w:ascii="仿宋_GB2312" w:hAnsi="仿宋_GB2312" w:eastAsia="仿宋_GB2312" w:cs="仿宋_GB2312"/>
          <w:sz w:val="32"/>
          <w:szCs w:val="32"/>
        </w:rPr>
        <w:t>%；社会保障和就业支出370.71万元，占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12.56</w:t>
      </w:r>
      <w:r>
        <w:rPr>
          <w:rFonts w:hint="eastAsia" w:ascii="仿宋_GB2312" w:hAnsi="仿宋_GB2312" w:eastAsia="仿宋_GB2312" w:cs="仿宋_GB2312"/>
          <w:sz w:val="32"/>
          <w:szCs w:val="32"/>
        </w:rPr>
        <w:t>%;卫生健康支出21.82万元，占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0.74</w:t>
      </w:r>
      <w:r>
        <w:rPr>
          <w:rFonts w:hint="eastAsia" w:ascii="仿宋_GB2312" w:hAnsi="仿宋_GB2312" w:eastAsia="仿宋_GB2312" w:cs="仿宋_GB2312"/>
          <w:sz w:val="32"/>
          <w:szCs w:val="32"/>
        </w:rPr>
        <w:t>%；农林水支出19.46万元，占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0.65</w:t>
      </w:r>
      <w:r>
        <w:rPr>
          <w:rFonts w:hint="eastAsia" w:ascii="仿宋_GB2312" w:hAnsi="仿宋_GB2312" w:eastAsia="仿宋_GB2312" w:cs="仿宋_GB2312"/>
          <w:sz w:val="32"/>
          <w:szCs w:val="32"/>
        </w:rPr>
        <w:t>%；住房保障支出40.62万元，占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1.38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CDBADF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（三）一般公共预算财政拨款支出决算具体情况</w:t>
      </w:r>
    </w:p>
    <w:p w14:paraId="5B07DAE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年度财政拨款支出年初预算数为2951.83万元，支出决算数为2951.83万元，完成年初预算的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%，其中：</w:t>
      </w:r>
    </w:p>
    <w:p w14:paraId="237A4D6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1、一般公共服务（类）群众团体事务（款）行政运行（项）。</w:t>
      </w:r>
    </w:p>
    <w:p w14:paraId="7523608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年初预算为171.65万元，支出决算为171.65万元，完成年初预算的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3443D2A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2、一般公共服务（类）群众团体事务（款）一般行政管理事务（项）。</w:t>
      </w:r>
    </w:p>
    <w:p w14:paraId="6D40D85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年初预算为16.63万元，支出决算为16.63万元，完成年初预算的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7D18061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、一般公共服务（类）群众团体事务（款）工会事务（项）。</w:t>
      </w:r>
    </w:p>
    <w:p w14:paraId="46ED3BA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年初预算为1243.8万元，支出决算为1243.8万元，完成年初预算的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6BE0C5F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、一般公共服务（类）群众团体事务（款）其他群众团体事务支出（项）。</w:t>
      </w:r>
    </w:p>
    <w:p w14:paraId="504F9C8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年初预算为360.48万元，支出决算为360.48万元，完成年初预算的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380F41A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、一般公共服务（类）其他一般公共服务支出（款）其他一般公共服务支出（项）。</w:t>
      </w:r>
    </w:p>
    <w:p w14:paraId="48D2E35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年初预算为706.66万元，支出决算为706.66万元，完成年初预算的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2B1A872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、社会保障和就业支出（类）行政事业单位养老支出（款）机关事业单位基本养老保险缴费支出（项）。</w:t>
      </w:r>
    </w:p>
    <w:p w14:paraId="3E467A7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年初预算为56.44万元，支出决算为56.44万元，完成年初预算的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3169C32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</w:rPr>
        <w:t>、社会保障和就业支出（类）抚恤（款）其他优抚支出（项）。</w:t>
      </w:r>
    </w:p>
    <w:p w14:paraId="48BE04C9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年初预算为20.15万元，支出决算为20.15万元，完成年初预算的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10572DE0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、社会保障和就业支出（类）残疾人事业（款）其他残疾人事业支出（项）。</w:t>
      </w:r>
    </w:p>
    <w:p w14:paraId="4FB451B5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年初预算为4.12万元，支出决算为4.12万元，完成年初预算的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7B6E3DC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、社会保障和就业支出（类）其他社会保障和就业支出（款）其他社会保障和就业支出（项）。</w:t>
      </w:r>
    </w:p>
    <w:p w14:paraId="54463A5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年初预算为290万元，支出决算为290万元，完成年初预算的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7B8B75E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、卫生健康支出（类）行政事业单位医疗（款）行政单位医疗（项）。</w:t>
      </w:r>
    </w:p>
    <w:p w14:paraId="599616F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年初预算为21.82万元，支出决算为21.82万元，完成年初预算的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708BE77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、农林水支出（类）其他农林水支出（款）其他农林水支出（项）。</w:t>
      </w:r>
    </w:p>
    <w:p w14:paraId="69CE167D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年初预算为19.46万元，支出决算为19.46万元，完成年初预算的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556A8643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、住房保障支出（类）住房改革支出（款）住房公积金（项）。</w:t>
      </w:r>
    </w:p>
    <w:p w14:paraId="6D26179A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800" w:firstLineChars="25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年初预算为40.62万元，支出决算为40.62万元，完成年初预算的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%，决算数等于年初预算数的主要原因是按照年初预算列支本类支出，未超额列支。</w:t>
      </w:r>
    </w:p>
    <w:p w14:paraId="373E8BA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六、一般公共预算财政拨款基本支出决算情况说明</w:t>
      </w:r>
    </w:p>
    <w:p w14:paraId="293AEB61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财政拨款基本支出2019.15万元，其中：</w:t>
      </w:r>
    </w:p>
    <w:p w14:paraId="208EA42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人员经费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1310.24万元，占基本支出的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64.89</w:t>
      </w:r>
      <w:r>
        <w:rPr>
          <w:rFonts w:hint="eastAsia" w:ascii="仿宋_GB2312" w:hAnsi="仿宋_GB2312" w:eastAsia="仿宋_GB2312" w:cs="仿宋_GB2312"/>
          <w:sz w:val="32"/>
          <w:szCs w:val="32"/>
        </w:rPr>
        <w:t>%,主要包括基本工资、津贴补贴、奖金、伙食补助费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绩效工资、机关事业单位基本养老保险缴费、职工基本医疗保险缴费、其他社会保障缴费、住房公积金、其他工资福利支出、离休费、退休费、抚恤金、生活补助、救济费、医疗费补助、其他对个人和家庭的补助。</w:t>
      </w:r>
    </w:p>
    <w:p w14:paraId="4A7CE8EB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公用经费</w:t>
      </w:r>
      <w:r>
        <w:rPr>
          <w:rFonts w:hint="eastAsia" w:ascii="仿宋_GB2312" w:hAnsi="仿宋_GB2312" w:eastAsia="仿宋_GB2312" w:cs="仿宋_GB2312"/>
          <w:sz w:val="32"/>
          <w:szCs w:val="32"/>
        </w:rPr>
        <w:t>708.91万元，占基本支出的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35.11</w:t>
      </w:r>
      <w:r>
        <w:rPr>
          <w:rFonts w:hint="eastAsia" w:ascii="仿宋_GB2312" w:hAnsi="仿宋_GB2312" w:eastAsia="仿宋_GB2312" w:cs="仿宋_GB2312"/>
          <w:sz w:val="32"/>
          <w:szCs w:val="32"/>
        </w:rPr>
        <w:t>%，主要包括办公费、水费、电费、物业管理费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、工会经费、委托业务费、福利费、其他交通费用、其他商品和服务支出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38B276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七、政府性基金预算收入支出决算情况</w:t>
      </w:r>
    </w:p>
    <w:p w14:paraId="7B96C244">
      <w:pPr>
        <w:widowControl w:val="0"/>
        <w:autoSpaceDE w:val="0"/>
        <w:autoSpaceDN w:val="0"/>
        <w:adjustRightInd w:val="0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highlight w:val="none"/>
          <w:lang w:val="en-US" w:eastAsia="zh-CN" w:bidi="ar-SA"/>
        </w:rPr>
        <w:t>2024年度政府性基金预算财政拨款收入0万元；年初结转和结余0万元；支出0万元，其中基本支出0万元，项目支出0万元；年末结转和结余0万元。</w:t>
      </w:r>
    </w:p>
    <w:p w14:paraId="28BDC7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/>
          <w:color w:val="000000"/>
          <w:kern w:val="0"/>
          <w:sz w:val="32"/>
          <w:szCs w:val="32"/>
          <w:lang w:val="en-US" w:eastAsia="zh-CN" w:bidi="ar-SA"/>
        </w:rPr>
        <w:t>八、国有资本经营预算财政拨款支出决算情况</w:t>
      </w:r>
    </w:p>
    <w:p w14:paraId="64D194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-SA"/>
        </w:rPr>
        <w:t>2024年度国有资本经营预算财政拨款收入0万元；年初结转和结余0万；支出0万元，其中：基本支出0万元，项目支出0万元；年末结转和结余0万元。</w:t>
      </w:r>
    </w:p>
    <w:p w14:paraId="5876C25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eastAsia="zh-CN"/>
        </w:rPr>
        <w:t>九、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财政拨款三公经费支出决算情况说明</w:t>
      </w:r>
    </w:p>
    <w:p w14:paraId="18DF3F46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b/>
          <w:color w:val="auto"/>
          <w:sz w:val="32"/>
          <w:szCs w:val="32"/>
        </w:rPr>
        <w:t>（一）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color w:val="auto"/>
          <w:sz w:val="32"/>
          <w:szCs w:val="32"/>
        </w:rPr>
        <w:t>经费财政拨款支出决算总体情况说明</w:t>
      </w:r>
    </w:p>
    <w:p w14:paraId="47419E89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2024年度“三公”经费财政拨款支出预算为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万元，支出决算为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万元，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决算数等于预算数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，主要原因是我单位严格按预算执行决算；与上年一致，无增减变动，主要原因是按有关政策厉行节约，严控“三公经费”支出。</w:t>
      </w:r>
    </w:p>
    <w:p w14:paraId="44C8E6BE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ascii="Times New Roman" w:hAnsi="Times New Roman" w:eastAsia="楷体_GB2312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楷体_GB2312" w:cs="Times New Roman"/>
          <w:b/>
          <w:color w:val="auto"/>
          <w:sz w:val="32"/>
          <w:szCs w:val="32"/>
        </w:rPr>
        <w:t>（二）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lang w:eastAsia="zh-CN"/>
        </w:rPr>
        <w:t>“三公”</w:t>
      </w:r>
      <w:r>
        <w:rPr>
          <w:rFonts w:ascii="Times New Roman" w:hAnsi="Times New Roman" w:eastAsia="楷体_GB2312" w:cs="Times New Roman"/>
          <w:b/>
          <w:color w:val="auto"/>
          <w:sz w:val="32"/>
          <w:szCs w:val="32"/>
        </w:rPr>
        <w:t>经费财政拨款支出决算具体情况说明</w:t>
      </w:r>
    </w:p>
    <w:p w14:paraId="150815E2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1.因公出国（境）费支出预算为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决算数等于预算数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，主要原因是我单位严格按预算执行决算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与上年一致，无增减变动，主要原因是未安排因公出国（境）活动。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2024年度安排因公出国（境）团组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个，累计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65FDED15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2.公务用车购置费及运行维护费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决算数等于预算数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与上年一致，无增减变动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。其中：</w:t>
      </w:r>
    </w:p>
    <w:p w14:paraId="4F6A14C2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公务用车购置费支出预算为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决算数等于预算数，主要原因是我单位严格按预算执行决算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与上年一致，无增减变动，主要原因是两年均未购置公务用车。本单位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更新公务用车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1147CCC6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务用车运行维护费支出预算为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决算数等于预算数，主要原因是我单位严格按预算执行决算；与上年一致，无增减变动，主要原因是两年均无公务用车需要运行维护。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截止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2024年12月31日，我单位开支财政拨款的公务用车保有量为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辆。</w:t>
      </w:r>
    </w:p>
    <w:p w14:paraId="5D6F1C59">
      <w:pPr>
        <w:pStyle w:val="12"/>
        <w:overflowPunct w:val="0"/>
        <w:autoSpaceDE/>
        <w:autoSpaceDN/>
        <w:spacing w:line="600" w:lineRule="exact"/>
        <w:ind w:firstLine="640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公务接待费支出预算为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万元，支出决算为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决算数等于预算数，主要原因是严格执行中央八项规定；与上年一致，无增减变动，主要原因是按有关政策厉行节约，严控公务接待支出。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2024年度共接待来访团组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个、来宾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3D06ACE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Times New Roman" w:hAnsi="Times New Roman" w:eastAsia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lang w:eastAsia="zh-CN"/>
        </w:rPr>
        <w:t>十</w:t>
      </w:r>
      <w:r>
        <w:rPr>
          <w:rFonts w:hint="eastAsia" w:ascii="Times New Roman" w:hAnsi="Times New Roman" w:eastAsia="仿宋_GB2312"/>
          <w:b/>
          <w:color w:val="auto"/>
          <w:sz w:val="32"/>
          <w:szCs w:val="32"/>
        </w:rPr>
        <w:t>、关于机关运行经费支出说明</w:t>
      </w:r>
    </w:p>
    <w:p w14:paraId="38BA3ACD">
      <w:pPr>
        <w:pStyle w:val="12"/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年度机关运行经费支出708.91万元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其中财政代扣工会经费618.7万元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实际运行经费支出90.21万元，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主要是</w:t>
      </w:r>
      <w:r>
        <w:rPr>
          <w:rFonts w:hint="eastAsia" w:ascii="Times New Roman" w:hAnsi="Times New Roman" w:eastAsia="仿宋_GB2312"/>
          <w:sz w:val="32"/>
          <w:szCs w:val="32"/>
        </w:rPr>
        <w:t>办公费、水费、电费、物业管理费、工会经费、委托业务费、福利费、其他交通费用、其他商品和服务支出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决算数等于预算数，主要原因是我单位严格按预算执行决算；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比上年决算数增加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39.67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万元，增长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78.5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交通补贴2024年纳入财政，支出金额为31.18万元</w:t>
      </w:r>
      <w:r>
        <w:rPr>
          <w:rFonts w:hint="eastAsia" w:ascii="楷体" w:hAnsi="楷体" w:eastAsia="楷体" w:cs="楷体"/>
          <w:color w:val="auto"/>
          <w:sz w:val="32"/>
          <w:szCs w:val="32"/>
        </w:rPr>
        <w:t>。</w:t>
      </w:r>
    </w:p>
    <w:p w14:paraId="39684EF2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、一般性支出情况说明</w:t>
      </w:r>
    </w:p>
    <w:p w14:paraId="362F9A0F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年度，本单位无会议费的预算和支出决算数；本单位无培训费的预算和支出决算数；本单位无举办节庆、晚会、论坛、赛事等活动的预算和支出决算数。</w:t>
      </w:r>
    </w:p>
    <w:p w14:paraId="252D0BEE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十</w:t>
      </w:r>
      <w:r>
        <w:rPr>
          <w:rFonts w:hint="eastAsia" w:hAnsi="黑体" w:cs="黑体"/>
          <w:b w:val="0"/>
          <w:bCs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、关于政府采购支出说明</w:t>
      </w:r>
    </w:p>
    <w:p w14:paraId="087F52B8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本部门202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年度政府采购支出总额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万元，其中：政府采购货物支出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万元、政府采购工程支出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万元、政府采购服务支出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万元。授予中小企业合同金额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（由于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政府采购支出总额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0，故无法计算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占政府采购支出总额的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，其中：授予小微企业合同金额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（由于授予中小企业合同金额为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0，故无法计算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授予中小企业合同金额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。货物采购授予中小企业合同金额占货物支出金额的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，工程采购授予中小企业合同金额占工程支出金额的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，服务采购授予中小企业合同金额占服务支出金额的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比重，由于以上各项合同金额为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0，故无法计算各项占比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</w:t>
      </w:r>
    </w:p>
    <w:p w14:paraId="246A0DF6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、关于国有资产占用情况说明</w:t>
      </w:r>
    </w:p>
    <w:p w14:paraId="6800A37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/>
          <w:color w:val="auto"/>
          <w:sz w:val="32"/>
          <w:szCs w:val="32"/>
          <w:lang w:val="en-US" w:eastAsia="zh-CN"/>
        </w:rPr>
        <w:t>截至2024年12月31日，本单位共有车辆0辆，其中，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副部（省）级及以上领导用车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主要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负责人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机要通信用车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辆、应急保障用车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辆、执法执勤用车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辆、特种专业技术用车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离退休干部服务用车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辆、其他用车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辆；单位价值100万元以上设备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（不含车辆）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台（套）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 w14:paraId="0A8224AC"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8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十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、关于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202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年度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预算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绩效</w:t>
      </w:r>
      <w:r>
        <w:rPr>
          <w:rFonts w:hint="eastAsia" w:hAnsi="黑体" w:cs="黑体"/>
          <w:b w:val="0"/>
          <w:bCs/>
          <w:color w:val="auto"/>
          <w:sz w:val="32"/>
          <w:szCs w:val="32"/>
          <w:highlight w:val="none"/>
          <w:lang w:eastAsia="zh-CN"/>
        </w:rPr>
        <w:t>管理</w:t>
      </w: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  <w:highlight w:val="none"/>
        </w:rPr>
        <w:t>情况的说明</w:t>
      </w:r>
    </w:p>
    <w:p w14:paraId="0EB60D67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（一）绩效评价工作开展情况</w:t>
      </w:r>
    </w:p>
    <w:p w14:paraId="00C7F3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绩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效自评开展情况。</w:t>
      </w:r>
    </w:p>
    <w:p w14:paraId="014FC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根据预算绩效管理要求，我们组织对2024年度整体支出和项目资金实施了全覆盖性的绩效评价，撰写了绩效自评报告。</w:t>
      </w:r>
    </w:p>
    <w:p w14:paraId="27B444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组织开展整体支出绩效评价，涉及一般公共预算支出2951.83万元，政府性基金预算支出0万元，国有资本经营预算支出0万元。从评价情况来看，整体支出绩效评价中，2024年整体支出2951.83万元，其中：基本支出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2019.15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万元，项目支出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932.68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万元，本单位整体支出绩效自评综合评分98分，评价结果等次为优秀。</w:t>
      </w:r>
    </w:p>
    <w:p w14:paraId="51B53E47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组织对一般公共预算项目支出全面开展绩效自评，项目1个，共涉及资金100万元，占一般公共预算项目支出总额的11%。组织对政府性基金预算项目支出开展绩效自评，项目0个，共涉及资金0万元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（由于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政府性基金预算项目支出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0，故无法计算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政府性基金预算项目支出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。组织对国有资本经营预算项目支出开展绩效自评，项目0个，共涉及资金0万元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（由于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国有资本经营预算项目支出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金额为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0，故无法计算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占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国有资本经营预算项目支出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金额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比重）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-SA"/>
        </w:rPr>
        <w:t>。从评价情况来看，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0"/>
          <w:sz w:val="32"/>
          <w:szCs w:val="32"/>
          <w:lang w:val="en-US" w:eastAsia="zh-CN" w:bidi="ar-SA"/>
        </w:rPr>
        <w:t>项目绩效自评得分100分，评价结果等次为优秀。</w:t>
      </w:r>
    </w:p>
    <w:p w14:paraId="0108DB94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部门评价开展情况。</w:t>
      </w:r>
      <w:r>
        <w:rPr>
          <w:rFonts w:ascii="Times New Roman" w:hAnsi="Times New Roman" w:eastAsia="仿宋_GB2312" w:cs="Times New Roman"/>
          <w:kern w:val="0"/>
          <w:sz w:val="32"/>
          <w:szCs w:val="32"/>
        </w:rPr>
        <w:t>组织对</w:t>
      </w:r>
      <w:r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  <w:t>所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属单位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2024年度“</w:t>
      </w:r>
      <w:r>
        <w:rPr>
          <w:rFonts w:hint="eastAsia" w:ascii="仿宋_GB2312" w:hAnsi="仿宋_GB2312" w:eastAsia="仿宋_GB2312" w:cs="仿宋_GB2312"/>
          <w:sz w:val="32"/>
          <w:szCs w:val="32"/>
        </w:rPr>
        <w:t>市财政帮扶资金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”项目开展了部门评价，涉及一般公共预算支出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万元，政府性基金预算支出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万元，国有资本经营预算支出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万元，社会保险基金预算支出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 w14:paraId="2B23DD89">
      <w:pPr>
        <w:overflowPunct w:val="0"/>
        <w:spacing w:line="600" w:lineRule="exact"/>
        <w:ind w:firstLine="640" w:firstLineChars="200"/>
        <w:rPr>
          <w:rFonts w:hint="eastAsia" w:ascii="Times New Roman" w:hAnsi="Times New Roman" w:eastAsia="仿宋_GB2312" w:cs="Times New Roman"/>
          <w:color w:val="FF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事前绩效评估开展情况。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本单位及所属单位本年度未新增重大政策和重大项目，所以无事前绩效评估开展情况。</w:t>
      </w:r>
    </w:p>
    <w:p w14:paraId="6FC8205B">
      <w:pPr>
        <w:overflowPunct w:val="0"/>
        <w:spacing w:line="600" w:lineRule="exact"/>
        <w:ind w:firstLine="640" w:firstLineChars="200"/>
        <w:rPr>
          <w:rFonts w:ascii="Times New Roman" w:hAnsi="Times New Roman" w:eastAsia="楷体_GB2312" w:cs="Times New Roman"/>
          <w:b/>
          <w:bCs/>
          <w:sz w:val="32"/>
          <w:szCs w:val="32"/>
        </w:rPr>
      </w:pPr>
      <w:r>
        <w:rPr>
          <w:rFonts w:ascii="Times New Roman" w:hAnsi="Times New Roman" w:eastAsia="楷体_GB2312" w:cs="Times New Roman"/>
          <w:b/>
          <w:bCs/>
          <w:sz w:val="32"/>
          <w:szCs w:val="32"/>
        </w:rPr>
        <w:t>（二）绩效评价结果</w:t>
      </w:r>
    </w:p>
    <w:p w14:paraId="3F3237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绩效自评结果。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2024年度本部门（单位）整体支出</w:t>
      </w:r>
      <w:r>
        <w:rPr>
          <w:rFonts w:hint="eastAsia" w:ascii="仿宋_GB2312" w:hAnsi="仿宋_GB2312" w:eastAsia="仿宋_GB2312" w:cs="仿宋_GB2312"/>
          <w:sz w:val="32"/>
          <w:szCs w:val="32"/>
        </w:rPr>
        <w:t>全年预算数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2951.83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万元，执行数2951.83万元，完成预算的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，绩效自评得分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98</w:t>
      </w:r>
      <w:r>
        <w:rPr>
          <w:rFonts w:hint="eastAsia" w:ascii="仿宋_GB2312" w:hAnsi="仿宋_GB2312" w:eastAsia="仿宋_GB2312" w:cs="仿宋_GB2312"/>
          <w:sz w:val="32"/>
          <w:szCs w:val="32"/>
        </w:rPr>
        <w:t>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，评价等级为</w:t>
      </w:r>
      <w:r>
        <w:rPr>
          <w:rFonts w:hint="eastAsia" w:ascii="仿宋_GB2312" w:hAnsi="仿宋_GB2312" w:eastAsia="仿宋_GB2312" w:cs="仿宋_GB231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优秀</w:t>
      </w:r>
      <w:r>
        <w:rPr>
          <w:rFonts w:hint="eastAsia" w:ascii="仿宋_GB2312" w:hAnsi="仿宋_GB2312" w:eastAsia="仿宋_GB2312" w:cs="仿宋_GB2312"/>
          <w:sz w:val="32"/>
          <w:szCs w:val="32"/>
        </w:rPr>
        <w:t>”。绩效目标完成情况：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广泛深入开展“中国梦·劳动美”主题宣传教育，举办周末课堂、职工学堂、劳模讲堂40多场，班子成员带头赴基层宣讲20多场次，推动党的创新理论和中国工会十八大、省工会十七大精神进企业、进车间、进班组。组织工会干部认真研读党的二十大报告、党章和习近平总书记著作，深入学习《习近平关于工人阶级和工会工作论述摘编》，举办读书班4期，撰写心得体会300多篇。线上开展学习中国工会十八大精神有奖竞答，4.85万人次参与。举办全市“中国梦·劳动美”首届职工篮球赛，43支队伍、600多名职工代表参赛。举办“学习二十大 奋进新征程”全市职工演讲比赛暨全民阅读“书香工会·悦读悦美”职工阅读征文活动，展示新时代职工风采。举办红色电影《八百矿工上井冈》岳阳首映式，组织近5万名工会会员观影。高规格举办岳阳市庆祝“五一”国际劳动节大会暨“深化‘三个十’ 争先创一流”劳动竞赛启动仪式，市四大家主要领导全部出席，市委、市政府主要领导联名发出“五一”慰问信，全市劳模向广大职工发出劳动竞赛倡议书。组织实施九大重点产业链示范性劳动竞赛活动、岳阳市制造业创新性技能比武活动、“守护好一江碧水”引领性竞赛活动，联合举办全市中医药职业技能竞赛、岳阳黄茶（机械）制茶师大赛、全市女职工芙蓉公益讲师竞赛等20多项市级职业技能竞赛活动，推进女职工第十轮“芙蓉杯”竞赛，带动各行各业广泛开展技能比武、岗位练兵、创新创效等竞赛活动，参赛职工超过30万人次。</w:t>
      </w:r>
      <w:r>
        <w:rPr>
          <w:rFonts w:ascii="Times New Roman" w:hAnsi="Times New Roman" w:eastAsia="仿宋_GB2312" w:cs="Times New Roman"/>
          <w:sz w:val="32"/>
          <w:szCs w:val="32"/>
        </w:rPr>
        <w:t>发现的主要问题及原因：一是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存在预算管理不足，绩效评价结果应用制度不完善，跨年项目资金安排科学性不足，导致资金沉淀；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二是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资金使用效益待提升、项目库管理薄弱，部分项目因事前评估不足未能如期开展，影响执行进度</w:t>
      </w:r>
      <w:r>
        <w:rPr>
          <w:rFonts w:ascii="Times New Roman" w:hAnsi="Times New Roman" w:eastAsia="仿宋_GB2312" w:cs="Times New Roman"/>
          <w:sz w:val="32"/>
          <w:szCs w:val="32"/>
        </w:rPr>
        <w:t>。下一步改进措施：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一是加强制度建设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完善财务管理制度，强化绩效结果应用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二是优化资金分配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通过定额补助与费用控制提高资金使用精准度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三是提升人员能力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加强预算绩效管理培训，增强科学编制与动态监控能力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四是创新工会财务管理和监督检查机制，全面启用预算项目库，积极推进工会电子票据改革，依托工会经审信息化工作云平台，全面实施预算绩效管理，加强对基层单位经费收缴、预决算管理、会计核算的监督管理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扎实开展工会资金资产专项监督检查。</w:t>
      </w:r>
    </w:p>
    <w:p w14:paraId="1F555EDA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</w:rPr>
        <w:t>部门评价结果。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市财政帮扶资金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项目全年预算数100万元，执行数100万元，完成预算的100%，部门评价得分100分，评价等级为“优秀”。发现的主要问题及原因：一是基层单位台账管理不规范，部分县市区将中央财政帮扶资金和省财政、市财政资金台账混装，难以精准区分资金台账；二是申报资料未集中管理，将会议记录、实名制汇总表、职工申请资料等分多部室存放，未进行集中整理与管理。下一步改进措施：一是提升资料管理水平，加强对基层工会帮扶资料的监督检查，督促开展资料归类整理；二是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提高资金使用效率，资金拨付后，督促各单位及时使用相关资金。</w:t>
      </w:r>
    </w:p>
    <w:p w14:paraId="594CEC69">
      <w:pPr>
        <w:overflowPunct w:val="0"/>
        <w:spacing w:line="600" w:lineRule="exact"/>
        <w:ind w:firstLine="640" w:firstLineChars="200"/>
        <w:rPr>
          <w:rFonts w:ascii="Times New Roman" w:hAnsi="Times New Roman" w:eastAsia="仿宋_GB2312" w:cs="Times New Roman"/>
          <w:color w:val="auto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highlight w:val="none"/>
          <w:lang w:val="en-US" w:eastAsia="zh-CN"/>
        </w:rPr>
        <w:t>事</w:t>
      </w:r>
      <w:r>
        <w:rPr>
          <w:rFonts w:ascii="Times New Roman" w:hAnsi="Times New Roman" w:eastAsia="仿宋_GB2312" w:cs="Times New Roman"/>
          <w:b/>
          <w:bCs/>
          <w:kern w:val="0"/>
          <w:sz w:val="32"/>
          <w:szCs w:val="32"/>
          <w:highlight w:val="none"/>
        </w:rPr>
        <w:t>前绩效评估结果。</w:t>
      </w:r>
      <w:r>
        <w:rPr>
          <w:rFonts w:hint="eastAsia" w:ascii="Times New Roman" w:hAnsi="Times New Roman" w:eastAsia="仿宋_GB2312" w:cs="Times New Roman"/>
          <w:color w:val="auto"/>
          <w:kern w:val="0"/>
          <w:sz w:val="32"/>
          <w:szCs w:val="32"/>
          <w:lang w:val="en-US" w:eastAsia="zh-CN"/>
        </w:rPr>
        <w:t>本单位及所属单位本年度未开展事前绩效评估，所以无事前绩效评估结果。</w:t>
      </w:r>
    </w:p>
    <w:p w14:paraId="2C89E516">
      <w:pPr>
        <w:numPr>
          <w:ilvl w:val="0"/>
          <w:numId w:val="2"/>
        </w:numPr>
        <w:autoSpaceDE w:val="0"/>
        <w:autoSpaceDN w:val="0"/>
        <w:adjustRightInd w:val="0"/>
        <w:ind w:firstLine="640" w:firstLineChars="200"/>
        <w:jc w:val="left"/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</w:pPr>
      <w:r>
        <w:rPr>
          <w:rFonts w:ascii="Times New Roman" w:hAnsi="Times New Roman" w:eastAsia="楷体_GB2312" w:cs="Times New Roman"/>
          <w:b/>
          <w:bCs/>
          <w:color w:val="auto"/>
          <w:kern w:val="2"/>
          <w:sz w:val="32"/>
          <w:szCs w:val="32"/>
          <w:highlight w:val="none"/>
        </w:rPr>
        <w:t>评价结果应用情况</w:t>
      </w:r>
    </w:p>
    <w:p w14:paraId="5E8AD5A5">
      <w:pPr>
        <w:autoSpaceDE w:val="0"/>
        <w:autoSpaceDN w:val="0"/>
        <w:adjustRightInd w:val="0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认真分析应用2024年绩效评价结果，指导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部门2025年度预算安排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支出结构调整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资金管理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制度建设等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工作。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围绕工会中心工作，切实保障重点工作开展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科学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编制预算支出，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充分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体现工会工作特点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优化支出结构，资金使用重点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保障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职工权益维护、职工服务和工会活动等方面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预算及预算调整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严格报财政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审批。预算执行方面，严格遵守财务制度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采购制度，设备工具购置等支出经过有关专业部门审核，严格控制行政支出，专项资金做到专款专用。</w:t>
      </w:r>
    </w:p>
    <w:p w14:paraId="62BEA247">
      <w:pPr>
        <w:pStyle w:val="2"/>
        <w:rPr>
          <w:rFonts w:hint="eastAsia"/>
          <w:lang w:val="en-US" w:eastAsia="zh-CN"/>
        </w:rPr>
      </w:pPr>
    </w:p>
    <w:p w14:paraId="47586AB8">
      <w:pPr>
        <w:numPr>
          <w:ilvl w:val="0"/>
          <w:numId w:val="0"/>
        </w:numPr>
        <w:autoSpaceDE w:val="0"/>
        <w:autoSpaceDN w:val="0"/>
        <w:adjustRightInd w:val="0"/>
        <w:jc w:val="left"/>
        <w:rPr>
          <w:rFonts w:hint="eastAsia" w:ascii="楷体" w:hAnsi="楷体" w:eastAsia="楷体" w:cs="楷体"/>
          <w:b/>
          <w:bCs/>
          <w:i w:val="0"/>
          <w:iCs w:val="0"/>
          <w:color w:val="FF0000"/>
          <w:kern w:val="0"/>
          <w:sz w:val="36"/>
          <w:szCs w:val="36"/>
          <w:lang w:val="en-US" w:eastAsia="zh-CN"/>
        </w:rPr>
      </w:pPr>
    </w:p>
    <w:p w14:paraId="147E06D0">
      <w:pPr>
        <w:pStyle w:val="12"/>
        <w:jc w:val="both"/>
        <w:rPr>
          <w:rFonts w:hint="eastAsia" w:ascii="方正小标宋_GBK" w:hAnsi="方正小标宋_GBK" w:eastAsia="方正小标宋_GBK" w:cs="方正小标宋_GBK"/>
          <w:sz w:val="24"/>
          <w:szCs w:val="24"/>
        </w:rPr>
      </w:pPr>
    </w:p>
    <w:p w14:paraId="3D83FDA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FB6F211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67A84D9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3A01B6B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75C1000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6A5A782C">
      <w:pPr>
        <w:pStyle w:val="12"/>
        <w:jc w:val="center"/>
        <w:rPr>
          <w:rFonts w:hint="eastAsia" w:ascii="方正小标宋_GBK" w:hAnsi="方正小标宋_GBK" w:eastAsia="方正小标宋_GBK" w:cs="方正小标宋_GBK"/>
          <w:sz w:val="72"/>
          <w:szCs w:val="72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第四部分</w:t>
      </w:r>
    </w:p>
    <w:p w14:paraId="2DDD6447">
      <w:pPr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</w:pPr>
    </w:p>
    <w:p w14:paraId="41992F86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70"/>
          <w:szCs w:val="70"/>
        </w:rPr>
        <w:t>名词解释</w:t>
      </w:r>
    </w:p>
    <w:p w14:paraId="571298D0">
      <w:pPr>
        <w:pStyle w:val="2"/>
      </w:pPr>
    </w:p>
    <w:p w14:paraId="5331F884">
      <w:pPr>
        <w:pStyle w:val="3"/>
      </w:pPr>
    </w:p>
    <w:p w14:paraId="2CCAD852"/>
    <w:p w14:paraId="440E89DF">
      <w:pPr>
        <w:pStyle w:val="2"/>
      </w:pPr>
    </w:p>
    <w:p w14:paraId="645B9B76">
      <w:pPr>
        <w:pStyle w:val="3"/>
      </w:pPr>
    </w:p>
    <w:p w14:paraId="539F25AC"/>
    <w:p w14:paraId="47AFAB8F">
      <w:pPr>
        <w:pStyle w:val="2"/>
      </w:pPr>
    </w:p>
    <w:p w14:paraId="479D6353">
      <w:pPr>
        <w:pStyle w:val="3"/>
      </w:pPr>
    </w:p>
    <w:p w14:paraId="648103ED"/>
    <w:p w14:paraId="08A5EA8F">
      <w:pPr>
        <w:pStyle w:val="2"/>
      </w:pPr>
    </w:p>
    <w:p w14:paraId="3FD0BAB6">
      <w:pPr>
        <w:pStyle w:val="3"/>
      </w:pPr>
    </w:p>
    <w:p w14:paraId="1CAE18D7"/>
    <w:p w14:paraId="5994BDDC">
      <w:pPr>
        <w:pStyle w:val="2"/>
      </w:pPr>
    </w:p>
    <w:p w14:paraId="51F60F8D">
      <w:pPr>
        <w:pStyle w:val="3"/>
      </w:pPr>
    </w:p>
    <w:p w14:paraId="715B8195"/>
    <w:p w14:paraId="3F608935">
      <w:pPr>
        <w:pStyle w:val="2"/>
      </w:pPr>
    </w:p>
    <w:p w14:paraId="274FE3C9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1741E604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93F6BC2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 w14:paraId="754BC716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一、“三公”经费：指用财政拨款安排的因公出国（境）费、公务用车购置及运行费和公务接待费。其中，因公出国（境）费反映出国（境）的住宿费、旅费、伙食补助费、杂费、培训费等支出；公务用车购置及运行费反映单位公务用车购置费及租用费、燃料费、维修费、过路过桥费、保险费、安全奖励费用等支出；公务接待费反映单位按规定开支的各类公务接待（含外宾接待）支出。</w:t>
      </w:r>
    </w:p>
    <w:p w14:paraId="575346AC">
      <w:pPr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二、机关运行经费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，指为保障行政单位（包括参照公务员法管理的事业单位）运行用于购买货物和服务的各项资金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，包括办公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费、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印刷费、邮电费、差旅费、会议费、日常维修费、专用材料及一般设备购置费、办公用房水电费、办公用房取暖费、办公用房物业管理费、公务用车运行维护费以及其他费用。</w:t>
      </w:r>
    </w:p>
    <w:p w14:paraId="4A4E5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/>
          <w:bCs/>
          <w:i/>
          <w:color w:val="FF0000"/>
          <w:kern w:val="0"/>
          <w:sz w:val="32"/>
          <w:szCs w:val="32"/>
          <w:lang w:val="en-US" w:eastAsia="zh-CN" w:bidi="ar-SA"/>
        </w:rPr>
      </w:pPr>
    </w:p>
    <w:p w14:paraId="2AE81CE8">
      <w:pPr>
        <w:pStyle w:val="12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D47518A">
      <w:pPr>
        <w:pStyle w:val="3"/>
      </w:pPr>
    </w:p>
    <w:p w14:paraId="580CF8E4"/>
    <w:p w14:paraId="0C17744C">
      <w:pPr>
        <w:pStyle w:val="2"/>
      </w:pPr>
    </w:p>
    <w:p w14:paraId="7B8BABF4">
      <w:pPr>
        <w:pStyle w:val="3"/>
      </w:pPr>
    </w:p>
    <w:p w14:paraId="1942C0DC"/>
    <w:p w14:paraId="6E2D1EEF">
      <w:pPr>
        <w:pStyle w:val="2"/>
      </w:pPr>
    </w:p>
    <w:p w14:paraId="5F6ABC3B">
      <w:pPr>
        <w:pStyle w:val="3"/>
      </w:pPr>
    </w:p>
    <w:p w14:paraId="51BE6437"/>
    <w:p w14:paraId="05344CBA">
      <w:pPr>
        <w:pStyle w:val="2"/>
      </w:pPr>
    </w:p>
    <w:p w14:paraId="5C9170AD">
      <w:pPr>
        <w:pStyle w:val="3"/>
      </w:pPr>
    </w:p>
    <w:p w14:paraId="29D3A91E"/>
    <w:p w14:paraId="0D2A994E">
      <w:pPr>
        <w:pStyle w:val="2"/>
      </w:pPr>
    </w:p>
    <w:p w14:paraId="59CBCCA7">
      <w:pPr>
        <w:pStyle w:val="3"/>
      </w:pPr>
    </w:p>
    <w:p w14:paraId="67806EBD"/>
    <w:p w14:paraId="7C18BB03">
      <w:pPr>
        <w:pStyle w:val="2"/>
      </w:pPr>
    </w:p>
    <w:p w14:paraId="29230CAD">
      <w:pPr>
        <w:pStyle w:val="3"/>
      </w:pPr>
    </w:p>
    <w:p w14:paraId="724E0A54"/>
    <w:p w14:paraId="496F732E">
      <w:pPr>
        <w:pStyle w:val="2"/>
      </w:pPr>
    </w:p>
    <w:p w14:paraId="354ECFD8">
      <w:pPr>
        <w:pStyle w:val="3"/>
      </w:pPr>
    </w:p>
    <w:p w14:paraId="51C67B38"/>
    <w:p w14:paraId="4D131F3E"/>
    <w:p w14:paraId="7CFBCE3C">
      <w:pPr>
        <w:pStyle w:val="2"/>
      </w:pPr>
    </w:p>
    <w:p w14:paraId="5C3DE094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23B73916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45BA0007">
      <w:pPr>
        <w:pStyle w:val="12"/>
        <w:jc w:val="both"/>
        <w:rPr>
          <w:rFonts w:hint="eastAsia" w:ascii="方正小标宋_GBK" w:hAnsi="方正小标宋_GBK" w:eastAsia="方正小标宋_GBK" w:cs="方正小标宋_GBK"/>
          <w:sz w:val="72"/>
          <w:szCs w:val="72"/>
        </w:rPr>
      </w:pPr>
    </w:p>
    <w:p w14:paraId="0C1858E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第</w:t>
      </w:r>
      <w:r>
        <w:rPr>
          <w:rFonts w:hint="eastAsia" w:ascii="方正小标宋_GBK" w:hAnsi="方正小标宋_GBK" w:eastAsia="方正小标宋_GBK" w:cs="方正小标宋_GBK"/>
          <w:sz w:val="72"/>
          <w:szCs w:val="72"/>
          <w:lang w:eastAsia="zh-CN"/>
        </w:rPr>
        <w:t>五</w:t>
      </w:r>
      <w:r>
        <w:rPr>
          <w:rFonts w:hint="eastAsia" w:ascii="方正小标宋_GBK" w:hAnsi="方正小标宋_GBK" w:eastAsia="方正小标宋_GBK" w:cs="方正小标宋_GBK"/>
          <w:sz w:val="72"/>
          <w:szCs w:val="72"/>
        </w:rPr>
        <w:t>部分</w:t>
      </w:r>
    </w:p>
    <w:p w14:paraId="592BF6CA">
      <w:pPr>
        <w:pStyle w:val="12"/>
        <w:jc w:val="both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</w:p>
    <w:p w14:paraId="490142D3">
      <w:pPr>
        <w:pStyle w:val="12"/>
        <w:jc w:val="center"/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附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val="en-US" w:eastAsia="zh-CN"/>
        </w:rPr>
        <w:t xml:space="preserve"> </w:t>
      </w:r>
      <w:r>
        <w:rPr>
          <w:rFonts w:hint="eastAsia" w:ascii="方正小标宋_GBK" w:hAnsi="方正小标宋_GBK" w:eastAsia="方正小标宋_GBK" w:cs="方正小标宋_GBK"/>
          <w:sz w:val="70"/>
          <w:szCs w:val="70"/>
          <w:lang w:eastAsia="zh-CN"/>
        </w:rPr>
        <w:t>件</w:t>
      </w:r>
    </w:p>
    <w:p w14:paraId="3243C04E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</w:p>
    <w:p w14:paraId="4EAC9354">
      <w:pPr>
        <w:ind w:firstLine="640" w:firstLineChars="200"/>
        <w:jc w:val="left"/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1、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年部门决算公开表格</w:t>
      </w:r>
    </w:p>
    <w:p w14:paraId="27E2EE8B">
      <w:pPr>
        <w:ind w:firstLine="640" w:firstLineChars="200"/>
        <w:jc w:val="left"/>
        <w:rPr>
          <w:rFonts w:ascii="宋体" w:hAnsi="宋体" w:eastAsia="宋体" w:cs="黑体"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lang w:val="en-US" w:eastAsia="zh-CN"/>
        </w:rPr>
        <w:t>2、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</w:rPr>
        <w:t>202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宋体" w:hAnsi="宋体" w:eastAsia="宋体" w:cs="黑体"/>
          <w:b/>
          <w:color w:val="000000"/>
          <w:kern w:val="0"/>
          <w:sz w:val="32"/>
          <w:szCs w:val="32"/>
        </w:rPr>
        <w:t>年度部门整体支出绩效评价报告</w:t>
      </w:r>
    </w:p>
    <w:p w14:paraId="045AD96C"/>
    <w:sectPr>
      <w:pgSz w:w="11906" w:h="16838"/>
      <w:pgMar w:top="720" w:right="720" w:bottom="720" w:left="720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EDECFD4"/>
    <w:multiLevelType w:val="singleLevel"/>
    <w:tmpl w:val="8EDECFD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73518C1"/>
    <w:multiLevelType w:val="multilevel"/>
    <w:tmpl w:val="373518C1"/>
    <w:lvl w:ilvl="0" w:tentative="0">
      <w:start w:val="1"/>
      <w:numFmt w:val="none"/>
      <w:lvlText w:val="一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6F9"/>
    <w:rsid w:val="0002229B"/>
    <w:rsid w:val="000273BD"/>
    <w:rsid w:val="00040CBC"/>
    <w:rsid w:val="000415B7"/>
    <w:rsid w:val="00041E3F"/>
    <w:rsid w:val="00055DAA"/>
    <w:rsid w:val="00061F7B"/>
    <w:rsid w:val="000658A3"/>
    <w:rsid w:val="00074155"/>
    <w:rsid w:val="000A3F69"/>
    <w:rsid w:val="00103957"/>
    <w:rsid w:val="00152C6D"/>
    <w:rsid w:val="00162D39"/>
    <w:rsid w:val="001678BD"/>
    <w:rsid w:val="00182373"/>
    <w:rsid w:val="001A67DB"/>
    <w:rsid w:val="001C3C29"/>
    <w:rsid w:val="001D51E5"/>
    <w:rsid w:val="001E080D"/>
    <w:rsid w:val="001E53D0"/>
    <w:rsid w:val="001F0C3B"/>
    <w:rsid w:val="00202C82"/>
    <w:rsid w:val="00214427"/>
    <w:rsid w:val="00226CB7"/>
    <w:rsid w:val="00264552"/>
    <w:rsid w:val="00264EF9"/>
    <w:rsid w:val="00265724"/>
    <w:rsid w:val="0027426B"/>
    <w:rsid w:val="002E0A30"/>
    <w:rsid w:val="003130C4"/>
    <w:rsid w:val="00316C4B"/>
    <w:rsid w:val="0032192B"/>
    <w:rsid w:val="003479BD"/>
    <w:rsid w:val="0037197D"/>
    <w:rsid w:val="003768D5"/>
    <w:rsid w:val="003926B9"/>
    <w:rsid w:val="003C47E6"/>
    <w:rsid w:val="003C4FC2"/>
    <w:rsid w:val="00416E61"/>
    <w:rsid w:val="0042790C"/>
    <w:rsid w:val="004506F9"/>
    <w:rsid w:val="004717A2"/>
    <w:rsid w:val="00473DF3"/>
    <w:rsid w:val="00487911"/>
    <w:rsid w:val="00491741"/>
    <w:rsid w:val="004B0CEE"/>
    <w:rsid w:val="00500E5F"/>
    <w:rsid w:val="005122EF"/>
    <w:rsid w:val="0051441A"/>
    <w:rsid w:val="00517C33"/>
    <w:rsid w:val="00517D5F"/>
    <w:rsid w:val="00523644"/>
    <w:rsid w:val="0054069E"/>
    <w:rsid w:val="00544866"/>
    <w:rsid w:val="005767CC"/>
    <w:rsid w:val="00590D9F"/>
    <w:rsid w:val="00595D26"/>
    <w:rsid w:val="005A74E6"/>
    <w:rsid w:val="005B404E"/>
    <w:rsid w:val="005D4D55"/>
    <w:rsid w:val="005E2CFB"/>
    <w:rsid w:val="005F2103"/>
    <w:rsid w:val="005F3D1C"/>
    <w:rsid w:val="0062378F"/>
    <w:rsid w:val="00641842"/>
    <w:rsid w:val="00651EEC"/>
    <w:rsid w:val="006534CD"/>
    <w:rsid w:val="00686673"/>
    <w:rsid w:val="00691E8C"/>
    <w:rsid w:val="006A22C4"/>
    <w:rsid w:val="006A351B"/>
    <w:rsid w:val="006B0422"/>
    <w:rsid w:val="006C1B53"/>
    <w:rsid w:val="006D7730"/>
    <w:rsid w:val="006E5284"/>
    <w:rsid w:val="006F3EB5"/>
    <w:rsid w:val="00702E34"/>
    <w:rsid w:val="00704395"/>
    <w:rsid w:val="00710FE7"/>
    <w:rsid w:val="00717621"/>
    <w:rsid w:val="00720FF1"/>
    <w:rsid w:val="00727A53"/>
    <w:rsid w:val="00787B42"/>
    <w:rsid w:val="007C4539"/>
    <w:rsid w:val="007F3657"/>
    <w:rsid w:val="00812ED5"/>
    <w:rsid w:val="008277D9"/>
    <w:rsid w:val="0084478C"/>
    <w:rsid w:val="0086638C"/>
    <w:rsid w:val="008A3E8D"/>
    <w:rsid w:val="009237C4"/>
    <w:rsid w:val="00944C48"/>
    <w:rsid w:val="00950252"/>
    <w:rsid w:val="00967F5D"/>
    <w:rsid w:val="009A0F95"/>
    <w:rsid w:val="009B3ADF"/>
    <w:rsid w:val="009B4D8E"/>
    <w:rsid w:val="009C3B52"/>
    <w:rsid w:val="009E6817"/>
    <w:rsid w:val="009E6E9A"/>
    <w:rsid w:val="00A01D2B"/>
    <w:rsid w:val="00A42218"/>
    <w:rsid w:val="00A70249"/>
    <w:rsid w:val="00A70B02"/>
    <w:rsid w:val="00A71D9F"/>
    <w:rsid w:val="00A92E9F"/>
    <w:rsid w:val="00AB18FF"/>
    <w:rsid w:val="00B33BEA"/>
    <w:rsid w:val="00B57C9F"/>
    <w:rsid w:val="00B63572"/>
    <w:rsid w:val="00B845B3"/>
    <w:rsid w:val="00B85D8B"/>
    <w:rsid w:val="00BB4A40"/>
    <w:rsid w:val="00BD6C3E"/>
    <w:rsid w:val="00BE3674"/>
    <w:rsid w:val="00C10681"/>
    <w:rsid w:val="00C3049A"/>
    <w:rsid w:val="00C31B1E"/>
    <w:rsid w:val="00C77645"/>
    <w:rsid w:val="00CE04C3"/>
    <w:rsid w:val="00CE76A0"/>
    <w:rsid w:val="00D148C6"/>
    <w:rsid w:val="00D17A8A"/>
    <w:rsid w:val="00D415BA"/>
    <w:rsid w:val="00D63780"/>
    <w:rsid w:val="00D644EE"/>
    <w:rsid w:val="00DD06FF"/>
    <w:rsid w:val="00DD5FE9"/>
    <w:rsid w:val="00E00C7A"/>
    <w:rsid w:val="00E37D6C"/>
    <w:rsid w:val="00E55B68"/>
    <w:rsid w:val="00E561AE"/>
    <w:rsid w:val="00E67BE6"/>
    <w:rsid w:val="00E8683C"/>
    <w:rsid w:val="00EA2B72"/>
    <w:rsid w:val="00F74360"/>
    <w:rsid w:val="00FB462F"/>
    <w:rsid w:val="00FE16FA"/>
    <w:rsid w:val="00FE328A"/>
    <w:rsid w:val="00FE6269"/>
    <w:rsid w:val="00FF5CD6"/>
    <w:rsid w:val="0104187B"/>
    <w:rsid w:val="016142F9"/>
    <w:rsid w:val="03234649"/>
    <w:rsid w:val="039D57BF"/>
    <w:rsid w:val="046E5FB2"/>
    <w:rsid w:val="04BD38C2"/>
    <w:rsid w:val="058F1702"/>
    <w:rsid w:val="059958AD"/>
    <w:rsid w:val="06783F44"/>
    <w:rsid w:val="06C857E7"/>
    <w:rsid w:val="06E80E34"/>
    <w:rsid w:val="073065CD"/>
    <w:rsid w:val="07A5520D"/>
    <w:rsid w:val="07CB4258"/>
    <w:rsid w:val="07F633B9"/>
    <w:rsid w:val="08601D9F"/>
    <w:rsid w:val="086603AD"/>
    <w:rsid w:val="089E6C4C"/>
    <w:rsid w:val="08C24A73"/>
    <w:rsid w:val="09873896"/>
    <w:rsid w:val="0A946786"/>
    <w:rsid w:val="0BBF43C3"/>
    <w:rsid w:val="0C1A0C5A"/>
    <w:rsid w:val="0CA041F5"/>
    <w:rsid w:val="0D576FA9"/>
    <w:rsid w:val="0E124C7E"/>
    <w:rsid w:val="0E7E0566"/>
    <w:rsid w:val="0F8041BF"/>
    <w:rsid w:val="100A5921"/>
    <w:rsid w:val="100B407B"/>
    <w:rsid w:val="11944E2C"/>
    <w:rsid w:val="11F8062F"/>
    <w:rsid w:val="12583BA5"/>
    <w:rsid w:val="12C93D24"/>
    <w:rsid w:val="12D76496"/>
    <w:rsid w:val="13294F44"/>
    <w:rsid w:val="1367781A"/>
    <w:rsid w:val="13B86E87"/>
    <w:rsid w:val="13BA5B9C"/>
    <w:rsid w:val="13C24A51"/>
    <w:rsid w:val="15113EE2"/>
    <w:rsid w:val="15587356"/>
    <w:rsid w:val="15E9631E"/>
    <w:rsid w:val="16D52CED"/>
    <w:rsid w:val="18AE09A4"/>
    <w:rsid w:val="18FF4051"/>
    <w:rsid w:val="1B6C53C4"/>
    <w:rsid w:val="1C874A89"/>
    <w:rsid w:val="1D97DEFF"/>
    <w:rsid w:val="1DFF72E5"/>
    <w:rsid w:val="1EB021AA"/>
    <w:rsid w:val="1EE95587"/>
    <w:rsid w:val="1EFC6F07"/>
    <w:rsid w:val="1F0527A6"/>
    <w:rsid w:val="214116AB"/>
    <w:rsid w:val="216B497A"/>
    <w:rsid w:val="21E64000"/>
    <w:rsid w:val="22AC03C2"/>
    <w:rsid w:val="230F7587"/>
    <w:rsid w:val="23270D74"/>
    <w:rsid w:val="243674C1"/>
    <w:rsid w:val="24B6415E"/>
    <w:rsid w:val="274517C9"/>
    <w:rsid w:val="283B15FE"/>
    <w:rsid w:val="28643ED1"/>
    <w:rsid w:val="287B4883"/>
    <w:rsid w:val="299C7645"/>
    <w:rsid w:val="29BF5862"/>
    <w:rsid w:val="29F13AF3"/>
    <w:rsid w:val="2A5561C7"/>
    <w:rsid w:val="2A5754BA"/>
    <w:rsid w:val="2AF14141"/>
    <w:rsid w:val="2B1716CE"/>
    <w:rsid w:val="2B5B15BB"/>
    <w:rsid w:val="2C325503"/>
    <w:rsid w:val="2D4B38B1"/>
    <w:rsid w:val="2E347893"/>
    <w:rsid w:val="2F5F7C84"/>
    <w:rsid w:val="2FDF85B8"/>
    <w:rsid w:val="2FFFEE04"/>
    <w:rsid w:val="304F71B0"/>
    <w:rsid w:val="30566085"/>
    <w:rsid w:val="316136A3"/>
    <w:rsid w:val="31C95635"/>
    <w:rsid w:val="33857B1D"/>
    <w:rsid w:val="33A1422B"/>
    <w:rsid w:val="34C604B3"/>
    <w:rsid w:val="34DF85B0"/>
    <w:rsid w:val="358B0CEF"/>
    <w:rsid w:val="360A255B"/>
    <w:rsid w:val="364A2958"/>
    <w:rsid w:val="36EF34FF"/>
    <w:rsid w:val="37952C9D"/>
    <w:rsid w:val="384855BD"/>
    <w:rsid w:val="38E946AA"/>
    <w:rsid w:val="3AF70BD4"/>
    <w:rsid w:val="3B8F36BC"/>
    <w:rsid w:val="3C4D6CFE"/>
    <w:rsid w:val="3D1E7194"/>
    <w:rsid w:val="3E8F1850"/>
    <w:rsid w:val="3F0F2C69"/>
    <w:rsid w:val="3F2521B4"/>
    <w:rsid w:val="409475F1"/>
    <w:rsid w:val="423170C2"/>
    <w:rsid w:val="42DD6902"/>
    <w:rsid w:val="42F8373B"/>
    <w:rsid w:val="43EB5BA5"/>
    <w:rsid w:val="440E76BA"/>
    <w:rsid w:val="447137A5"/>
    <w:rsid w:val="45513D03"/>
    <w:rsid w:val="463F7FFF"/>
    <w:rsid w:val="469320F9"/>
    <w:rsid w:val="46BF2EEE"/>
    <w:rsid w:val="46EE732F"/>
    <w:rsid w:val="47882990"/>
    <w:rsid w:val="49042E3A"/>
    <w:rsid w:val="4909059F"/>
    <w:rsid w:val="491FF225"/>
    <w:rsid w:val="49900B72"/>
    <w:rsid w:val="4BB548C0"/>
    <w:rsid w:val="4BB9615E"/>
    <w:rsid w:val="4CC34DBA"/>
    <w:rsid w:val="4D1B267D"/>
    <w:rsid w:val="4D553A2D"/>
    <w:rsid w:val="4D68046A"/>
    <w:rsid w:val="4D73233C"/>
    <w:rsid w:val="4E233976"/>
    <w:rsid w:val="4E9D1D67"/>
    <w:rsid w:val="4EC310A1"/>
    <w:rsid w:val="4EE96D5A"/>
    <w:rsid w:val="4FF418AD"/>
    <w:rsid w:val="4FFD214C"/>
    <w:rsid w:val="500B0F52"/>
    <w:rsid w:val="501E0C85"/>
    <w:rsid w:val="505C5F2A"/>
    <w:rsid w:val="50F419E6"/>
    <w:rsid w:val="51C0593B"/>
    <w:rsid w:val="52500BBD"/>
    <w:rsid w:val="52DE46FC"/>
    <w:rsid w:val="532145E9"/>
    <w:rsid w:val="5352765A"/>
    <w:rsid w:val="548E5CAE"/>
    <w:rsid w:val="558B03E9"/>
    <w:rsid w:val="561B6E32"/>
    <w:rsid w:val="573C6F6A"/>
    <w:rsid w:val="5777D4F5"/>
    <w:rsid w:val="57F22B6F"/>
    <w:rsid w:val="59DD8326"/>
    <w:rsid w:val="5AA224B3"/>
    <w:rsid w:val="5B323837"/>
    <w:rsid w:val="5CC93B2E"/>
    <w:rsid w:val="5DEF592A"/>
    <w:rsid w:val="5E1611EE"/>
    <w:rsid w:val="5E541D16"/>
    <w:rsid w:val="5EB56C59"/>
    <w:rsid w:val="5EDA1C7F"/>
    <w:rsid w:val="5FC6BB1E"/>
    <w:rsid w:val="5FF720F1"/>
    <w:rsid w:val="5FFA069B"/>
    <w:rsid w:val="61354081"/>
    <w:rsid w:val="61B7058E"/>
    <w:rsid w:val="622964C1"/>
    <w:rsid w:val="62775FD3"/>
    <w:rsid w:val="62B571A4"/>
    <w:rsid w:val="62D33B51"/>
    <w:rsid w:val="636C365E"/>
    <w:rsid w:val="63AE54B4"/>
    <w:rsid w:val="64833355"/>
    <w:rsid w:val="64D64BB0"/>
    <w:rsid w:val="65DA349F"/>
    <w:rsid w:val="66401FD1"/>
    <w:rsid w:val="665B0751"/>
    <w:rsid w:val="67FF5C0B"/>
    <w:rsid w:val="68692862"/>
    <w:rsid w:val="68784853"/>
    <w:rsid w:val="688C2176"/>
    <w:rsid w:val="68CB24E8"/>
    <w:rsid w:val="68CB3F5C"/>
    <w:rsid w:val="695031E1"/>
    <w:rsid w:val="6A1B7B8C"/>
    <w:rsid w:val="6BAA4A2F"/>
    <w:rsid w:val="6DCC18C9"/>
    <w:rsid w:val="6DDEC5C0"/>
    <w:rsid w:val="6E8E3022"/>
    <w:rsid w:val="6EB65C69"/>
    <w:rsid w:val="6EFC0924"/>
    <w:rsid w:val="6F5E29F5"/>
    <w:rsid w:val="6FB74722"/>
    <w:rsid w:val="6FEF8B7E"/>
    <w:rsid w:val="70003AAC"/>
    <w:rsid w:val="717FE77F"/>
    <w:rsid w:val="71A6591B"/>
    <w:rsid w:val="71EF202A"/>
    <w:rsid w:val="72BC63B0"/>
    <w:rsid w:val="736D76AA"/>
    <w:rsid w:val="737D59BA"/>
    <w:rsid w:val="737F32B1"/>
    <w:rsid w:val="73BD3FCA"/>
    <w:rsid w:val="746960C4"/>
    <w:rsid w:val="75930F1E"/>
    <w:rsid w:val="76641E45"/>
    <w:rsid w:val="76E2215D"/>
    <w:rsid w:val="776BDA01"/>
    <w:rsid w:val="77784870"/>
    <w:rsid w:val="77C11D73"/>
    <w:rsid w:val="77C16217"/>
    <w:rsid w:val="77C37683"/>
    <w:rsid w:val="77E41C59"/>
    <w:rsid w:val="787E5EB6"/>
    <w:rsid w:val="78917997"/>
    <w:rsid w:val="79FF515B"/>
    <w:rsid w:val="7A2605B3"/>
    <w:rsid w:val="7B0105C0"/>
    <w:rsid w:val="7DFBFF20"/>
    <w:rsid w:val="7E9E1962"/>
    <w:rsid w:val="7E9F11B4"/>
    <w:rsid w:val="7EF13114"/>
    <w:rsid w:val="7F37EC1E"/>
    <w:rsid w:val="7F4B443D"/>
    <w:rsid w:val="7F7C0DDA"/>
    <w:rsid w:val="7F7DCD9D"/>
    <w:rsid w:val="7F970A6F"/>
    <w:rsid w:val="7FC1FFF3"/>
    <w:rsid w:val="7FC69637"/>
    <w:rsid w:val="7FDF8620"/>
    <w:rsid w:val="7FFB242F"/>
    <w:rsid w:val="7FFDB408"/>
    <w:rsid w:val="7FFE4EEB"/>
    <w:rsid w:val="95FB2B98"/>
    <w:rsid w:val="9A639BC2"/>
    <w:rsid w:val="9FF7D786"/>
    <w:rsid w:val="ABBFB23D"/>
    <w:rsid w:val="B6BE5A03"/>
    <w:rsid w:val="B8C93228"/>
    <w:rsid w:val="C3B4DA5A"/>
    <w:rsid w:val="C4FF458C"/>
    <w:rsid w:val="C7BBD038"/>
    <w:rsid w:val="CBFF70E0"/>
    <w:rsid w:val="CFF50B82"/>
    <w:rsid w:val="CFFFAD89"/>
    <w:rsid w:val="DFFE359E"/>
    <w:rsid w:val="DFFE4FFD"/>
    <w:rsid w:val="DFFF5403"/>
    <w:rsid w:val="EBC3E00A"/>
    <w:rsid w:val="EDFBE100"/>
    <w:rsid w:val="EEABED75"/>
    <w:rsid w:val="EF7E8003"/>
    <w:rsid w:val="F56FDF51"/>
    <w:rsid w:val="F5F3EE78"/>
    <w:rsid w:val="F6B69F17"/>
    <w:rsid w:val="F6E5BB3A"/>
    <w:rsid w:val="F77F1D61"/>
    <w:rsid w:val="F7FED3A9"/>
    <w:rsid w:val="F8C9DB26"/>
    <w:rsid w:val="F97E8EAE"/>
    <w:rsid w:val="FB36E1A6"/>
    <w:rsid w:val="FB3BE134"/>
    <w:rsid w:val="FCFF4275"/>
    <w:rsid w:val="FD7FEEEA"/>
    <w:rsid w:val="FDFFB577"/>
    <w:rsid w:val="FEEA50FE"/>
    <w:rsid w:val="FF7D47A9"/>
    <w:rsid w:val="FFCF21CB"/>
    <w:rsid w:val="FFF94102"/>
    <w:rsid w:val="FFFF1C8B"/>
    <w:rsid w:val="FFFF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3"/>
    <w:semiHidden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Body Text First Indent 2"/>
    <w:basedOn w:val="4"/>
    <w:next w:val="1"/>
    <w:unhideWhenUsed/>
    <w:qFormat/>
    <w:uiPriority w:val="99"/>
    <w:pPr>
      <w:ind w:firstLine="420" w:firstLineChars="200"/>
    </w:pPr>
  </w:style>
  <w:style w:type="paragraph" w:styleId="4">
    <w:name w:val="Body Text Indent"/>
    <w:basedOn w:val="1"/>
    <w:next w:val="3"/>
    <w:unhideWhenUsed/>
    <w:qFormat/>
    <w:uiPriority w:val="99"/>
    <w:pPr>
      <w:widowControl/>
      <w:spacing w:after="120"/>
      <w:ind w:left="420" w:leftChars="200"/>
      <w:jc w:val="left"/>
    </w:pPr>
    <w:rPr>
      <w:rFonts w:ascii="宋体" w:hAnsi="宋体" w:eastAsia="宋体" w:cs="宋体"/>
      <w:kern w:val="0"/>
      <w:sz w:val="24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页眉 Char"/>
    <w:basedOn w:val="9"/>
    <w:link w:val="7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6"/>
    <w:qFormat/>
    <w:uiPriority w:val="99"/>
    <w:rPr>
      <w:sz w:val="18"/>
      <w:szCs w:val="18"/>
    </w:rPr>
  </w:style>
  <w:style w:type="paragraph" w:customStyle="1" w:styleId="12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5"/>
    <w:semiHidden/>
    <w:qFormat/>
    <w:uiPriority w:val="99"/>
    <w:rPr>
      <w:sz w:val="18"/>
      <w:szCs w:val="18"/>
    </w:rPr>
  </w:style>
  <w:style w:type="character" w:customStyle="1" w:styleId="15">
    <w:name w:val="font0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6">
    <w:name w:val="font2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1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19</Pages>
  <Words>7642</Words>
  <Characters>8240</Characters>
  <Lines>63</Lines>
  <Paragraphs>18</Paragraphs>
  <TotalTime>3</TotalTime>
  <ScaleCrop>false</ScaleCrop>
  <LinksUpToDate>false</LinksUpToDate>
  <CharactersWithSpaces>8267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2020-07-10T18:32:00Z</dcterms:created>
  <dc:creator>李航 null</dc:creator>
  <cp:lastModifiedBy>维生素</cp:lastModifiedBy>
  <cp:lastPrinted>2024-08-11T02:20:00Z</cp:lastPrinted>
  <dcterms:modified xsi:type="dcterms:W3CDTF">2025-09-24T08:48:33Z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98623D6660B449428EB8E073C6C952EA</vt:lpwstr>
  </property>
  <property fmtid="{D5CDD505-2E9C-101B-9397-08002B2CF9AE}" pid="4" name="KSOTemplateDocerSaveRecord">
    <vt:lpwstr>eyJoZGlkIjoiMTRkMzIxYjZhODU4MmFjNzU0NjEzYzBkNjZmYzViZWYiLCJ1c2VySWQiOiIzMTg2Njc4MjkifQ==</vt:lpwstr>
  </property>
</Properties>
</file>