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0DAB158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岳阳城陵矶综合保税区</w:t>
      </w:r>
    </w:p>
    <w:p w14:paraId="27B6353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管理委员会</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决算</w:t>
      </w:r>
    </w:p>
    <w:p w14:paraId="2E4BD71C">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5AA4AFCB">
      <w:pPr>
        <w:pStyle w:val="13"/>
        <w:spacing w:line="500" w:lineRule="exact"/>
        <w:jc w:val="center"/>
        <w:rPr>
          <w:rFonts w:hint="eastAsia"/>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岳阳城陵矶综合保税区管理委员会</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060CB1DC">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keepNext w:val="0"/>
        <w:keepLines w:val="0"/>
        <w:pageBreakBefore w:val="0"/>
        <w:widowControl w:val="0"/>
        <w:kinsoku/>
        <w:wordWrap/>
        <w:overflowPunct/>
        <w:topLinePunct w:val="0"/>
        <w:bidi w:val="0"/>
        <w:snapToGrid/>
        <w:spacing w:line="44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4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keepNext w:val="0"/>
        <w:keepLines w:val="0"/>
        <w:pageBreakBefore w:val="0"/>
        <w:widowControl w:val="0"/>
        <w:kinsoku/>
        <w:wordWrap/>
        <w:overflowPunct/>
        <w:topLinePunct w:val="0"/>
        <w:bidi w:val="0"/>
        <w:snapToGrid/>
        <w:spacing w:line="440" w:lineRule="exact"/>
        <w:ind w:firstLine="700" w:firstLineChars="2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keepNext w:val="0"/>
        <w:keepLines w:val="0"/>
        <w:pageBreakBefore w:val="0"/>
        <w:widowControl w:val="0"/>
        <w:kinsoku/>
        <w:wordWrap/>
        <w:overflowPunct/>
        <w:topLinePunct w:val="0"/>
        <w:bidi w:val="0"/>
        <w:snapToGrid/>
        <w:spacing w:line="44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岳阳城陵矶综合保税区管理委员会部门</w:t>
      </w:r>
      <w:r>
        <w:rPr>
          <w:rFonts w:hint="eastAsia" w:ascii="方正小标宋_GBK" w:hAnsi="方正小标宋_GBK" w:eastAsia="方正小标宋_GBK" w:cs="方正小标宋_GBK"/>
          <w:sz w:val="84"/>
          <w:szCs w:val="84"/>
        </w:rPr>
        <w:t>概况</w:t>
      </w:r>
    </w:p>
    <w:p w14:paraId="77A0C778">
      <w:pPr>
        <w:pStyle w:val="8"/>
        <w:rPr>
          <w:rFonts w:hint="eastAsia" w:ascii="方正小标宋_GBK" w:hAnsi="方正小标宋_GBK" w:eastAsia="方正小标宋_GBK" w:cs="方正小标宋_GBK"/>
          <w:sz w:val="84"/>
          <w:szCs w:val="84"/>
        </w:rPr>
      </w:pPr>
    </w:p>
    <w:p w14:paraId="397AC3FB">
      <w:pPr>
        <w:pStyle w:val="4"/>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55E857AF">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52EFAF60">
      <w:pPr>
        <w:keepNext/>
        <w:keepLines/>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1）贯彻执行党和国家关于发展综合保税区的方针、政策和法律、法规、规章；研究制定和组织实施岳阳城陵矶综合保税区各项具体管理制度；开展政策、法规宣传教育工作；根据市人民政府授权，检查督促各项政策、法规的执行。</w:t>
      </w:r>
    </w:p>
    <w:p w14:paraId="5CD77898">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（2）组织参与编制岳阳城陵矶综合保税区中长期发展规划，拟定鼓励重点产业发展的财政扶持政策。</w:t>
      </w:r>
    </w:p>
    <w:p w14:paraId="4F95E739">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（3）负责综合保税区招商引资有关工作；协助有关部门审核和批准管理范围内的外资和内资项目，指导和协调招商引资、对外经济技术合作与交流；协助有关部门处理区内有关涉外事务。</w:t>
      </w:r>
    </w:p>
    <w:p w14:paraId="738E472F">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（4）根据市人民政府授权或接受有关部门委托，负责协调区内企业与民航、海关、检验检疫、口岸、工商、税务、金融、知识产权等有关部门和公安等其他驻区单位的工作，为企业提供指导和服务。</w:t>
      </w:r>
    </w:p>
    <w:p w14:paraId="25AE71A4">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（5）负责区内基础设施的建设和维护管理工作。</w:t>
      </w:r>
    </w:p>
    <w:p w14:paraId="53973706">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olor w:val="auto"/>
          <w:spacing w:val="-6"/>
          <w:kern w:val="0"/>
          <w:sz w:val="32"/>
          <w:lang w:val="en-US" w:eastAsia="zh-CN"/>
        </w:rPr>
      </w:pPr>
      <w:r>
        <w:rPr>
          <w:rFonts w:hint="eastAsia" w:ascii="仿宋_GB2312" w:hAnsi="仿宋_GB2312" w:eastAsia="仿宋_GB2312"/>
          <w:color w:val="auto"/>
          <w:spacing w:val="-6"/>
          <w:kern w:val="0"/>
          <w:sz w:val="32"/>
          <w:lang w:val="en-US" w:eastAsia="zh-CN"/>
        </w:rPr>
        <w:t>（6）负责区内的综合、信息、统计及国有资产管理等工作。</w:t>
      </w:r>
    </w:p>
    <w:p w14:paraId="5BFD1E28">
      <w:pPr>
        <w:keepNext/>
        <w:keepLines/>
        <w:pageBreakBefore w:val="0"/>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cs="仿宋_GB2312"/>
          <w:sz w:val="32"/>
          <w:szCs w:val="32"/>
        </w:rPr>
      </w:pPr>
      <w:r>
        <w:rPr>
          <w:rFonts w:hint="eastAsia" w:ascii="仿宋_GB2312" w:hAnsi="仿宋_GB2312" w:eastAsia="仿宋_GB2312"/>
          <w:color w:val="auto"/>
          <w:kern w:val="0"/>
          <w:sz w:val="32"/>
          <w:lang w:val="en-US" w:eastAsia="zh-CN"/>
        </w:rPr>
        <w:t>（7）完成市委、市人民政府交办的其他事项。</w:t>
      </w:r>
    </w:p>
    <w:p w14:paraId="2DC82B1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C30E00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color w:val="333333"/>
          <w:sz w:val="32"/>
          <w:szCs w:val="32"/>
        </w:rPr>
        <w:t>岳阳城陵矶综合保税区管理委员会内设机构包括：</w:t>
      </w:r>
      <w:r>
        <w:rPr>
          <w:rFonts w:hint="eastAsia" w:ascii="仿宋_GB2312" w:hAnsi="仿宋_GB2312" w:eastAsia="仿宋_GB2312" w:cs="仿宋_GB2312"/>
          <w:color w:val="auto"/>
          <w:kern w:val="0"/>
          <w:sz w:val="32"/>
          <w:lang w:val="en-US" w:eastAsia="zh-CN"/>
        </w:rPr>
        <w:t>保税事务部、经济发展部、企业服务部、口岸贸易部。</w:t>
      </w:r>
    </w:p>
    <w:p w14:paraId="466C56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（二）</w:t>
      </w:r>
      <w:r>
        <w:rPr>
          <w:rFonts w:hint="eastAsia" w:ascii="仿宋_GB2312" w:hAnsi="仿宋_GB2312" w:eastAsia="仿宋_GB2312" w:cs="仿宋_GB2312"/>
          <w:bCs/>
          <w:kern w:val="0"/>
          <w:sz w:val="32"/>
          <w:szCs w:val="32"/>
        </w:rPr>
        <w:t>决算单位构成</w:t>
      </w:r>
      <w:r>
        <w:rPr>
          <w:rFonts w:hint="eastAsia" w:ascii="仿宋_GB2312" w:hAnsi="仿宋_GB2312" w:eastAsia="仿宋_GB2312" w:cs="仿宋_GB2312"/>
          <w:bCs/>
          <w:kern w:val="0"/>
          <w:sz w:val="32"/>
          <w:szCs w:val="32"/>
          <w:lang w:eastAsia="zh-CN"/>
        </w:rPr>
        <w:t>。本部门无独立核算的下属单位，</w:t>
      </w:r>
      <w:r>
        <w:rPr>
          <w:rFonts w:hint="eastAsia" w:ascii="仿宋_GB2312" w:hAnsi="仿宋_GB2312" w:eastAsia="仿宋_GB2312" w:cs="仿宋_GB2312"/>
          <w:color w:val="auto"/>
          <w:kern w:val="0"/>
          <w:sz w:val="32"/>
          <w:szCs w:val="32"/>
          <w:lang w:val="en-US" w:eastAsia="zh-CN" w:bidi="ar"/>
        </w:rPr>
        <w:t>2024年度部门决算汇总公开单位仅包含岳阳城陵矶综合保税区管理委员会部门本级。</w:t>
      </w: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63BFFD84">
      <w:pPr>
        <w:pStyle w:val="13"/>
        <w:jc w:val="center"/>
        <w:rPr>
          <w:rFonts w:hint="eastAsia" w:ascii="仿宋_GB2312" w:hAnsi="仿宋_GB2312" w:eastAsia="仿宋_GB2312" w:cs="仿宋_GB2312"/>
          <w:b w:val="0"/>
          <w:bCs w:val="0"/>
          <w:sz w:val="72"/>
          <w:szCs w:val="72"/>
          <w:lang w:eastAsia="zh-CN"/>
        </w:rPr>
      </w:pPr>
    </w:p>
    <w:p w14:paraId="4565BABE">
      <w:pPr>
        <w:pStyle w:val="13"/>
        <w:jc w:val="center"/>
        <w:rPr>
          <w:rFonts w:hint="eastAsia" w:ascii="仿宋_GB2312" w:hAnsi="仿宋_GB2312" w:eastAsia="仿宋_GB2312" w:cs="仿宋_GB2312"/>
          <w:b w:val="0"/>
          <w:bCs w:val="0"/>
          <w:sz w:val="72"/>
          <w:szCs w:val="72"/>
          <w:lang w:eastAsia="zh-CN"/>
        </w:rPr>
      </w:pPr>
    </w:p>
    <w:p w14:paraId="6EEAB3EF">
      <w:pPr>
        <w:pStyle w:val="13"/>
        <w:jc w:val="center"/>
        <w:rPr>
          <w:rFonts w:hint="eastAsia" w:ascii="仿宋_GB2312" w:hAnsi="仿宋_GB2312" w:eastAsia="仿宋_GB2312" w:cs="仿宋_GB2312"/>
          <w:b w:val="0"/>
          <w:bCs w:val="0"/>
          <w:sz w:val="72"/>
          <w:szCs w:val="72"/>
          <w:lang w:eastAsia="zh-CN"/>
        </w:rPr>
      </w:pPr>
    </w:p>
    <w:p w14:paraId="603C04A7">
      <w:pPr>
        <w:pStyle w:val="13"/>
        <w:jc w:val="center"/>
        <w:rPr>
          <w:rFonts w:hint="eastAsia" w:ascii="方正小标宋_GBK" w:hAnsi="方正小标宋_GBK" w:eastAsia="方正小标宋_GBK" w:cs="方正小标宋_GBK"/>
          <w:sz w:val="72"/>
          <w:szCs w:val="72"/>
        </w:rPr>
      </w:pPr>
    </w:p>
    <w:p w14:paraId="7A44A82E">
      <w:pPr>
        <w:pStyle w:val="13"/>
        <w:jc w:val="center"/>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111D7AB8">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303.14</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64.35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26.95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人员调入，增加人员类支出。</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303.14</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303.14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303.14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288.14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95.05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B25A0C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303.14</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64.35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26.95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人员调入，增加人员类支出。</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56743F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303.14</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64.35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26.95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人员调入，增加人员类支出。</w:t>
      </w:r>
    </w:p>
    <w:p w14:paraId="66C54C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5DAFEE31">
      <w:pPr>
        <w:pStyle w:val="13"/>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303.14</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222.03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73.24</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34.56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18.42万元，占6.08%；商务服务业等（类）支出10.00万元，占3.3%；住房保障（类）支出18.13万元，占5.98%。</w:t>
      </w:r>
    </w:p>
    <w:p w14:paraId="5CDBADF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327.92</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303.14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92.44</w:t>
      </w:r>
      <w:r>
        <w:rPr>
          <w:rFonts w:hint="eastAsia" w:ascii="仿宋_GB2312" w:hAnsi="仿宋_GB2312" w:eastAsia="仿宋_GB2312" w:cs="仿宋_GB2312"/>
          <w:sz w:val="32"/>
          <w:szCs w:val="32"/>
        </w:rPr>
        <w:t>%，其中：</w:t>
      </w:r>
    </w:p>
    <w:p w14:paraId="37E33D9D">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（类）政府办公厅（室）及相关机构事务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eastAsia="zh-CN"/>
        </w:rPr>
        <w:t>事业运行（项）</w:t>
      </w:r>
      <w:r>
        <w:rPr>
          <w:rFonts w:hint="eastAsia" w:ascii="仿宋_GB2312" w:hAnsi="仿宋_GB2312" w:eastAsia="仿宋_GB2312" w:cs="仿宋_GB2312"/>
          <w:sz w:val="32"/>
          <w:szCs w:val="32"/>
        </w:rPr>
        <w:t>。</w:t>
      </w:r>
    </w:p>
    <w:p w14:paraId="43384E18">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252.08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217.03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86.01</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人员绩效奖减少。</w:t>
      </w:r>
    </w:p>
    <w:p w14:paraId="156B0A87">
      <w:pPr>
        <w:pStyle w:val="13"/>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商贸事务（</w:t>
      </w:r>
      <w:r>
        <w:rPr>
          <w:rFonts w:hint="eastAsia"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eastAsia="zh-CN"/>
        </w:rPr>
        <w:t>招商引资（项）</w:t>
      </w:r>
      <w:r>
        <w:rPr>
          <w:rFonts w:hint="eastAsia" w:ascii="仿宋_GB2312" w:hAnsi="仿宋_GB2312" w:eastAsia="仿宋_GB2312" w:cs="仿宋_GB2312"/>
          <w:sz w:val="32"/>
          <w:szCs w:val="32"/>
        </w:rPr>
        <w:t>。</w:t>
      </w:r>
    </w:p>
    <w:p w14:paraId="38134B1F">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因预算数为0，无法计算百分比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Times New Roman" w:hAnsi="Times New Roman" w:eastAsia="仿宋_GB2312"/>
          <w:sz w:val="32"/>
          <w:szCs w:val="32"/>
        </w:rPr>
        <w:t>年中追加了相关指标</w:t>
      </w:r>
      <w:r>
        <w:rPr>
          <w:rFonts w:hint="eastAsia" w:ascii="仿宋_GB2312" w:hAnsi="仿宋_GB2312" w:eastAsia="仿宋_GB2312" w:cs="仿宋_GB2312"/>
          <w:sz w:val="32"/>
          <w:szCs w:val="32"/>
          <w:lang w:eastAsia="zh-CN"/>
        </w:rPr>
        <w:t>。</w:t>
      </w:r>
    </w:p>
    <w:p w14:paraId="1E93A747">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机关事业单位基本养老保险缴费支出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14:paraId="70291437">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按照年初预算执行</w:t>
      </w:r>
      <w:r>
        <w:rPr>
          <w:rFonts w:hint="eastAsia" w:ascii="仿宋_GB2312" w:hAnsi="仿宋_GB2312" w:eastAsia="仿宋_GB2312" w:cs="仿宋_GB2312"/>
          <w:color w:val="auto"/>
          <w:sz w:val="32"/>
          <w:szCs w:val="32"/>
          <w:lang w:val="en-US" w:eastAsia="zh-CN"/>
        </w:rPr>
        <w:t>。</w:t>
      </w:r>
    </w:p>
    <w:p w14:paraId="5104FC21">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残疾人事业</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其他残疾人事业支出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14:paraId="5FC6C40C">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按照年初预算执行</w:t>
      </w:r>
      <w:r>
        <w:rPr>
          <w:rFonts w:hint="eastAsia" w:ascii="仿宋_GB2312" w:hAnsi="仿宋_GB2312" w:eastAsia="仿宋_GB2312" w:cs="仿宋_GB2312"/>
          <w:color w:val="auto"/>
          <w:sz w:val="32"/>
          <w:szCs w:val="32"/>
          <w:lang w:val="en-US" w:eastAsia="zh-CN"/>
        </w:rPr>
        <w:t>。</w:t>
      </w:r>
    </w:p>
    <w:p w14:paraId="01D9DB2D">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14:paraId="1F0D2D76">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0.57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按照年初预算执行</w:t>
      </w:r>
      <w:r>
        <w:rPr>
          <w:rFonts w:hint="eastAsia" w:ascii="仿宋_GB2312" w:hAnsi="仿宋_GB2312" w:eastAsia="仿宋_GB2312" w:cs="仿宋_GB2312"/>
          <w:color w:val="auto"/>
          <w:sz w:val="32"/>
          <w:szCs w:val="32"/>
          <w:lang w:val="en-US" w:eastAsia="zh-CN"/>
        </w:rPr>
        <w:t>。</w:t>
      </w:r>
    </w:p>
    <w:p w14:paraId="47FB1BEB">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6、卫生健康支出（类）行政事业单位医疗（款）事业单位医疗（项）</w:t>
      </w:r>
    </w:p>
    <w:p w14:paraId="706193D5">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18.42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18.42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按照年初预算执行。</w:t>
      </w:r>
    </w:p>
    <w:p w14:paraId="16C374D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7、商业服务业等支出（类）涉外发展服务支出（款）其他</w:t>
      </w:r>
    </w:p>
    <w:p w14:paraId="541DBE18">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涉外发展服务支出（项）</w:t>
      </w:r>
    </w:p>
    <w:p w14:paraId="1BE7D977">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因预算数为0，无法计算百分比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Times New Roman" w:hAnsi="Times New Roman" w:eastAsia="仿宋_GB2312"/>
          <w:sz w:val="32"/>
          <w:szCs w:val="32"/>
        </w:rPr>
        <w:t>年中追加了相关指标</w:t>
      </w:r>
      <w:r>
        <w:rPr>
          <w:rFonts w:hint="eastAsia" w:ascii="仿宋_GB2312" w:hAnsi="仿宋_GB2312" w:eastAsia="仿宋_GB2312" w:cs="仿宋_GB2312"/>
          <w:sz w:val="32"/>
          <w:szCs w:val="32"/>
          <w:lang w:eastAsia="zh-CN"/>
        </w:rPr>
        <w:t>。</w:t>
      </w:r>
    </w:p>
    <w:p w14:paraId="5296733C">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8、商业服务业等支出（类）其他商业服务业等支出（款）其他商业服务业等支出（项）</w:t>
      </w:r>
    </w:p>
    <w:p w14:paraId="509C9E50">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因预算数为0，无法计算百分比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年初预算数的主要原因是：</w:t>
      </w:r>
      <w:r>
        <w:rPr>
          <w:rFonts w:hint="eastAsia" w:ascii="Times New Roman" w:hAnsi="Times New Roman" w:eastAsia="仿宋_GB2312"/>
          <w:sz w:val="32"/>
          <w:szCs w:val="32"/>
        </w:rPr>
        <w:t>年中追加了相关指标</w:t>
      </w:r>
      <w:r>
        <w:rPr>
          <w:rFonts w:hint="eastAsia" w:ascii="仿宋_GB2312" w:hAnsi="仿宋_GB2312" w:eastAsia="仿宋_GB2312" w:cs="仿宋_GB2312"/>
          <w:sz w:val="32"/>
          <w:szCs w:val="32"/>
          <w:lang w:eastAsia="zh-CN"/>
        </w:rPr>
        <w:t>。</w:t>
      </w:r>
    </w:p>
    <w:p w14:paraId="57D8AD6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9、住房保障支出（类）住房改革支出（款）住房公积金（项）</w:t>
      </w:r>
    </w:p>
    <w:p w14:paraId="24CB3EF3">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年初预算为22.86万元，支出决算为18.13万元，完成年初</w:t>
      </w:r>
    </w:p>
    <w:p w14:paraId="469E8A48">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预算的79.31%，决算数小于年初预算数的主要原因是：部门人员基数调整。</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4E52C5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288.14</w:t>
      </w:r>
      <w:r>
        <w:rPr>
          <w:rFonts w:hint="eastAsia" w:ascii="仿宋_GB2312" w:hAnsi="仿宋_GB2312" w:eastAsia="仿宋_GB2312" w:cs="仿宋_GB2312"/>
          <w:sz w:val="32"/>
          <w:szCs w:val="32"/>
        </w:rPr>
        <w:t>万元，其中：</w:t>
      </w:r>
    </w:p>
    <w:p w14:paraId="0AA544E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247</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85.72</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绩效工资、机关事业单位基本养老保险缴费、职业年金缴费、公务员医疗补助缴费、住房公积金、职工基本医疗保险缴费、其他社会保障缴费、医疗费等。</w:t>
      </w:r>
    </w:p>
    <w:p w14:paraId="4FBD4BC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41.14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14.28</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w:t>
      </w:r>
      <w:r>
        <w:rPr>
          <w:rFonts w:hint="eastAsia" w:ascii="Times New Roman" w:hAnsi="Times New Roman" w:eastAsia="仿宋_GB2312"/>
          <w:sz w:val="32"/>
          <w:szCs w:val="32"/>
          <w:lang w:eastAsia="zh-CN"/>
        </w:rPr>
        <w:t>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60C0889B">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政府性基金预算收入支出决算情况</w:t>
      </w:r>
    </w:p>
    <w:p w14:paraId="1BAE16F6">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2024年度国有资本经营预算财政拨款收入0万元；年初结转和结余0万；支出0万元，其中：基本支出0万元，项目支出0万元；年末结转和结余0万元。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D312E8B">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17.00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4.77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55.08</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部门严格按预算执行决算</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本年度安排了部门成员赴新加坡洽谈合作和赴马来亚西、柬埔寨开展经贸交流活动</w:t>
      </w:r>
      <w:r>
        <w:rPr>
          <w:rFonts w:ascii="Times New Roman" w:hAnsi="Times New Roman" w:eastAsia="仿宋_GB2312" w:cs="Times New Roman"/>
          <w:sz w:val="32"/>
          <w:szCs w:val="32"/>
        </w:rPr>
        <w:t>。</w:t>
      </w:r>
    </w:p>
    <w:p w14:paraId="352D03A7">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426E67EC">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67.75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5.42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部门严格按照预算执行，无长期境外考察活动</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本年度安排了部门成员赴新加坡洽谈合作和赴马来亚西、柬埔寨开展经贸交流活动</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p>
    <w:p w14:paraId="0DCF5A2D">
      <w:pPr>
        <w:pStyle w:val="13"/>
        <w:overflowPunct w:val="0"/>
        <w:autoSpaceDE/>
        <w:autoSpaceDN/>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eastAsia="zh-CN"/>
        </w:rPr>
        <w:t>赴新加坡洽谈经贸合作</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2.24</w:t>
      </w:r>
      <w:r>
        <w:rPr>
          <w:rFonts w:ascii="Times New Roman" w:hAnsi="Times New Roman" w:eastAsia="仿宋_GB2312" w:cs="Times New Roman"/>
          <w:sz w:val="32"/>
          <w:szCs w:val="32"/>
        </w:rPr>
        <w:t>万元，主要用于</w:t>
      </w:r>
      <w:r>
        <w:rPr>
          <w:rFonts w:hint="eastAsia" w:ascii="仿宋_GB2312" w:hAnsi="仿宋_GB2312" w:eastAsia="仿宋_GB2312" w:cs="仿宋_GB2312"/>
          <w:sz w:val="32"/>
          <w:szCs w:val="32"/>
          <w:lang w:eastAsia="zh-CN"/>
        </w:rPr>
        <w:t>出国手续办理，往返机票、住宿、境外保险等费用；</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赴马来西亚、柬埔寨开展经贸交流活动支出</w:t>
      </w:r>
      <w:r>
        <w:rPr>
          <w:rFonts w:hint="eastAsia" w:ascii="Times New Roman" w:hAnsi="Times New Roman" w:eastAsia="仿宋_GB2312" w:cs="Times New Roman"/>
          <w:sz w:val="32"/>
          <w:szCs w:val="32"/>
          <w:lang w:val="en-US" w:eastAsia="zh-CN"/>
        </w:rPr>
        <w:t>3.18</w:t>
      </w:r>
      <w:r>
        <w:rPr>
          <w:rFonts w:hint="eastAsia" w:ascii="仿宋_GB2312" w:hAnsi="仿宋_GB2312" w:eastAsia="仿宋_GB2312" w:cs="仿宋_GB2312"/>
          <w:sz w:val="32"/>
          <w:szCs w:val="32"/>
          <w:lang w:val="en-US" w:eastAsia="zh-CN"/>
        </w:rPr>
        <w:t>万元，</w:t>
      </w:r>
      <w:r>
        <w:rPr>
          <w:rFonts w:ascii="Times New Roman" w:hAnsi="Times New Roman" w:eastAsia="仿宋_GB2312" w:cs="Times New Roman"/>
          <w:sz w:val="32"/>
          <w:szCs w:val="32"/>
        </w:rPr>
        <w:t>主要用于</w:t>
      </w:r>
      <w:r>
        <w:rPr>
          <w:rFonts w:hint="eastAsia" w:ascii="仿宋_GB2312" w:hAnsi="仿宋_GB2312" w:eastAsia="仿宋_GB2312" w:cs="仿宋_GB2312"/>
          <w:sz w:val="32"/>
          <w:szCs w:val="32"/>
          <w:lang w:eastAsia="zh-CN"/>
        </w:rPr>
        <w:t>出国手续办理，往返机票、住宿、境外保险等费用。</w:t>
      </w:r>
    </w:p>
    <w:p w14:paraId="65978CA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7.51</w:t>
      </w:r>
      <w:r>
        <w:rPr>
          <w:rFonts w:ascii="Times New Roman" w:hAnsi="Times New Roman" w:eastAsia="仿宋_GB2312" w:cs="Times New Roman"/>
          <w:sz w:val="32"/>
          <w:szCs w:val="32"/>
        </w:rPr>
        <w:t>%。其中：</w:t>
      </w:r>
    </w:p>
    <w:p w14:paraId="3A4893E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决算数等于预算数，主要原因是我单位严格按预算执行决算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与上年一致，无增减变动，主要原因是两年均未购置公务用车。本单位</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14:paraId="75A272CE">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8.01</w:t>
      </w:r>
      <w:r>
        <w:rPr>
          <w:rFonts w:ascii="Times New Roman" w:hAnsi="Times New Roman" w:eastAsia="仿宋_GB2312" w:cs="Times New Roman"/>
          <w:sz w:val="32"/>
          <w:szCs w:val="32"/>
        </w:rPr>
        <w:t>万元，</w:t>
      </w:r>
      <w:r>
        <w:rPr>
          <w:rFonts w:hint="eastAsia" w:ascii="仿宋_GB2312" w:hAnsi="仿宋_GB2312" w:eastAsia="仿宋_GB2312" w:cs="仿宋_GB2312"/>
          <w:sz w:val="32"/>
          <w:szCs w:val="32"/>
        </w:rPr>
        <w:t>主要是公务用车的燃料费、维修费、过桥过路费、保险费用等支出</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0.65</w:t>
      </w:r>
      <w:r>
        <w:rPr>
          <w:rFonts w:ascii="Times New Roman" w:hAnsi="Times New Roman" w:eastAsia="仿宋_GB2312" w:cs="Times New Roman"/>
          <w:sz w:val="32"/>
          <w:szCs w:val="32"/>
        </w:rPr>
        <w:t>万元，增降低</w:t>
      </w:r>
      <w:r>
        <w:rPr>
          <w:rFonts w:hint="eastAsia" w:ascii="Times New Roman" w:hAnsi="Times New Roman" w:eastAsia="仿宋_GB2312" w:cs="Times New Roman"/>
          <w:sz w:val="32"/>
          <w:szCs w:val="32"/>
          <w:lang w:val="en-US" w:eastAsia="zh-CN"/>
        </w:rPr>
        <w:t>7.51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严格控制公车使用，压缩开支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厉行节约，严格控制经费支出</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p>
    <w:p w14:paraId="1EC0EA1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公务接待费支出预算为</w:t>
      </w:r>
      <w:r>
        <w:rPr>
          <w:rFonts w:hint="eastAsia" w:ascii="Times New Roman" w:hAnsi="Times New Roman" w:eastAsia="仿宋_GB2312" w:cs="Times New Roman"/>
          <w:sz w:val="32"/>
          <w:szCs w:val="32"/>
          <w:lang w:val="en-US" w:eastAsia="zh-CN"/>
        </w:rPr>
        <w:t xml:space="preserve"> 0</w:t>
      </w:r>
      <w:r>
        <w:rPr>
          <w:rFonts w:hint="eastAsia" w:ascii="Times New Roman" w:hAnsi="Times New Roman" w:eastAsia="仿宋_GB2312" w:cs="Times New Roman"/>
          <w:sz w:val="32"/>
          <w:szCs w:val="32"/>
          <w:lang w:eastAsia="zh-CN"/>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决算数等于预算数，主要原因是严格执行中央八项规定；与上年一致，无增减变动，主要原因是按有关政策厉行节约，严控公务接待支出。</w:t>
      </w:r>
      <w:r>
        <w:rPr>
          <w:rFonts w:hint="eastAsia" w:ascii="Times New Roman" w:hAnsi="Times New Roman" w:eastAsia="仿宋_GB2312" w:cs="Times New Roman"/>
          <w:sz w:val="32"/>
          <w:szCs w:val="32"/>
          <w:lang w:eastAsia="zh-CN"/>
        </w:rPr>
        <w:t>2024年度共接待来访团组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个、来宾</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人次。</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3"/>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41.14</w:t>
      </w:r>
      <w:r>
        <w:rPr>
          <w:rFonts w:hint="eastAsia" w:ascii="仿宋_GB2312" w:hAnsi="仿宋_GB2312" w:eastAsia="仿宋_GB2312" w:cs="仿宋_GB2312"/>
          <w:sz w:val="32"/>
          <w:szCs w:val="32"/>
          <w:highlight w:val="none"/>
        </w:rPr>
        <w:t>万元，比上年决算数减少</w:t>
      </w:r>
      <w:r>
        <w:rPr>
          <w:rFonts w:hint="eastAsia" w:ascii="仿宋_GB2312" w:hAnsi="仿宋_GB2312" w:eastAsia="仿宋_GB2312" w:cs="仿宋_GB2312"/>
          <w:sz w:val="32"/>
          <w:szCs w:val="32"/>
          <w:highlight w:val="none"/>
          <w:lang w:val="en-US" w:eastAsia="zh-CN"/>
        </w:rPr>
        <w:t>14.45</w:t>
      </w:r>
      <w:r>
        <w:rPr>
          <w:rFonts w:hint="eastAsia" w:ascii="仿宋_GB2312" w:hAnsi="仿宋_GB2312" w:eastAsia="仿宋_GB2312" w:cs="仿宋_GB2312"/>
          <w:sz w:val="32"/>
          <w:szCs w:val="32"/>
          <w:highlight w:val="none"/>
        </w:rPr>
        <w:t xml:space="preserve"> 万元，降低</w:t>
      </w:r>
      <w:r>
        <w:rPr>
          <w:rFonts w:hint="eastAsia" w:ascii="仿宋_GB2312" w:hAnsi="仿宋_GB2312" w:eastAsia="仿宋_GB2312" w:cs="仿宋_GB2312"/>
          <w:sz w:val="32"/>
          <w:szCs w:val="32"/>
          <w:highlight w:val="none"/>
          <w:lang w:val="en-US" w:eastAsia="zh-CN"/>
        </w:rPr>
        <w:t>25.3</w:t>
      </w:r>
      <w:r>
        <w:rPr>
          <w:rFonts w:hint="eastAsia" w:ascii="仿宋_GB2312" w:hAnsi="仿宋_GB2312" w:eastAsia="仿宋_GB2312" w:cs="仿宋_GB2312"/>
          <w:sz w:val="32"/>
          <w:szCs w:val="32"/>
          <w:highlight w:val="none"/>
        </w:rPr>
        <w:t>%。主要原因是：严格控制一般性支出，厉行节约</w:t>
      </w:r>
      <w:r>
        <w:rPr>
          <w:rFonts w:hint="eastAsia" w:ascii="仿宋_GB2312" w:hAnsi="仿宋_GB2312" w:eastAsia="仿宋_GB2312" w:cs="仿宋_GB2312"/>
          <w:sz w:val="32"/>
          <w:szCs w:val="32"/>
          <w:highlight w:val="none"/>
          <w:lang w:eastAsia="zh-CN"/>
        </w:rPr>
        <w:t>。</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年度，会议费年初预算0万元，支出决算为0万元，本部门无会议费的预算和支出决算数</w:t>
      </w:r>
      <w:r>
        <w:rPr>
          <w:rFonts w:hint="eastAsia" w:ascii="仿宋_GB2312" w:hAnsi="仿宋_GB2312" w:eastAsia="仿宋_GB2312" w:cs="仿宋_GB2312"/>
          <w:sz w:val="32"/>
          <w:szCs w:val="32"/>
          <w:lang w:eastAsia="zh-CN"/>
        </w:rPr>
        <w:t>。</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培训费年初预算0万元，支出决算为0万元，本部门无培训费的预算和支出决算数。</w:t>
      </w:r>
    </w:p>
    <w:p w14:paraId="39C2EAB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举办节庆、晚会、论坛、赛事活动年初预算0万元，支出决算为0万元，本部门无举办节庆、晚会、论坛、赛事等活动的预算和支出决算数。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87F52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部门2024年度政府采购支出总额0万元，其中：政府采购货物支出0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12771B23">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（一）绩效管理工作开展情况</w:t>
      </w:r>
    </w:p>
    <w:p w14:paraId="7D387463">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354E0B22">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组织对所属</w:t>
      </w:r>
      <w:r>
        <w:rPr>
          <w:rFonts w:hint="eastAsia" w:ascii="Times New Roman" w:hAnsi="Times New Roman" w:eastAsia="仿宋_GB2312" w:cs="Times New Roman"/>
          <w:kern w:val="0"/>
          <w:sz w:val="32"/>
          <w:szCs w:val="32"/>
          <w:lang w:eastAsia="zh-CN"/>
        </w:rPr>
        <w:t>部门</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2023年现代服务业引导资金</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2023年</w:t>
      </w:r>
      <w:r>
        <w:rPr>
          <w:rFonts w:hint="eastAsia" w:ascii="Times New Roman" w:hAnsi="Times New Roman" w:eastAsia="仿宋_GB2312" w:cs="Times New Roman"/>
          <w:sz w:val="32"/>
          <w:szCs w:val="32"/>
          <w:lang w:eastAsia="zh-CN"/>
        </w:rPr>
        <w:t>招商引资资金</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2023年</w:t>
      </w:r>
      <w:r>
        <w:rPr>
          <w:rFonts w:hint="eastAsia" w:ascii="Times New Roman" w:hAnsi="Times New Roman" w:eastAsia="仿宋_GB2312" w:cs="Times New Roman"/>
          <w:kern w:val="0"/>
          <w:sz w:val="32"/>
          <w:szCs w:val="32"/>
          <w:lang w:eastAsia="zh-CN"/>
        </w:rPr>
        <w:t>外经发展资金”</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80F27E1">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kern w:val="0"/>
          <w:sz w:val="32"/>
          <w:szCs w:val="32"/>
          <w:lang w:val="en-US" w:eastAsia="zh-CN"/>
        </w:rPr>
        <w:t>本部门及所属部门本年度未新增重大政策和重大项目，所以无事前绩效评估开</w:t>
      </w:r>
      <w:bookmarkStart w:id="0" w:name="_GoBack"/>
      <w:bookmarkEnd w:id="0"/>
      <w:r>
        <w:rPr>
          <w:rFonts w:hint="eastAsia" w:ascii="Times New Roman" w:hAnsi="Times New Roman" w:eastAsia="仿宋_GB2312" w:cs="Times New Roman"/>
          <w:kern w:val="0"/>
          <w:sz w:val="32"/>
          <w:szCs w:val="32"/>
          <w:lang w:val="en-US" w:eastAsia="zh-CN"/>
        </w:rPr>
        <w:t>展情况。</w:t>
      </w:r>
    </w:p>
    <w:p w14:paraId="17C9AFAC">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27D14AD8">
      <w:pPr>
        <w:overflowPunct w:val="0"/>
        <w:spacing w:line="600" w:lineRule="exact"/>
        <w:ind w:firstLine="640" w:firstLineChars="200"/>
        <w:rPr>
          <w:rFonts w:hint="eastAsia" w:ascii="仿宋_GB2312" w:hAnsi="仿宋_GB2312" w:eastAsia="仿宋_GB2312" w:cs="仿宋_GB2312"/>
          <w:bCs/>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327.92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303.14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92.44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95.06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24"/>
          <w:highlight w:val="white"/>
          <w:lang w:val="en-US" w:eastAsia="zh-CN"/>
        </w:rPr>
        <w:t>2024年，岳阳城陵矶综保区全面贯彻落实党的二十届三中全会精神，紧紧围绕市委市政府、城陵矶新港区党工委的决策部署，狠抓高质量发展，较好完成各项任务，现将有关情况总结如下：一是千方百计稳住外贸“基本盘”。克服市场需求疲软、商品价格下滑、监管政策调整等诸多不利影响，主动作为，按照“保存量、挖增量、扩总量”的思路，调整优化贸易结构，重点开展原油、粮食、橡胶等事关国家粮食安全、能源安全、民生刚需且进口依存度较高的外贸业务，城陵矶新港区综保区全年完成进出口额479.57亿元，对非完成5.72亿元。二是攻坚克难抓好项目“提升面”。进一步完善口岸配套，加速推进进口农产品仓储加工物流园、汽车实验室及改装厂等配套项目建设和“进口农产品现货贸易网”的运营,网站上线当日就吸引超过30家企业进驻，现场签约企业7家，合同金额达2.5亿元，力争打造华中地区最具规模的集展示、销售、改装、维修、实验于一体的平行进口汽车产业集群和成为中部地区最大的进口农产品集散和现货交易中心。三是不遗余力提升产业“竞争力”。对标对表综保区发展绩效评估指标体系，全力夯实保税主体功能。组织有关部门多次与惠普公司、新金宝集团举行“线上+线下”磋商，力争在政策及法律法规允许框架内达成新的5年合作协议。四是主动作为谋划开放“新蓝图”。坚持产工贸融合发展，紧跟国家“一带一路”“中非经贸深度合作先行区”等重大战略，布局谋划非洲、东南亚等新兴市场，拓展外贸新业绩。五是持续用情优化服务“生态链”。始终把建设市场化、法治化、国际化营商环境作为打造“城陵矶”品牌的重要抓手，提供优质金融、人力、物流、水电等生产要素保障。积极对接银信部门，与工商银行湖南分行签署战略合作协议。发现的问题及原因：依然</w:t>
      </w:r>
      <w:r>
        <w:rPr>
          <w:rFonts w:hint="eastAsia" w:ascii="仿宋_GB2312" w:hAnsi="仿宋_GB2312" w:eastAsia="仿宋_GB2312" w:cs="仿宋_GB2312"/>
          <w:bCs/>
          <w:sz w:val="32"/>
          <w:szCs w:val="32"/>
        </w:rPr>
        <w:t>存在因部分工作不可预见性，有些支出无法</w:t>
      </w:r>
      <w:r>
        <w:rPr>
          <w:rFonts w:hint="eastAsia" w:ascii="仿宋_GB2312" w:hAnsi="仿宋_GB2312" w:eastAsia="仿宋_GB2312" w:cs="仿宋_GB2312"/>
          <w:bCs/>
          <w:sz w:val="32"/>
          <w:szCs w:val="32"/>
          <w:lang w:eastAsia="zh-CN"/>
        </w:rPr>
        <w:t>准确</w:t>
      </w:r>
      <w:r>
        <w:rPr>
          <w:rFonts w:hint="eastAsia" w:ascii="仿宋_GB2312" w:hAnsi="仿宋_GB2312" w:eastAsia="仿宋_GB2312" w:cs="仿宋_GB2312"/>
          <w:bCs/>
          <w:sz w:val="32"/>
          <w:szCs w:val="32"/>
        </w:rPr>
        <w:t>纳入预算。</w:t>
      </w:r>
      <w:r>
        <w:rPr>
          <w:rFonts w:hint="eastAsia" w:ascii="仿宋_GB2312" w:hAnsi="仿宋_GB2312" w:eastAsia="仿宋_GB2312" w:cs="仿宋_GB2312"/>
          <w:bCs/>
          <w:sz w:val="32"/>
          <w:szCs w:val="32"/>
          <w:lang w:eastAsia="zh-CN"/>
        </w:rPr>
        <w:t>下一步改进措施</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我</w:t>
      </w:r>
      <w:r>
        <w:rPr>
          <w:rFonts w:hint="eastAsia" w:ascii="仿宋_GB2312" w:hAnsi="仿宋_GB2312" w:eastAsia="仿宋_GB2312" w:cs="仿宋_GB2312"/>
          <w:bCs/>
          <w:sz w:val="32"/>
          <w:szCs w:val="32"/>
          <w:lang w:eastAsia="zh-CN"/>
        </w:rPr>
        <w:t>部门</w:t>
      </w:r>
      <w:r>
        <w:rPr>
          <w:rFonts w:hint="eastAsia" w:ascii="仿宋_GB2312" w:hAnsi="仿宋_GB2312" w:eastAsia="仿宋_GB2312" w:cs="仿宋_GB2312"/>
          <w:bCs/>
          <w:sz w:val="32"/>
          <w:szCs w:val="32"/>
        </w:rPr>
        <w:t>将积极</w:t>
      </w:r>
      <w:r>
        <w:rPr>
          <w:rFonts w:hint="eastAsia" w:ascii="仿宋_GB2312" w:hAnsi="仿宋_GB2312" w:eastAsia="仿宋_GB2312" w:cs="仿宋_GB2312"/>
          <w:bCs/>
          <w:sz w:val="32"/>
          <w:szCs w:val="32"/>
          <w:lang w:eastAsia="zh-CN"/>
        </w:rPr>
        <w:t>加强工作对接</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严格按照预算编制执行</w:t>
      </w:r>
      <w:r>
        <w:rPr>
          <w:rFonts w:hint="eastAsia" w:ascii="仿宋_GB2312" w:hAnsi="仿宋_GB2312" w:eastAsia="仿宋_GB2312" w:cs="仿宋_GB2312"/>
          <w:bCs/>
          <w:sz w:val="32"/>
          <w:szCs w:val="32"/>
        </w:rPr>
        <w:t>。</w:t>
      </w:r>
    </w:p>
    <w:p w14:paraId="7698DCD4">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lang w:val="en-US" w:eastAsia="zh-CN"/>
        </w:rPr>
        <w:t>3个</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96.18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项目资金拨付滞后，都是在年末才收到专项资金，导致年终资金结存较大。下一步改进措施：加强对接，按相关要求严格执行拨付。</w:t>
      </w:r>
    </w:p>
    <w:p w14:paraId="6B7A6E4C">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sz w:val="32"/>
          <w:szCs w:val="32"/>
          <w:lang w:val="en-US" w:eastAsia="zh-CN"/>
        </w:rPr>
        <w:t>本单位及所属单位本年度未开展事前绩效评估，所以无事前绩效评估结果。</w:t>
      </w:r>
    </w:p>
    <w:p w14:paraId="6E06738F">
      <w:pPr>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jc w:val="left"/>
        <w:textAlignment w:val="auto"/>
        <w:rPr>
          <w:rFonts w:ascii="Times New Roman" w:hAnsi="Times New Roman" w:eastAsia="楷体_GB2312" w:cs="Times New Roman"/>
          <w:b/>
          <w:bCs/>
          <w:color w:val="auto"/>
          <w:kern w:val="2"/>
          <w:sz w:val="32"/>
          <w:szCs w:val="32"/>
          <w:highlight w:val="none"/>
        </w:rPr>
      </w:pPr>
      <w:r>
        <w:rPr>
          <w:rFonts w:hint="eastAsia" w:ascii="Times New Roman" w:hAnsi="Times New Roman" w:eastAsia="楷体_GB2312" w:cs="Times New Roman"/>
          <w:b/>
          <w:bCs/>
          <w:color w:val="auto"/>
          <w:kern w:val="2"/>
          <w:sz w:val="32"/>
          <w:szCs w:val="32"/>
          <w:highlight w:val="none"/>
          <w:lang w:eastAsia="zh-CN"/>
        </w:rPr>
        <w:t>（三）</w:t>
      </w:r>
      <w:r>
        <w:rPr>
          <w:rFonts w:ascii="Times New Roman" w:hAnsi="Times New Roman" w:eastAsia="楷体_GB2312" w:cs="Times New Roman"/>
          <w:b/>
          <w:bCs/>
          <w:color w:val="auto"/>
          <w:kern w:val="2"/>
          <w:sz w:val="32"/>
          <w:szCs w:val="32"/>
          <w:highlight w:val="none"/>
        </w:rPr>
        <w:t>评价结果应用情况</w:t>
      </w:r>
    </w:p>
    <w:p w14:paraId="72583461">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请根据2024年度绩效自评结果、部门评价结果、</w:t>
      </w:r>
      <w:r>
        <w:rPr>
          <w:rFonts w:hint="eastAsia" w:ascii="Times New Roman" w:hAnsi="Times New Roman" w:eastAsia="仿宋_GB2312" w:cs="Times New Roman"/>
          <w:color w:val="auto"/>
          <w:sz w:val="32"/>
          <w:szCs w:val="32"/>
          <w:highlight w:val="none"/>
          <w:lang w:eastAsia="zh-CN"/>
        </w:rPr>
        <w:t>事前绩效</w:t>
      </w:r>
      <w:r>
        <w:rPr>
          <w:rFonts w:ascii="Times New Roman" w:hAnsi="Times New Roman" w:eastAsia="仿宋_GB2312" w:cs="Times New Roman"/>
          <w:color w:val="auto"/>
          <w:sz w:val="32"/>
          <w:szCs w:val="32"/>
          <w:highlight w:val="none"/>
        </w:rPr>
        <w:t>评价结果对本部门2025年度预算安排，支出结构调整，资金管理，制度建设等方面结果运用进行简要说明。</w:t>
      </w:r>
    </w:p>
    <w:p w14:paraId="7E08726A">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1F8E29D2">
      <w:pPr>
        <w:pStyle w:val="8"/>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3"/>
        <w:jc w:val="both"/>
        <w:rPr>
          <w:rFonts w:hint="eastAsia" w:ascii="方正小标宋_GBK" w:hAnsi="方正小标宋_GBK" w:eastAsia="方正小标宋_GBK" w:cs="方正小标宋_GBK"/>
          <w:sz w:val="24"/>
          <w:szCs w:val="24"/>
        </w:rPr>
      </w:pPr>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01C034A7">
      <w:pPr>
        <w:pStyle w:val="13"/>
        <w:jc w:val="center"/>
        <w:rPr>
          <w:rFonts w:hint="eastAsia" w:ascii="方正小标宋_GBK" w:hAnsi="方正小标宋_GBK" w:eastAsia="方正小标宋_GBK" w:cs="方正小标宋_GBK"/>
          <w:sz w:val="72"/>
          <w:szCs w:val="72"/>
        </w:rPr>
      </w:pPr>
    </w:p>
    <w:p w14:paraId="24BFD8A5">
      <w:pPr>
        <w:pStyle w:val="13"/>
        <w:jc w:val="center"/>
        <w:rPr>
          <w:rFonts w:hint="eastAsia" w:ascii="方正小标宋_GBK" w:hAnsi="方正小标宋_GBK" w:eastAsia="方正小标宋_GBK" w:cs="方正小标宋_GBK"/>
          <w:sz w:val="72"/>
          <w:szCs w:val="72"/>
        </w:rPr>
      </w:pPr>
    </w:p>
    <w:p w14:paraId="68A62C36">
      <w:pPr>
        <w:pStyle w:val="13"/>
        <w:jc w:val="center"/>
        <w:rPr>
          <w:rFonts w:hint="eastAsia" w:ascii="方正小标宋_GBK" w:hAnsi="方正小标宋_GBK" w:eastAsia="方正小标宋_GBK" w:cs="方正小标宋_GBK"/>
          <w:sz w:val="72"/>
          <w:szCs w:val="72"/>
        </w:rPr>
      </w:pPr>
    </w:p>
    <w:p w14:paraId="02DA3E70">
      <w:pPr>
        <w:pStyle w:val="13"/>
        <w:jc w:val="center"/>
        <w:rPr>
          <w:rFonts w:hint="eastAsia" w:ascii="方正小标宋_GBK" w:hAnsi="方正小标宋_GBK" w:eastAsia="方正小标宋_GBK" w:cs="方正小标宋_GBK"/>
          <w:sz w:val="72"/>
          <w:szCs w:val="72"/>
        </w:rPr>
      </w:pPr>
    </w:p>
    <w:p w14:paraId="70BCB32E">
      <w:pPr>
        <w:pStyle w:val="13"/>
        <w:jc w:val="center"/>
        <w:rPr>
          <w:rFonts w:hint="eastAsia" w:ascii="方正小标宋_GBK" w:hAnsi="方正小标宋_GBK" w:eastAsia="方正小标宋_GBK" w:cs="方正小标宋_GBK"/>
          <w:sz w:val="72"/>
          <w:szCs w:val="72"/>
        </w:rPr>
      </w:pPr>
    </w:p>
    <w:p w14:paraId="7A5875F4">
      <w:pPr>
        <w:pStyle w:val="13"/>
        <w:jc w:val="center"/>
        <w:rPr>
          <w:rFonts w:hint="eastAsia" w:ascii="方正小标宋_GBK" w:hAnsi="方正小标宋_GBK" w:eastAsia="方正小标宋_GBK" w:cs="方正小标宋_GBK"/>
          <w:sz w:val="72"/>
          <w:szCs w:val="72"/>
        </w:rPr>
      </w:pPr>
    </w:p>
    <w:p w14:paraId="15095075">
      <w:pPr>
        <w:pStyle w:val="13"/>
        <w:jc w:val="center"/>
        <w:rPr>
          <w:rFonts w:hint="eastAsia" w:ascii="方正小标宋_GBK" w:hAnsi="方正小标宋_GBK" w:eastAsia="方正小标宋_GBK" w:cs="方正小标宋_GBK"/>
          <w:sz w:val="72"/>
          <w:szCs w:val="72"/>
        </w:rPr>
      </w:pPr>
    </w:p>
    <w:p w14:paraId="17A7F77F">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8"/>
      </w:pPr>
    </w:p>
    <w:p w14:paraId="5331F884">
      <w:pPr>
        <w:pStyle w:val="4"/>
      </w:pPr>
    </w:p>
    <w:p w14:paraId="2CCAD852"/>
    <w:p w14:paraId="440E89DF">
      <w:pPr>
        <w:pStyle w:val="8"/>
      </w:pPr>
    </w:p>
    <w:p w14:paraId="645B9B76">
      <w:pPr>
        <w:pStyle w:val="4"/>
      </w:pPr>
    </w:p>
    <w:p w14:paraId="539F25AC"/>
    <w:p w14:paraId="7F7206FA"/>
    <w:p w14:paraId="75223824"/>
    <w:p w14:paraId="599AC2BC"/>
    <w:p w14:paraId="2C628CBB"/>
    <w:p w14:paraId="3BAFF98F"/>
    <w:p w14:paraId="285915EA"/>
    <w:p w14:paraId="60F8FA42"/>
    <w:p w14:paraId="6A672659"/>
    <w:p w14:paraId="12BD738E"/>
    <w:p w14:paraId="292EC08F"/>
    <w:p w14:paraId="5305B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一、财政拨款收入：指本级财政当年拨付的资金。</w:t>
      </w:r>
    </w:p>
    <w:p w14:paraId="76579F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年末结转和结余资金：指本年度或以前年度预算安排、因客观条件发生变化无法按原计划实施，需要延迟到以后年度按有关规定继续使用的资金。</w:t>
      </w:r>
    </w:p>
    <w:p w14:paraId="740B18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基本支出：指保障机构正常运转、完成支日常工作任务而发生的人员支出和公用支出。</w:t>
      </w:r>
    </w:p>
    <w:p w14:paraId="0AB7F8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项目支出：指在基本支出之外为完成特定行政任务和事业发展目标所发生的支出。</w:t>
      </w:r>
    </w:p>
    <w:p w14:paraId="200BAE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14:paraId="459772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204644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工资福利支出：反映单位开支的在职职工和编制外长期聘用人员的各类劳动报酬，以及为上述人员缴纳的各项社会保险费等。</w:t>
      </w:r>
    </w:p>
    <w:p w14:paraId="05ED1AA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lang w:val="en-US" w:eastAsia="zh-CN"/>
        </w:rPr>
        <w:t>机关运行经费：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E81CE8">
      <w:pPr>
        <w:pStyle w:val="13"/>
        <w:jc w:val="center"/>
        <w:rPr>
          <w:rFonts w:hint="eastAsia" w:ascii="仿宋_GB2312" w:hAnsi="仿宋_GB2312" w:eastAsia="仿宋_GB2312" w:cs="仿宋_GB2312"/>
          <w:sz w:val="32"/>
          <w:szCs w:val="32"/>
        </w:rPr>
      </w:pPr>
    </w:p>
    <w:p w14:paraId="1D47518A">
      <w:pPr>
        <w:pStyle w:val="4"/>
      </w:pPr>
    </w:p>
    <w:p w14:paraId="580CF8E4"/>
    <w:p w14:paraId="0C17744C">
      <w:pPr>
        <w:pStyle w:val="8"/>
      </w:pPr>
    </w:p>
    <w:p w14:paraId="7B8BABF4">
      <w:pPr>
        <w:pStyle w:val="4"/>
      </w:pPr>
    </w:p>
    <w:p w14:paraId="1942C0DC"/>
    <w:p w14:paraId="6E2D1EEF">
      <w:pPr>
        <w:pStyle w:val="8"/>
      </w:pPr>
    </w:p>
    <w:p w14:paraId="5F6ABC3B">
      <w:pPr>
        <w:pStyle w:val="4"/>
      </w:pPr>
    </w:p>
    <w:p w14:paraId="51BE6437"/>
    <w:p w14:paraId="05344CBA">
      <w:pPr>
        <w:pStyle w:val="8"/>
      </w:pPr>
    </w:p>
    <w:p w14:paraId="5C9170AD">
      <w:pPr>
        <w:pStyle w:val="4"/>
      </w:pPr>
    </w:p>
    <w:p w14:paraId="29D3A91E"/>
    <w:p w14:paraId="0D2A994E">
      <w:pPr>
        <w:pStyle w:val="8"/>
      </w:pPr>
    </w:p>
    <w:p w14:paraId="59CBCCA7">
      <w:pPr>
        <w:pStyle w:val="4"/>
      </w:pPr>
    </w:p>
    <w:p w14:paraId="67806EBD"/>
    <w:p w14:paraId="7C18BB03">
      <w:pPr>
        <w:pStyle w:val="8"/>
      </w:pPr>
    </w:p>
    <w:p w14:paraId="29230CAD">
      <w:pPr>
        <w:pStyle w:val="4"/>
      </w:pPr>
    </w:p>
    <w:p w14:paraId="724E0A54"/>
    <w:p w14:paraId="496F732E">
      <w:pPr>
        <w:pStyle w:val="8"/>
      </w:pPr>
    </w:p>
    <w:p w14:paraId="354ECFD8">
      <w:pPr>
        <w:pStyle w:val="4"/>
      </w:pPr>
    </w:p>
    <w:p w14:paraId="51C67B38"/>
    <w:p w14:paraId="4D131F3E"/>
    <w:p w14:paraId="7CFBCE3C">
      <w:pPr>
        <w:pStyle w:val="8"/>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1417" w:right="1587" w:bottom="1417" w:left="158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4CA06"/>
    <w:multiLevelType w:val="singleLevel"/>
    <w:tmpl w:val="1644CA06"/>
    <w:lvl w:ilvl="0" w:tentative="0">
      <w:start w:val="7"/>
      <w:numFmt w:val="chineseCounting"/>
      <w:suff w:val="nothing"/>
      <w:lvlText w:val="%1、"/>
      <w:lvlJc w:val="left"/>
      <w:rPr>
        <w:rFonts w:hint="eastAsia"/>
      </w:rPr>
    </w:lvl>
  </w:abstractNum>
  <w:abstractNum w:abstractNumId="1">
    <w:nsid w:val="3C07D3CB"/>
    <w:multiLevelType w:val="singleLevel"/>
    <w:tmpl w:val="3C07D3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0A0642EA"/>
    <w:rsid w:val="11944E2C"/>
    <w:rsid w:val="12583BA5"/>
    <w:rsid w:val="13BA5B9C"/>
    <w:rsid w:val="145002AE"/>
    <w:rsid w:val="16524854"/>
    <w:rsid w:val="1BC447F5"/>
    <w:rsid w:val="1D97DEFF"/>
    <w:rsid w:val="1DFF72E5"/>
    <w:rsid w:val="1EFC6F07"/>
    <w:rsid w:val="1F0527A6"/>
    <w:rsid w:val="21DE1955"/>
    <w:rsid w:val="22AC03C2"/>
    <w:rsid w:val="25D6438C"/>
    <w:rsid w:val="27DF1C1D"/>
    <w:rsid w:val="283B15FE"/>
    <w:rsid w:val="29DF7CB3"/>
    <w:rsid w:val="29E410E3"/>
    <w:rsid w:val="2FDF85B8"/>
    <w:rsid w:val="2FFFEE04"/>
    <w:rsid w:val="31C95635"/>
    <w:rsid w:val="349B511E"/>
    <w:rsid w:val="34DF85B0"/>
    <w:rsid w:val="363668D5"/>
    <w:rsid w:val="3B8F36BC"/>
    <w:rsid w:val="3BE9676F"/>
    <w:rsid w:val="41742F7F"/>
    <w:rsid w:val="43EB5BA5"/>
    <w:rsid w:val="48356F59"/>
    <w:rsid w:val="491FF225"/>
    <w:rsid w:val="4EC310A1"/>
    <w:rsid w:val="4FFD214C"/>
    <w:rsid w:val="500B0F52"/>
    <w:rsid w:val="5352765A"/>
    <w:rsid w:val="5777D4F5"/>
    <w:rsid w:val="57F22B6F"/>
    <w:rsid w:val="59DD8326"/>
    <w:rsid w:val="5DEF592A"/>
    <w:rsid w:val="5FC6BB1E"/>
    <w:rsid w:val="5FF720F1"/>
    <w:rsid w:val="622964C1"/>
    <w:rsid w:val="67FF5C0B"/>
    <w:rsid w:val="682D5AB2"/>
    <w:rsid w:val="6BAA4A2F"/>
    <w:rsid w:val="6DDEC5C0"/>
    <w:rsid w:val="6EFC0924"/>
    <w:rsid w:val="6FB74722"/>
    <w:rsid w:val="6FEF8B7E"/>
    <w:rsid w:val="717FE77F"/>
    <w:rsid w:val="71A6591B"/>
    <w:rsid w:val="737D59BA"/>
    <w:rsid w:val="737F32B1"/>
    <w:rsid w:val="73BD3FCA"/>
    <w:rsid w:val="776BDA01"/>
    <w:rsid w:val="77C37683"/>
    <w:rsid w:val="79FF515B"/>
    <w:rsid w:val="7D592A4D"/>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hint="default"/>
      <w:sz w:val="21"/>
      <w:szCs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6929</Words>
  <Characters>7418</Characters>
  <Lines>63</Lines>
  <Paragraphs>18</Paragraphs>
  <TotalTime>55</TotalTime>
  <ScaleCrop>false</ScaleCrop>
  <LinksUpToDate>false</LinksUpToDate>
  <CharactersWithSpaces>7433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明</cp:lastModifiedBy>
  <cp:lastPrinted>2025-09-19T02:22:00Z</cp:lastPrinted>
  <dcterms:modified xsi:type="dcterms:W3CDTF">2025-09-24T02:38:14Z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98623D6660B449428EB8E073C6C952EA</vt:lpwstr>
  </property>
  <property fmtid="{D5CDD505-2E9C-101B-9397-08002B2CF9AE}" pid="4" name="KSOTemplateDocerSaveRecord">
    <vt:lpwstr>eyJoZGlkIjoiZDExY2QyYzQxM2VhOGNjZGM2ZjYxOGMzZmM3MTZkYmIiLCJ1c2VySWQiOiIxNDcxMzg0NjQ2In0=</vt:lpwstr>
  </property>
</Properties>
</file>