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岳阳市老干部活动服务中心</w:t>
      </w:r>
      <w:r>
        <w:rPr>
          <w:rFonts w:hint="eastAsia" w:ascii="方正小标宋_GBK" w:hAnsi="方正小标宋_GBK" w:eastAsia="方正小标宋_GBK" w:cs="方正小标宋_GBK"/>
          <w:sz w:val="84"/>
          <w:szCs w:val="84"/>
        </w:rPr>
        <w:t>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459C483D">
      <w:pPr>
        <w:pStyle w:val="12"/>
        <w:spacing w:line="500" w:lineRule="exact"/>
        <w:jc w:val="both"/>
        <w:rPr>
          <w:b/>
          <w:sz w:val="36"/>
          <w:szCs w:val="28"/>
        </w:rPr>
      </w:pPr>
    </w:p>
    <w:p w14:paraId="24F3309B">
      <w:pPr>
        <w:pStyle w:val="12"/>
        <w:keepNext w:val="0"/>
        <w:keepLines w:val="0"/>
        <w:pageBreakBefore w:val="0"/>
        <w:widowControl w:val="0"/>
        <w:kinsoku/>
        <w:wordWrap/>
        <w:overflowPunct/>
        <w:topLinePunct w:val="0"/>
        <w:autoSpaceDE w:val="0"/>
        <w:autoSpaceDN w:val="0"/>
        <w:bidi w:val="0"/>
        <w:adjustRightInd w:val="0"/>
        <w:snapToGrid/>
        <w:spacing w:before="157" w:beforeLines="50" w:line="500" w:lineRule="exact"/>
        <w:jc w:val="center"/>
        <w:textAlignment w:val="auto"/>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岳阳市老干部活动服务中心概况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岳阳市老干部活动服务中心概况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9BE0210">
      <w:pPr>
        <w:numPr>
          <w:ilvl w:val="0"/>
          <w:numId w:val="0"/>
        </w:numPr>
        <w:spacing w:line="600" w:lineRule="exact"/>
        <w:ind w:firstLine="640" w:firstLineChars="200"/>
        <w:jc w:val="left"/>
        <w:rPr>
          <w:rFonts w:hint="eastAsia" w:ascii="仿宋_GB2312" w:hAnsi="仿宋_GB2312" w:eastAsia="仿宋_GB2312"/>
          <w:color w:val="000000"/>
          <w:sz w:val="32"/>
          <w:szCs w:val="32"/>
          <w:highlight w:val="white"/>
          <w:lang w:val="zh-CN"/>
        </w:rPr>
      </w:pPr>
      <w:r>
        <w:rPr>
          <w:rFonts w:hint="eastAsia" w:ascii="Times New Roman" w:hAnsi="Times New Roman" w:eastAsia="仿宋_GB2312" w:cs="仿宋_GB2312"/>
          <w:sz w:val="32"/>
          <w:szCs w:val="32"/>
        </w:rPr>
        <w:t>（一）</w:t>
      </w:r>
      <w:r>
        <w:rPr>
          <w:rFonts w:hint="eastAsia" w:ascii="仿宋_GB2312" w:hAnsi="仿宋_GB2312" w:eastAsia="仿宋_GB2312"/>
          <w:color w:val="000000"/>
          <w:sz w:val="32"/>
          <w:szCs w:val="32"/>
          <w:highlight w:val="white"/>
          <w:lang w:val="zh-CN"/>
        </w:rPr>
        <w:t>负责贯彻执行党和政府关于老干部工作的方针、政策，做好住所离退休干部及遗孀的管理、服务工作。(国发[1978]104号)</w:t>
      </w:r>
    </w:p>
    <w:p w14:paraId="59EE5A69">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（二）</w:t>
      </w:r>
      <w:r>
        <w:rPr>
          <w:rFonts w:hint="eastAsia" w:ascii="仿宋_GB2312" w:hAnsi="仿宋_GB2312" w:eastAsia="仿宋_GB2312"/>
          <w:color w:val="000000"/>
          <w:sz w:val="32"/>
          <w:szCs w:val="32"/>
          <w:highlight w:val="white"/>
          <w:lang w:val="zh-CN"/>
        </w:rPr>
        <w:t>负责加强住所离退休干部和在职工作人员思想政治工作，组织开展健康有益的活动。(国发[1980]253号)</w:t>
      </w:r>
    </w:p>
    <w:p w14:paraId="3CFF7697">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（三）</w:t>
      </w:r>
      <w:r>
        <w:rPr>
          <w:rFonts w:hint="eastAsia" w:ascii="仿宋_GB2312" w:hAnsi="仿宋_GB2312" w:eastAsia="仿宋_GB2312"/>
          <w:color w:val="000000"/>
          <w:sz w:val="32"/>
          <w:szCs w:val="32"/>
          <w:highlight w:val="white"/>
          <w:lang w:val="zh-CN"/>
        </w:rPr>
        <w:t>负责协调住所离休干部与原工作单位的关系，落实好住所离休干部的政治待遇和生活待遇，做好医疗保健工作。(国发[1978]104号)</w:t>
      </w:r>
    </w:p>
    <w:p w14:paraId="0383177D">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（四）</w:t>
      </w:r>
      <w:r>
        <w:rPr>
          <w:rFonts w:hint="eastAsia" w:ascii="仿宋_GB2312" w:hAnsi="仿宋_GB2312" w:eastAsia="仿宋_GB2312"/>
          <w:color w:val="000000"/>
          <w:sz w:val="32"/>
          <w:szCs w:val="32"/>
          <w:highlight w:val="white"/>
          <w:lang w:val="zh-CN"/>
        </w:rPr>
        <w:t>负责本单位国有资产管理，改善离退休干部活动场所，提高社会化服务保障水平。(国发[1980]253号)</w:t>
      </w:r>
    </w:p>
    <w:p w14:paraId="66AB330C">
      <w:pPr>
        <w:numPr>
          <w:ilvl w:val="0"/>
          <w:numId w:val="0"/>
        </w:numPr>
        <w:spacing w:line="600" w:lineRule="exact"/>
        <w:jc w:val="left"/>
        <w:rPr>
          <w:rFonts w:hint="eastAsia" w:ascii="仿宋_GB2312" w:hAnsi="仿宋_GB2312" w:eastAsia="仿宋_GB2312"/>
          <w:color w:val="000000"/>
          <w:sz w:val="32"/>
          <w:szCs w:val="32"/>
          <w:highlight w:val="white"/>
          <w:lang w:val="zh-CN"/>
        </w:rPr>
      </w:pPr>
      <w:r>
        <w:rPr>
          <w:rFonts w:hint="eastAsia" w:ascii="仿宋_GB2312" w:hAnsi="仿宋_GB2312" w:eastAsia="仿宋_GB2312"/>
          <w:color w:val="000000"/>
          <w:sz w:val="32"/>
          <w:szCs w:val="32"/>
          <w:highlight w:val="white"/>
          <w:lang w:val="en-US" w:eastAsia="zh-CN"/>
        </w:rPr>
        <w:t xml:space="preserve">   （五）</w:t>
      </w:r>
      <w:r>
        <w:rPr>
          <w:rFonts w:hint="eastAsia" w:ascii="仿宋_GB2312" w:hAnsi="仿宋_GB2312" w:eastAsia="仿宋_GB2312"/>
          <w:color w:val="000000"/>
          <w:sz w:val="32"/>
          <w:szCs w:val="32"/>
          <w:highlight w:val="white"/>
          <w:lang w:val="zh-CN"/>
        </w:rPr>
        <w:t>服务管理老干部活动中心各场馆，组织全市老干部开展各类娱乐、健身活动等。</w:t>
      </w:r>
    </w:p>
    <w:p w14:paraId="3DD68A6C">
      <w:pPr>
        <w:numPr>
          <w:ilvl w:val="0"/>
          <w:numId w:val="0"/>
        </w:numPr>
        <w:spacing w:line="600" w:lineRule="exact"/>
        <w:jc w:val="left"/>
        <w:rPr>
          <w:rFonts w:hint="eastAsia" w:ascii="Times New Roman" w:hAnsi="Times New Roman" w:eastAsia="仿宋_GB2312" w:cs="仿宋_GB2312"/>
          <w:sz w:val="32"/>
          <w:szCs w:val="32"/>
        </w:rPr>
      </w:pPr>
      <w:r>
        <w:rPr>
          <w:rFonts w:hint="eastAsia" w:ascii="仿宋_GB2312" w:hAnsi="仿宋_GB2312" w:eastAsia="仿宋_GB2312"/>
          <w:color w:val="000000"/>
          <w:sz w:val="32"/>
          <w:szCs w:val="32"/>
          <w:highlight w:val="white"/>
          <w:lang w:val="en-US" w:eastAsia="zh-CN"/>
        </w:rPr>
        <w:t xml:space="preserve">   （六）承办上级部门交办的其他工作。</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CA1E6C2">
      <w:pPr>
        <w:numPr>
          <w:ilvl w:val="0"/>
          <w:numId w:val="0"/>
        </w:numPr>
        <w:spacing w:line="60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5BCE79E3">
      <w:pPr>
        <w:numPr>
          <w:ilvl w:val="0"/>
          <w:numId w:val="0"/>
        </w:numPr>
        <w:spacing w:line="600" w:lineRule="exact"/>
        <w:ind w:firstLine="640" w:firstLineChars="200"/>
        <w:jc w:val="left"/>
        <w:rPr>
          <w:rFonts w:hint="eastAsia" w:ascii="Times New Roman" w:hAnsi="Times New Roman" w:eastAsia="仿宋_GB2312" w:cs="仿宋_GB2312"/>
          <w:bCs/>
          <w:kern w:val="0"/>
          <w:sz w:val="32"/>
          <w:szCs w:val="32"/>
        </w:rPr>
      </w:pPr>
      <w:r>
        <w:rPr>
          <w:rFonts w:hint="eastAsia" w:ascii="仿宋_GB2312" w:hAnsi="仿宋_GB2312" w:eastAsia="仿宋_GB2312"/>
          <w:color w:val="000000"/>
          <w:sz w:val="32"/>
          <w:szCs w:val="32"/>
          <w:highlight w:val="white"/>
          <w:lang w:val="zh-CN"/>
        </w:rPr>
        <w:t>岳阳市老干部活动服务中心属于独立核算全额拨款的（参公）事业二级单位，单位内设机构包括：</w:t>
      </w:r>
      <w:r>
        <w:rPr>
          <w:rFonts w:hint="eastAsia" w:ascii="仿宋_GB2312" w:hAnsi="仿宋_GB2312" w:eastAsia="仿宋_GB2312"/>
          <w:color w:val="000000"/>
          <w:sz w:val="32"/>
          <w:szCs w:val="32"/>
          <w:highlight w:val="white"/>
          <w:lang w:val="en-US" w:eastAsia="zh-CN"/>
        </w:rPr>
        <w:t>综合部、</w:t>
      </w:r>
      <w:r>
        <w:rPr>
          <w:rFonts w:hint="eastAsia" w:ascii="仿宋_GB2312" w:hAnsi="仿宋_GB2312" w:eastAsia="仿宋_GB2312"/>
          <w:color w:val="000000"/>
          <w:sz w:val="32"/>
          <w:szCs w:val="32"/>
          <w:highlight w:val="white"/>
          <w:lang w:val="zh-CN"/>
        </w:rPr>
        <w:t>生活服务</w:t>
      </w:r>
      <w:r>
        <w:rPr>
          <w:rFonts w:hint="eastAsia" w:ascii="仿宋_GB2312" w:hAnsi="仿宋_GB2312" w:eastAsia="仿宋_GB2312"/>
          <w:color w:val="000000"/>
          <w:sz w:val="32"/>
          <w:szCs w:val="32"/>
          <w:highlight w:val="white"/>
          <w:lang w:val="en-US" w:eastAsia="zh-CN"/>
        </w:rPr>
        <w:t>部、活动服务部</w:t>
      </w:r>
      <w:r>
        <w:rPr>
          <w:rFonts w:hint="eastAsia" w:ascii="仿宋_GB2312" w:hAnsi="仿宋_GB2312" w:eastAsia="仿宋_GB2312"/>
          <w:color w:val="000000"/>
          <w:sz w:val="32"/>
          <w:szCs w:val="32"/>
          <w:highlight w:val="white"/>
          <w:lang w:val="zh-CN"/>
        </w:rPr>
        <w:t>。现有人员编制1</w:t>
      </w:r>
      <w:r>
        <w:rPr>
          <w:rFonts w:hint="eastAsia" w:ascii="仿宋_GB2312" w:hAnsi="仿宋_GB2312" w:eastAsia="仿宋_GB2312"/>
          <w:color w:val="000000"/>
          <w:sz w:val="32"/>
          <w:szCs w:val="32"/>
          <w:highlight w:val="white"/>
          <w:lang w:val="en-US" w:eastAsia="zh-CN"/>
        </w:rPr>
        <w:t>8</w:t>
      </w:r>
      <w:r>
        <w:rPr>
          <w:rFonts w:hint="eastAsia" w:ascii="仿宋_GB2312" w:hAnsi="仿宋_GB2312" w:eastAsia="仿宋_GB2312"/>
          <w:color w:val="000000"/>
          <w:sz w:val="32"/>
          <w:szCs w:val="32"/>
          <w:highlight w:val="white"/>
          <w:lang w:val="zh-CN"/>
        </w:rPr>
        <w:t>人。</w:t>
      </w:r>
    </w:p>
    <w:p w14:paraId="125A1A60">
      <w:pPr>
        <w:numPr>
          <w:ilvl w:val="0"/>
          <w:numId w:val="2"/>
        </w:numPr>
        <w:spacing w:line="600" w:lineRule="exact"/>
        <w:ind w:left="420" w:leftChars="0" w:firstLineChars="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4563EEBD">
      <w:pPr>
        <w:numPr>
          <w:ilvl w:val="0"/>
          <w:numId w:val="0"/>
        </w:numPr>
        <w:spacing w:line="600" w:lineRule="exact"/>
        <w:ind w:firstLine="640" w:firstLineChars="200"/>
        <w:jc w:val="left"/>
        <w:rPr>
          <w:rFonts w:hint="eastAsia" w:ascii="仿宋_GB2312" w:hAnsi="仿宋_GB2312" w:eastAsia="仿宋_GB2312"/>
          <w:color w:val="000000"/>
          <w:sz w:val="32"/>
          <w:szCs w:val="32"/>
          <w:highlight w:val="white"/>
          <w:lang w:val="en-US" w:eastAsia="zh-CN"/>
        </w:rPr>
      </w:pPr>
      <w:r>
        <w:rPr>
          <w:rFonts w:hint="eastAsia" w:ascii="仿宋_GB2312" w:hAnsi="仿宋_GB2312" w:eastAsia="仿宋_GB2312"/>
          <w:color w:val="000000"/>
          <w:sz w:val="32"/>
          <w:szCs w:val="32"/>
          <w:highlight w:val="white"/>
          <w:lang w:val="zh-CN"/>
        </w:rPr>
        <w:t>岳阳市老干部活动服务中心单位202</w:t>
      </w:r>
      <w:r>
        <w:rPr>
          <w:rFonts w:hint="eastAsia" w:ascii="仿宋_GB2312" w:hAnsi="仿宋_GB2312" w:eastAsia="仿宋_GB2312"/>
          <w:color w:val="000000"/>
          <w:sz w:val="32"/>
          <w:szCs w:val="32"/>
          <w:highlight w:val="white"/>
          <w:lang w:val="en-US" w:eastAsia="zh-CN"/>
        </w:rPr>
        <w:t>4</w:t>
      </w:r>
      <w:r>
        <w:rPr>
          <w:rFonts w:hint="eastAsia" w:ascii="仿宋_GB2312" w:hAnsi="仿宋_GB2312" w:eastAsia="仿宋_GB2312"/>
          <w:color w:val="000000"/>
          <w:sz w:val="32"/>
          <w:szCs w:val="32"/>
          <w:highlight w:val="white"/>
          <w:lang w:val="zh-CN"/>
        </w:rPr>
        <w:t>年部门决算汇总公开单位构成包括：本单位</w:t>
      </w:r>
      <w:r>
        <w:rPr>
          <w:rFonts w:hint="eastAsia" w:ascii="仿宋_GB2312" w:hAnsi="仿宋_GB2312" w:eastAsia="仿宋_GB2312"/>
          <w:color w:val="000000"/>
          <w:sz w:val="32"/>
          <w:szCs w:val="32"/>
          <w:highlight w:val="white"/>
          <w:lang w:val="en-US" w:eastAsia="zh-CN"/>
        </w:rPr>
        <w:t>无独立核算的下属单位，2024年度部门决算汇总公开单位仅包括岳阳市老干部活动服务中心单位本级。</w:t>
      </w:r>
    </w:p>
    <w:p w14:paraId="1D871D56">
      <w:pPr>
        <w:widowControl/>
        <w:spacing w:line="600" w:lineRule="exact"/>
        <w:ind w:firstLine="630" w:firstLineChars="300"/>
        <w:rPr>
          <w:rFonts w:hint="eastAsia"/>
        </w:rPr>
      </w:pPr>
    </w:p>
    <w:p w14:paraId="38152785"/>
    <w:p w14:paraId="3CE56614">
      <w:pPr>
        <w:pStyle w:val="2"/>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7A44A82E">
      <w:pPr>
        <w:pStyle w:val="12"/>
        <w:jc w:val="both"/>
        <w:rPr>
          <w:rFonts w:hint="eastAsia" w:ascii="方正小标宋_GBK" w:hAnsi="方正小标宋_GBK" w:eastAsia="方正小标宋_GBK" w:cs="方正小标宋_GBK"/>
          <w:sz w:val="72"/>
          <w:szCs w:val="72"/>
        </w:rPr>
      </w:pPr>
    </w:p>
    <w:p w14:paraId="75CC8D2A">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514C072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23E79DA">
      <w:pPr>
        <w:pStyle w:val="12"/>
        <w:jc w:val="center"/>
        <w:rPr>
          <w:rFonts w:hint="eastAsia" w:ascii="方正小标宋_GBK" w:hAnsi="方正小标宋_GBK" w:eastAsia="方正小标宋_GBK" w:cs="方正小标宋_GBK"/>
          <w:sz w:val="70"/>
          <w:szCs w:val="70"/>
        </w:rPr>
      </w:pP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E0052D8">
      <w:pPr>
        <w:widowControl w:val="0"/>
        <w:autoSpaceDE w:val="0"/>
        <w:autoSpaceDN w:val="0"/>
        <w:adjustRightInd w:val="0"/>
        <w:ind w:firstLine="640" w:firstLineChars="200"/>
        <w:rPr>
          <w:rFonts w:hint="eastAsia"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468.03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21.39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人员增加。</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28467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465.56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417.32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89.64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48.24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10.36</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464.48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425.55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91.62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38.93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51E22FB">
      <w:pPr>
        <w:widowControl w:val="0"/>
        <w:autoSpaceDE w:val="0"/>
        <w:autoSpaceDN w:val="0"/>
        <w:adjustRightInd w:val="0"/>
        <w:ind w:firstLine="640" w:firstLineChars="200"/>
        <w:rPr>
          <w:rFonts w:hint="default"/>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417.32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20.74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人员增加。</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417.32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89.64</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20.74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%，主要是因为人员增加。</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AB6BC0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417.32</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271.88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65.15</w:t>
      </w:r>
      <w:r>
        <w:rPr>
          <w:rFonts w:hint="eastAsia" w:ascii="仿宋_GB2312" w:hAnsi="仿宋_GB2312" w:eastAsia="仿宋_GB2312" w:cs="仿宋_GB2312"/>
          <w:sz w:val="32"/>
          <w:szCs w:val="32"/>
        </w:rPr>
        <w:t>%；</w:t>
      </w:r>
      <w:r>
        <w:rPr>
          <w:rFonts w:hint="eastAsia" w:ascii="仿宋_GB2312" w:hAnsi="仿宋_GB2312" w:eastAsia="仿宋_GB2312"/>
          <w:color w:val="000000"/>
          <w:kern w:val="0"/>
          <w:sz w:val="32"/>
          <w:szCs w:val="32"/>
          <w:highlight w:val="white"/>
          <w:lang w:val="en-US"/>
        </w:rPr>
        <w:t>社会保障和就业（类）支出</w:t>
      </w:r>
      <w:r>
        <w:rPr>
          <w:rFonts w:hint="eastAsia" w:ascii="仿宋_GB2312" w:hAnsi="仿宋_GB2312" w:eastAsia="仿宋_GB2312"/>
          <w:color w:val="000000"/>
          <w:kern w:val="0"/>
          <w:sz w:val="32"/>
          <w:szCs w:val="32"/>
          <w:highlight w:val="white"/>
          <w:lang w:val="en-US" w:eastAsia="zh-CN"/>
        </w:rPr>
        <w:t>122.62</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29.38</w:t>
      </w:r>
      <w:r>
        <w:rPr>
          <w:rFonts w:hint="eastAsia" w:ascii="仿宋_GB2312" w:hAnsi="仿宋_GB2312" w:eastAsia="仿宋_GB2312"/>
          <w:color w:val="000000"/>
          <w:kern w:val="0"/>
          <w:sz w:val="32"/>
          <w:szCs w:val="32"/>
          <w:highlight w:val="white"/>
          <w:lang w:val="en-US"/>
        </w:rPr>
        <w:t>%；卫生健康（类）支出</w:t>
      </w:r>
      <w:r>
        <w:rPr>
          <w:rFonts w:hint="eastAsia" w:ascii="仿宋_GB2312" w:hAnsi="仿宋_GB2312" w:eastAsia="仿宋_GB2312"/>
          <w:color w:val="000000"/>
          <w:kern w:val="0"/>
          <w:sz w:val="32"/>
          <w:szCs w:val="32"/>
          <w:highlight w:val="white"/>
          <w:lang w:val="en-US" w:eastAsia="zh-CN"/>
        </w:rPr>
        <w:t>7.46</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1.78</w:t>
      </w:r>
      <w:r>
        <w:rPr>
          <w:rFonts w:hint="eastAsia" w:ascii="仿宋_GB2312" w:hAnsi="仿宋_GB2312" w:eastAsia="仿宋_GB2312"/>
          <w:color w:val="000000"/>
          <w:kern w:val="0"/>
          <w:sz w:val="32"/>
          <w:szCs w:val="32"/>
          <w:highlight w:val="white"/>
          <w:lang w:val="en-US"/>
        </w:rPr>
        <w:t>%；</w:t>
      </w:r>
      <w:r>
        <w:rPr>
          <w:rFonts w:hint="eastAsia" w:ascii="仿宋_GB2312" w:hAnsi="仿宋_GB2312" w:eastAsia="仿宋_GB2312"/>
          <w:color w:val="000000"/>
          <w:kern w:val="0"/>
          <w:sz w:val="32"/>
          <w:szCs w:val="32"/>
          <w:highlight w:val="white"/>
          <w:lang w:val="en-US" w:eastAsia="zh-CN"/>
        </w:rPr>
        <w:t>住房保障</w:t>
      </w:r>
      <w:r>
        <w:rPr>
          <w:rFonts w:hint="eastAsia" w:ascii="仿宋_GB2312" w:hAnsi="仿宋_GB2312" w:eastAsia="仿宋_GB2312"/>
          <w:color w:val="000000"/>
          <w:kern w:val="0"/>
          <w:sz w:val="32"/>
          <w:szCs w:val="32"/>
          <w:highlight w:val="white"/>
          <w:lang w:val="en-US"/>
        </w:rPr>
        <w:t>（类）支出</w:t>
      </w:r>
      <w:r>
        <w:rPr>
          <w:rFonts w:hint="eastAsia" w:ascii="仿宋_GB2312" w:hAnsi="仿宋_GB2312" w:eastAsia="仿宋_GB2312"/>
          <w:color w:val="000000"/>
          <w:kern w:val="0"/>
          <w:sz w:val="32"/>
          <w:szCs w:val="32"/>
          <w:highlight w:val="white"/>
          <w:lang w:val="en-US" w:eastAsia="zh-CN"/>
        </w:rPr>
        <w:t>15.38</w:t>
      </w:r>
      <w:r>
        <w:rPr>
          <w:rFonts w:hint="eastAsia" w:ascii="仿宋_GB2312" w:hAnsi="仿宋_GB2312" w:eastAsia="仿宋_GB2312"/>
          <w:color w:val="000000"/>
          <w:kern w:val="0"/>
          <w:sz w:val="32"/>
          <w:szCs w:val="32"/>
          <w:highlight w:val="white"/>
          <w:lang w:val="en-US"/>
        </w:rPr>
        <w:t>万元，占</w:t>
      </w:r>
      <w:r>
        <w:rPr>
          <w:rFonts w:hint="eastAsia" w:ascii="仿宋_GB2312" w:hAnsi="仿宋_GB2312" w:eastAsia="仿宋_GB2312"/>
          <w:color w:val="000000"/>
          <w:kern w:val="0"/>
          <w:sz w:val="32"/>
          <w:szCs w:val="32"/>
          <w:highlight w:val="white"/>
          <w:lang w:val="en-US" w:eastAsia="zh-CN"/>
        </w:rPr>
        <w:t>3.69</w:t>
      </w:r>
      <w:r>
        <w:rPr>
          <w:rFonts w:hint="eastAsia" w:ascii="仿宋_GB2312" w:hAnsi="仿宋_GB2312" w:eastAsia="仿宋_GB2312"/>
          <w:color w:val="000000"/>
          <w:kern w:val="0"/>
          <w:sz w:val="32"/>
          <w:szCs w:val="32"/>
          <w:highlight w:val="white"/>
          <w:lang w:val="en-US"/>
        </w:rPr>
        <w:t>%</w:t>
      </w:r>
      <w:r>
        <w:rPr>
          <w:rFonts w:hint="eastAsia" w:ascii="仿宋_GB2312" w:hAnsi="仿宋_GB2312" w:eastAsia="仿宋_GB2312"/>
          <w:color w:val="000000"/>
          <w:kern w:val="0"/>
          <w:sz w:val="32"/>
          <w:szCs w:val="32"/>
          <w:highlight w:val="white"/>
          <w:lang w:val="en-US" w:eastAsia="zh-CN"/>
        </w:rPr>
        <w:t>。</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387.18</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417.32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107.78</w:t>
      </w:r>
      <w:r>
        <w:rPr>
          <w:rFonts w:hint="eastAsia" w:ascii="仿宋_GB2312" w:hAnsi="仿宋_GB2312" w:eastAsia="仿宋_GB2312" w:cs="仿宋_GB2312"/>
          <w:color w:val="auto"/>
          <w:sz w:val="32"/>
          <w:szCs w:val="32"/>
        </w:rPr>
        <w:t>%，其中：</w:t>
      </w:r>
    </w:p>
    <w:p w14:paraId="07CAD43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一般公共服务</w:t>
      </w:r>
      <w:r>
        <w:rPr>
          <w:rFonts w:hint="eastAsia" w:ascii="仿宋_GB2312" w:hAnsi="仿宋_GB2312" w:eastAsia="仿宋_GB2312"/>
          <w:color w:val="auto"/>
          <w:sz w:val="32"/>
          <w:szCs w:val="32"/>
          <w:lang w:val="en-US"/>
        </w:rPr>
        <w:t>支出（类）政府办公厅（室）及相关机构事务（款）行政运行（项）</w:t>
      </w:r>
      <w:r>
        <w:rPr>
          <w:rFonts w:hint="eastAsia" w:ascii="仿宋_GB2312" w:hAnsi="仿宋_GB2312" w:eastAsia="仿宋_GB2312" w:cs="仿宋_GB2312"/>
          <w:sz w:val="32"/>
          <w:szCs w:val="32"/>
        </w:rPr>
        <w:t>。</w:t>
      </w:r>
    </w:p>
    <w:p w14:paraId="37D5C358">
      <w:pPr>
        <w:pStyle w:val="12"/>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194.44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178.24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91.67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严控经费管理。</w:t>
      </w:r>
    </w:p>
    <w:p w14:paraId="14D7DA7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olor w:val="auto"/>
          <w:sz w:val="32"/>
          <w:szCs w:val="32"/>
          <w:lang w:val="en-US"/>
        </w:rPr>
        <w:t>政府办公厅（室）及相关机构事务（款）一般行政管理事务（项）。</w:t>
      </w:r>
    </w:p>
    <w:p w14:paraId="6EDD13D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50.50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97.12</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严控经费管理</w:t>
      </w:r>
      <w:r>
        <w:rPr>
          <w:rFonts w:hint="eastAsia" w:ascii="仿宋_GB2312" w:hAnsi="仿宋_GB2312" w:eastAsia="仿宋_GB2312"/>
          <w:color w:val="auto"/>
          <w:sz w:val="32"/>
          <w:szCs w:val="32"/>
          <w:lang w:val="en-US" w:eastAsia="zh-CN"/>
        </w:rPr>
        <w:t>。</w:t>
      </w:r>
    </w:p>
    <w:p w14:paraId="7020F830">
      <w:pPr>
        <w:pStyle w:val="12"/>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仿宋_GB2312" w:hAnsi="仿宋_GB2312" w:eastAsia="仿宋_GB2312"/>
          <w:color w:val="auto"/>
          <w:sz w:val="32"/>
          <w:szCs w:val="32"/>
          <w:lang w:val="en-US"/>
        </w:rPr>
      </w:pPr>
      <w:r>
        <w:rPr>
          <w:rFonts w:hint="eastAsia" w:ascii="仿宋_GB2312" w:hAnsi="仿宋_GB2312" w:eastAsia="仿宋_GB2312" w:cs="黑体"/>
          <w:color w:val="auto"/>
          <w:kern w:val="0"/>
          <w:sz w:val="32"/>
          <w:szCs w:val="32"/>
          <w:lang w:val="en-US" w:eastAsia="zh-CN" w:bidi="ar-SA"/>
        </w:rPr>
        <w:t>3、</w:t>
      </w:r>
      <w:r>
        <w:rPr>
          <w:rFonts w:hint="eastAsia" w:ascii="仿宋_GB2312" w:hAnsi="仿宋_GB2312" w:eastAsia="仿宋_GB2312"/>
          <w:color w:val="auto"/>
          <w:sz w:val="32"/>
          <w:szCs w:val="32"/>
          <w:lang w:val="en-US"/>
        </w:rPr>
        <w:t>一般公共服务支出（类）党委办公厅（室）及相关机构事务（款）行政运行（项）。</w:t>
      </w:r>
    </w:p>
    <w:p w14:paraId="0D6991E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17.55</w:t>
      </w:r>
      <w:r>
        <w:rPr>
          <w:rFonts w:hint="eastAsia" w:ascii="仿宋_GB2312" w:hAnsi="仿宋_GB2312" w:eastAsia="仿宋_GB2312"/>
          <w:color w:val="auto"/>
          <w:sz w:val="32"/>
          <w:szCs w:val="32"/>
          <w:lang w:val="en-US"/>
        </w:rPr>
        <w:t>万元，决算数大于预算数的主要原因是</w:t>
      </w:r>
      <w:r>
        <w:rPr>
          <w:rFonts w:hint="eastAsia" w:ascii="仿宋_GB2312" w:hAnsi="仿宋_GB2312" w:eastAsia="仿宋_GB2312"/>
          <w:color w:val="auto"/>
          <w:sz w:val="32"/>
          <w:szCs w:val="32"/>
          <w:lang w:val="en-US" w:eastAsia="zh-CN"/>
        </w:rPr>
        <w:t>增加了项目支出。</w:t>
      </w:r>
    </w:p>
    <w:p w14:paraId="2AA59A93">
      <w:pPr>
        <w:pStyle w:val="12"/>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仿宋_GB2312" w:hAnsi="仿宋_GB2312" w:eastAsia="仿宋_GB2312"/>
          <w:color w:val="auto"/>
          <w:sz w:val="32"/>
          <w:szCs w:val="32"/>
          <w:lang w:val="en-US"/>
        </w:rPr>
      </w:pPr>
      <w:r>
        <w:rPr>
          <w:rFonts w:hint="eastAsia" w:ascii="仿宋_GB2312" w:hAnsi="仿宋_GB2312" w:eastAsia="仿宋_GB2312" w:cs="黑体"/>
          <w:color w:val="auto"/>
          <w:kern w:val="0"/>
          <w:sz w:val="32"/>
          <w:szCs w:val="32"/>
          <w:lang w:val="en-US" w:eastAsia="zh-CN" w:bidi="ar-SA"/>
        </w:rPr>
        <w:t>4、</w:t>
      </w:r>
      <w:r>
        <w:rPr>
          <w:rFonts w:hint="eastAsia" w:ascii="仿宋_GB2312" w:hAnsi="仿宋_GB2312" w:eastAsia="仿宋_GB2312"/>
          <w:color w:val="auto"/>
          <w:sz w:val="32"/>
          <w:szCs w:val="32"/>
          <w:lang w:val="en-US"/>
        </w:rPr>
        <w:t>一般公共服务支出（类）党委办公厅（室）及相关机构事务（款）</w:t>
      </w:r>
      <w:r>
        <w:rPr>
          <w:rFonts w:hint="eastAsia" w:ascii="仿宋_GB2312" w:hAnsi="仿宋_GB2312" w:eastAsia="仿宋_GB2312"/>
          <w:color w:val="auto"/>
          <w:sz w:val="32"/>
          <w:szCs w:val="32"/>
          <w:lang w:val="en-US" w:eastAsia="zh-CN"/>
        </w:rPr>
        <w:t>其他</w:t>
      </w:r>
      <w:r>
        <w:rPr>
          <w:rFonts w:hint="eastAsia" w:ascii="仿宋_GB2312" w:hAnsi="仿宋_GB2312" w:eastAsia="仿宋_GB2312"/>
          <w:color w:val="auto"/>
          <w:sz w:val="32"/>
          <w:szCs w:val="32"/>
          <w:lang w:val="en-US"/>
        </w:rPr>
        <w:t>党委办公厅（室）及相关机构事务（项）。</w:t>
      </w:r>
    </w:p>
    <w:p w14:paraId="40A7464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25.59</w:t>
      </w:r>
      <w:r>
        <w:rPr>
          <w:rFonts w:hint="eastAsia" w:ascii="仿宋_GB2312" w:hAnsi="仿宋_GB2312" w:eastAsia="仿宋_GB2312"/>
          <w:color w:val="auto"/>
          <w:sz w:val="32"/>
          <w:szCs w:val="32"/>
          <w:lang w:val="en-US"/>
        </w:rPr>
        <w:t>万元，决算数大于预算数的主要原因是</w:t>
      </w:r>
      <w:r>
        <w:rPr>
          <w:rFonts w:hint="eastAsia" w:ascii="仿宋_GB2312" w:hAnsi="仿宋_GB2312" w:eastAsia="仿宋_GB2312"/>
          <w:color w:val="auto"/>
          <w:sz w:val="32"/>
          <w:szCs w:val="32"/>
          <w:lang w:val="en-US" w:eastAsia="zh-CN"/>
        </w:rPr>
        <w:t>增加了项目支出。</w:t>
      </w:r>
    </w:p>
    <w:p w14:paraId="5F75333C">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lang w:val="en-US"/>
        </w:rPr>
        <w:t>社会保障和就业支出（类）行政事业单位养老支出（款）行政单位</w:t>
      </w:r>
      <w:r>
        <w:rPr>
          <w:rFonts w:hint="eastAsia" w:ascii="仿宋_GB2312" w:hAnsi="仿宋_GB2312" w:eastAsia="仿宋_GB2312"/>
          <w:color w:val="auto"/>
          <w:sz w:val="32"/>
          <w:szCs w:val="32"/>
          <w:lang w:val="en-US" w:eastAsia="zh-CN"/>
        </w:rPr>
        <w:t>离退休</w:t>
      </w:r>
      <w:r>
        <w:rPr>
          <w:rFonts w:hint="eastAsia" w:ascii="仿宋_GB2312" w:hAnsi="仿宋_GB2312" w:eastAsia="仿宋_GB2312"/>
          <w:color w:val="auto"/>
          <w:sz w:val="32"/>
          <w:szCs w:val="32"/>
          <w:lang w:val="en-US"/>
        </w:rPr>
        <w:t>（项）。</w:t>
      </w:r>
    </w:p>
    <w:p w14:paraId="2F85678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color w:val="auto"/>
          <w:sz w:val="32"/>
          <w:szCs w:val="32"/>
          <w:lang w:val="en-US" w:eastAsia="zh-CN"/>
        </w:rPr>
        <w:t>90.34</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82.63</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小于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严控经费管理。</w:t>
      </w:r>
    </w:p>
    <w:p w14:paraId="098931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lang w:val="en-US"/>
        </w:rPr>
        <w:t>社会保障和就业支出（类）行政事业单位养老支出（款）机关事业单位基本养老保险缴费支出（项）。</w:t>
      </w:r>
    </w:p>
    <w:p w14:paraId="3A8731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color w:val="auto"/>
          <w:sz w:val="32"/>
          <w:szCs w:val="32"/>
          <w:lang w:val="en-US" w:eastAsia="zh-CN"/>
        </w:rPr>
        <w:t>21.34</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21.34</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等于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预算合格，完成年初预算的100%。</w:t>
      </w:r>
    </w:p>
    <w:p w14:paraId="58D2EA5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lang w:val="en-US"/>
        </w:rPr>
        <w:t>社会保障和就业支出（类）</w:t>
      </w:r>
      <w:r>
        <w:rPr>
          <w:rFonts w:hint="eastAsia" w:ascii="仿宋_GB2312" w:hAnsi="仿宋_GB2312" w:eastAsia="仿宋_GB2312"/>
          <w:color w:val="auto"/>
          <w:sz w:val="32"/>
          <w:szCs w:val="32"/>
          <w:lang w:val="en-US" w:eastAsia="zh-CN"/>
        </w:rPr>
        <w:t>抚恤</w:t>
      </w:r>
      <w:r>
        <w:rPr>
          <w:rFonts w:hint="eastAsia" w:ascii="仿宋_GB2312" w:hAnsi="仿宋_GB2312" w:eastAsia="仿宋_GB2312"/>
          <w:color w:val="auto"/>
          <w:sz w:val="32"/>
          <w:szCs w:val="32"/>
          <w:lang w:val="en-US"/>
        </w:rPr>
        <w:t>（款）</w:t>
      </w:r>
      <w:r>
        <w:rPr>
          <w:rFonts w:hint="eastAsia" w:ascii="仿宋_GB2312" w:hAnsi="仿宋_GB2312" w:eastAsia="仿宋_GB2312"/>
          <w:color w:val="auto"/>
          <w:sz w:val="32"/>
          <w:szCs w:val="32"/>
          <w:lang w:val="en-US" w:eastAsia="zh-CN"/>
        </w:rPr>
        <w:t>其他优抚支出</w:t>
      </w:r>
      <w:r>
        <w:rPr>
          <w:rFonts w:hint="eastAsia" w:ascii="仿宋_GB2312" w:hAnsi="仿宋_GB2312" w:eastAsia="仿宋_GB2312"/>
          <w:color w:val="auto"/>
          <w:sz w:val="32"/>
          <w:szCs w:val="32"/>
          <w:lang w:val="en-US"/>
        </w:rPr>
        <w:t>（项）。</w:t>
      </w:r>
    </w:p>
    <w:p w14:paraId="3C5A020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17.05</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大于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上一年度有退休老同志去世。</w:t>
      </w:r>
    </w:p>
    <w:p w14:paraId="40932AD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8、</w:t>
      </w:r>
      <w:r>
        <w:rPr>
          <w:rFonts w:hint="eastAsia" w:ascii="仿宋_GB2312" w:hAnsi="仿宋_GB2312" w:eastAsia="仿宋_GB2312"/>
          <w:color w:val="auto"/>
          <w:sz w:val="32"/>
          <w:szCs w:val="32"/>
          <w:lang w:val="en-US"/>
        </w:rPr>
        <w:t>社会保障和就业支出（类）</w:t>
      </w:r>
      <w:r>
        <w:rPr>
          <w:rFonts w:hint="eastAsia" w:ascii="仿宋_GB2312" w:hAnsi="仿宋_GB2312" w:eastAsia="仿宋_GB2312"/>
          <w:color w:val="auto"/>
          <w:sz w:val="32"/>
          <w:szCs w:val="32"/>
          <w:lang w:val="en-US" w:eastAsia="zh-CN"/>
        </w:rPr>
        <w:t>残疾人事业</w:t>
      </w:r>
      <w:r>
        <w:rPr>
          <w:rFonts w:hint="eastAsia" w:ascii="仿宋_GB2312" w:hAnsi="仿宋_GB2312" w:eastAsia="仿宋_GB2312"/>
          <w:color w:val="auto"/>
          <w:sz w:val="32"/>
          <w:szCs w:val="32"/>
          <w:lang w:val="en-US"/>
        </w:rPr>
        <w:t>（款）</w:t>
      </w:r>
      <w:r>
        <w:rPr>
          <w:rFonts w:hint="eastAsia" w:ascii="仿宋_GB2312" w:hAnsi="仿宋_GB2312" w:eastAsia="仿宋_GB2312"/>
          <w:color w:val="auto"/>
          <w:sz w:val="32"/>
          <w:szCs w:val="32"/>
          <w:lang w:val="en-US" w:eastAsia="zh-CN"/>
        </w:rPr>
        <w:t>其他残疾人事业</w:t>
      </w:r>
      <w:r>
        <w:rPr>
          <w:rFonts w:hint="eastAsia" w:ascii="仿宋_GB2312" w:hAnsi="仿宋_GB2312" w:eastAsia="仿宋_GB2312"/>
          <w:color w:val="auto"/>
          <w:sz w:val="32"/>
          <w:szCs w:val="32"/>
          <w:lang w:val="en-US"/>
        </w:rPr>
        <w:t>（项）。</w:t>
      </w:r>
    </w:p>
    <w:p w14:paraId="1D858CA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1.6</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等于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预算合格，完成年初预算的100%。</w:t>
      </w:r>
    </w:p>
    <w:p w14:paraId="027680C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lang w:val="en-US"/>
        </w:rPr>
        <w:t>卫生健康支出（类）行政事业单位医疗（款）行政单位医疗（项）。</w:t>
      </w:r>
    </w:p>
    <w:p w14:paraId="1F7DED3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sz w:val="32"/>
          <w:szCs w:val="32"/>
          <w:lang w:val="en-US" w:eastAsia="zh-CN"/>
        </w:rPr>
        <w:t>12.08</w:t>
      </w:r>
      <w:r>
        <w:rPr>
          <w:rFonts w:hint="eastAsia" w:ascii="仿宋_GB2312" w:hAnsi="仿宋_GB2312" w:eastAsia="仿宋_GB2312"/>
          <w:color w:val="auto"/>
          <w:sz w:val="32"/>
          <w:szCs w:val="32"/>
          <w:lang w:val="en-US"/>
        </w:rPr>
        <w:t>万元，支出决算为7</w:t>
      </w:r>
      <w:r>
        <w:rPr>
          <w:rFonts w:hint="eastAsia" w:ascii="仿宋_GB2312" w:hAnsi="仿宋_GB2312" w:eastAsia="仿宋_GB2312"/>
          <w:color w:val="auto"/>
          <w:sz w:val="32"/>
          <w:szCs w:val="32"/>
          <w:lang w:val="en-US" w:eastAsia="zh-CN"/>
        </w:rPr>
        <w:t>.46</w:t>
      </w:r>
      <w:r>
        <w:rPr>
          <w:rFonts w:hint="eastAsia" w:ascii="仿宋_GB2312" w:hAnsi="仿宋_GB2312" w:eastAsia="仿宋_GB2312"/>
          <w:color w:val="auto"/>
          <w:sz w:val="32"/>
          <w:szCs w:val="32"/>
          <w:lang w:val="en-US"/>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61.75</w:t>
      </w:r>
      <w:r>
        <w:rPr>
          <w:rFonts w:hint="eastAsia" w:ascii="仿宋_GB2312" w:hAnsi="仿宋_GB2312" w:eastAsia="仿宋_GB2312" w:cs="仿宋_GB2312"/>
          <w:sz w:val="32"/>
          <w:szCs w:val="32"/>
        </w:rPr>
        <w:t>%，</w:t>
      </w:r>
      <w:r>
        <w:rPr>
          <w:rFonts w:hint="eastAsia" w:ascii="仿宋_GB2312" w:hAnsi="仿宋_GB2312" w:eastAsia="仿宋_GB2312"/>
          <w:color w:val="auto"/>
          <w:sz w:val="32"/>
          <w:szCs w:val="32"/>
          <w:lang w:val="en-US"/>
        </w:rPr>
        <w:t>决算数</w:t>
      </w:r>
      <w:r>
        <w:rPr>
          <w:rFonts w:hint="eastAsia" w:ascii="仿宋_GB2312" w:hAnsi="仿宋_GB2312" w:eastAsia="仿宋_GB2312"/>
          <w:color w:val="auto"/>
          <w:sz w:val="32"/>
          <w:szCs w:val="32"/>
          <w:lang w:val="en-US" w:eastAsia="zh-CN"/>
        </w:rPr>
        <w:t>小</w:t>
      </w:r>
      <w:r>
        <w:rPr>
          <w:rFonts w:hint="eastAsia" w:ascii="仿宋_GB2312" w:hAnsi="仿宋_GB2312" w:eastAsia="仿宋_GB2312"/>
          <w:color w:val="auto"/>
          <w:sz w:val="32"/>
          <w:szCs w:val="32"/>
          <w:lang w:val="en-US"/>
        </w:rPr>
        <w:t>于预算数的主要原因是</w:t>
      </w:r>
      <w:r>
        <w:rPr>
          <w:rFonts w:hint="eastAsia" w:ascii="仿宋_GB2312" w:hAnsi="仿宋_GB2312" w:eastAsia="仿宋_GB2312"/>
          <w:color w:val="auto"/>
          <w:sz w:val="32"/>
          <w:szCs w:val="32"/>
          <w:lang w:val="en-US" w:eastAsia="zh-CN"/>
        </w:rPr>
        <w:t>严控经费管理。</w:t>
      </w:r>
    </w:p>
    <w:p w14:paraId="1C7ABF03">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10、住房保障支出</w:t>
      </w:r>
      <w:r>
        <w:rPr>
          <w:rFonts w:hint="eastAsia" w:ascii="仿宋_GB2312" w:hAnsi="仿宋_GB2312" w:eastAsia="仿宋_GB2312"/>
          <w:color w:val="auto"/>
          <w:sz w:val="32"/>
          <w:szCs w:val="32"/>
          <w:lang w:val="en-US"/>
        </w:rPr>
        <w:t>（类）</w:t>
      </w:r>
      <w:r>
        <w:rPr>
          <w:rFonts w:hint="eastAsia" w:ascii="仿宋_GB2312" w:hAnsi="仿宋_GB2312" w:eastAsia="仿宋_GB2312"/>
          <w:color w:val="auto"/>
          <w:sz w:val="32"/>
          <w:szCs w:val="32"/>
          <w:lang w:val="en-US" w:eastAsia="zh-CN"/>
        </w:rPr>
        <w:t>住房改革支出</w:t>
      </w:r>
      <w:r>
        <w:rPr>
          <w:rFonts w:hint="eastAsia" w:ascii="仿宋_GB2312" w:hAnsi="仿宋_GB2312" w:eastAsia="仿宋_GB2312"/>
          <w:color w:val="auto"/>
          <w:sz w:val="32"/>
          <w:szCs w:val="32"/>
          <w:lang w:val="en-US"/>
        </w:rPr>
        <w:t>（款）</w:t>
      </w:r>
      <w:r>
        <w:rPr>
          <w:rFonts w:hint="eastAsia" w:ascii="仿宋_GB2312" w:hAnsi="仿宋_GB2312" w:eastAsia="仿宋_GB2312"/>
          <w:color w:val="auto"/>
          <w:sz w:val="32"/>
          <w:szCs w:val="32"/>
          <w:lang w:val="en-US" w:eastAsia="zh-CN"/>
        </w:rPr>
        <w:t>住房公积金</w:t>
      </w:r>
      <w:r>
        <w:rPr>
          <w:rFonts w:hint="eastAsia" w:ascii="仿宋_GB2312" w:hAnsi="仿宋_GB2312" w:eastAsia="仿宋_GB2312"/>
          <w:color w:val="auto"/>
          <w:sz w:val="32"/>
          <w:szCs w:val="32"/>
          <w:lang w:val="en-US"/>
        </w:rPr>
        <w:t>（项）。</w:t>
      </w:r>
    </w:p>
    <w:p w14:paraId="7C0A80F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olor w:val="auto"/>
          <w:sz w:val="32"/>
          <w:szCs w:val="32"/>
          <w:lang w:val="en-US"/>
        </w:rPr>
        <w:t>年初预算为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olor w:val="auto"/>
          <w:sz w:val="32"/>
          <w:szCs w:val="32"/>
          <w:lang w:val="en-US"/>
        </w:rPr>
        <w:t>万元，支出决算为</w:t>
      </w:r>
      <w:r>
        <w:rPr>
          <w:rFonts w:hint="eastAsia" w:ascii="仿宋_GB2312" w:hAnsi="仿宋_GB2312" w:eastAsia="仿宋_GB2312"/>
          <w:color w:val="auto"/>
          <w:sz w:val="32"/>
          <w:szCs w:val="32"/>
          <w:lang w:val="en-US" w:eastAsia="zh-CN"/>
        </w:rPr>
        <w:t>15.38</w:t>
      </w:r>
      <w:r>
        <w:rPr>
          <w:rFonts w:hint="eastAsia" w:ascii="仿宋_GB2312" w:hAnsi="仿宋_GB2312" w:eastAsia="仿宋_GB2312"/>
          <w:color w:val="auto"/>
          <w:sz w:val="32"/>
          <w:szCs w:val="32"/>
          <w:lang w:val="en-US"/>
        </w:rPr>
        <w:t>万元，决算数</w:t>
      </w:r>
      <w:r>
        <w:rPr>
          <w:rFonts w:hint="eastAsia" w:ascii="仿宋_GB2312" w:hAnsi="仿宋_GB2312" w:eastAsia="仿宋_GB2312"/>
          <w:color w:val="auto"/>
          <w:sz w:val="32"/>
          <w:szCs w:val="32"/>
          <w:lang w:val="en-US" w:eastAsia="zh-CN"/>
        </w:rPr>
        <w:t>等于</w:t>
      </w:r>
      <w:r>
        <w:rPr>
          <w:rFonts w:hint="eastAsia" w:ascii="仿宋_GB2312" w:hAnsi="仿宋_GB2312" w:eastAsia="仿宋_GB2312"/>
          <w:color w:val="auto"/>
          <w:sz w:val="32"/>
          <w:szCs w:val="32"/>
          <w:lang w:val="en-US"/>
        </w:rPr>
        <w:t>预算数的主要原因是</w:t>
      </w:r>
      <w:r>
        <w:rPr>
          <w:rFonts w:hint="eastAsia" w:ascii="仿宋_GB2312" w:hAnsi="仿宋_GB2312" w:eastAsia="仿宋_GB2312"/>
          <w:color w:val="auto"/>
          <w:sz w:val="32"/>
          <w:szCs w:val="32"/>
          <w:lang w:val="en-US" w:eastAsia="zh-CN"/>
        </w:rPr>
        <w:t>预算合格，完成年初预算的100%。</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379.45</w:t>
      </w:r>
      <w:r>
        <w:rPr>
          <w:rFonts w:hint="eastAsia" w:ascii="仿宋_GB2312" w:hAnsi="仿宋_GB2312" w:eastAsia="仿宋_GB2312" w:cs="仿宋_GB2312"/>
          <w:sz w:val="32"/>
          <w:szCs w:val="32"/>
        </w:rPr>
        <w:t>万元，其中：</w:t>
      </w:r>
    </w:p>
    <w:p w14:paraId="2B56675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olor w:val="auto"/>
          <w:kern w:val="0"/>
          <w:sz w:val="32"/>
          <w:szCs w:val="32"/>
          <w:highlight w:val="white"/>
          <w:lang w:val="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335.47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88.41</w:t>
      </w:r>
      <w:r>
        <w:rPr>
          <w:rFonts w:hint="eastAsia" w:ascii="仿宋_GB2312" w:hAnsi="仿宋_GB2312" w:eastAsia="仿宋_GB2312" w:cs="仿宋_GB2312"/>
          <w:sz w:val="32"/>
          <w:szCs w:val="32"/>
        </w:rPr>
        <w:t>%,</w:t>
      </w:r>
      <w:r>
        <w:rPr>
          <w:rFonts w:hint="eastAsia" w:ascii="仿宋_GB2312" w:hAnsi="仿宋_GB2312" w:eastAsia="仿宋_GB2312"/>
          <w:color w:val="auto"/>
          <w:kern w:val="0"/>
          <w:sz w:val="32"/>
          <w:szCs w:val="32"/>
          <w:highlight w:val="white"/>
          <w:lang w:val="en-US"/>
        </w:rPr>
        <w:t>主要包括基本工资、津贴补贴、</w:t>
      </w:r>
      <w:r>
        <w:rPr>
          <w:rFonts w:hint="eastAsia" w:ascii="仿宋_GB2312" w:hAnsi="仿宋_GB2312" w:eastAsia="仿宋_GB2312"/>
          <w:color w:val="auto"/>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43.98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11.59</w:t>
      </w:r>
      <w:r>
        <w:rPr>
          <w:rFonts w:hint="eastAsia" w:ascii="仿宋_GB2312" w:hAnsi="仿宋_GB2312" w:eastAsia="仿宋_GB2312" w:cs="仿宋_GB2312"/>
          <w:sz w:val="32"/>
          <w:szCs w:val="32"/>
        </w:rPr>
        <w:t>%，</w:t>
      </w:r>
      <w:r>
        <w:rPr>
          <w:rFonts w:hint="eastAsia" w:ascii="仿宋_GB2312" w:hAnsi="仿宋_GB2312" w:eastAsia="仿宋_GB2312"/>
          <w:color w:val="auto"/>
          <w:kern w:val="0"/>
          <w:sz w:val="32"/>
          <w:szCs w:val="32"/>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w:t>
      </w:r>
      <w:r>
        <w:rPr>
          <w:rFonts w:hint="eastAsia" w:ascii="仿宋_GB2312" w:hAnsi="仿宋_GB2312" w:eastAsia="仿宋_GB2312"/>
          <w:color w:val="auto"/>
          <w:kern w:val="0"/>
          <w:sz w:val="32"/>
          <w:szCs w:val="32"/>
          <w:highlight w:val="white"/>
          <w:lang w:val="en-US" w:eastAsia="zh-CN"/>
        </w:rPr>
        <w:t>置</w:t>
      </w:r>
      <w:r>
        <w:rPr>
          <w:rFonts w:hint="eastAsia" w:ascii="宋体" w:hAnsi="宋体"/>
          <w:color w:val="auto"/>
          <w:kern w:val="0"/>
          <w:sz w:val="32"/>
          <w:szCs w:val="32"/>
          <w:highlight w:val="white"/>
          <w:lang w:val="en-US"/>
        </w:rPr>
        <w:t>、</w:t>
      </w:r>
      <w:r>
        <w:rPr>
          <w:rFonts w:hint="eastAsia" w:ascii="仿宋_GB2312" w:hAnsi="仿宋_GB2312" w:eastAsia="仿宋_GB2312"/>
          <w:color w:val="auto"/>
          <w:kern w:val="0"/>
          <w:sz w:val="32"/>
          <w:szCs w:val="32"/>
          <w:highlight w:val="white"/>
          <w:lang w:val="en-US"/>
        </w:rPr>
        <w:t>其他资本性支出、赠与</w:t>
      </w:r>
      <w:r>
        <w:rPr>
          <w:rFonts w:hint="eastAsia" w:ascii="宋体" w:hAnsi="宋体"/>
          <w:color w:val="auto"/>
          <w:kern w:val="0"/>
          <w:sz w:val="32"/>
          <w:szCs w:val="32"/>
          <w:highlight w:val="white"/>
          <w:lang w:val="en-US"/>
        </w:rPr>
        <w:t>。</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highlight w:val="none"/>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93D9B5D">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w:t>
      </w:r>
      <w:r>
        <w:rPr>
          <w:rFonts w:hint="eastAsia" w:ascii="Times New Roman" w:hAnsi="Times New Roman" w:eastAsia="楷体_GB2312" w:cs="Times New Roman"/>
          <w:b/>
          <w:color w:val="auto"/>
          <w:sz w:val="32"/>
          <w:szCs w:val="32"/>
          <w:lang w:eastAsia="zh-CN"/>
        </w:rPr>
        <w:t>“三公”</w:t>
      </w:r>
      <w:r>
        <w:rPr>
          <w:rFonts w:ascii="Times New Roman" w:hAnsi="Times New Roman" w:eastAsia="楷体_GB2312" w:cs="Times New Roman"/>
          <w:b/>
          <w:color w:val="auto"/>
          <w:sz w:val="32"/>
          <w:szCs w:val="32"/>
        </w:rPr>
        <w:t>经费财政拨款支出决算总体情况说明</w:t>
      </w:r>
    </w:p>
    <w:p w14:paraId="14B2BA2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w:t>
      </w:r>
      <w:r>
        <w:rPr>
          <w:rFonts w:hint="eastAsia" w:ascii="Times New Roman" w:hAnsi="Times New Roman" w:eastAsia="仿宋_GB2312" w:cs="Times New Roman"/>
          <w:color w:val="auto"/>
          <w:sz w:val="32"/>
          <w:szCs w:val="32"/>
          <w:lang w:val="en-US" w:eastAsia="zh-CN"/>
        </w:rPr>
        <w:t>小</w:t>
      </w:r>
      <w:r>
        <w:rPr>
          <w:rFonts w:hint="eastAsia" w:ascii="Times New Roman" w:hAnsi="Times New Roman" w:eastAsia="仿宋_GB2312" w:cs="Times New Roman"/>
          <w:color w:val="auto"/>
          <w:sz w:val="32"/>
          <w:szCs w:val="32"/>
          <w:lang w:eastAsia="zh-CN"/>
        </w:rPr>
        <w:t>于预算数</w:t>
      </w:r>
      <w:r>
        <w:rPr>
          <w:rFonts w:hint="eastAsia" w:ascii="Times New Roman" w:hAnsi="Times New Roman" w:eastAsia="仿宋_GB2312" w:cs="Times New Roman"/>
          <w:color w:val="auto"/>
          <w:sz w:val="32"/>
          <w:szCs w:val="32"/>
          <w:lang w:val="en-US" w:eastAsia="zh-CN"/>
        </w:rPr>
        <w:t>，主要原因是我单位严格按预算执行决算，无公务接待；与上年一致，无增减变动，主要原因是按有关政策厉行节约，严控“三公经费”支出。</w:t>
      </w:r>
    </w:p>
    <w:p w14:paraId="0C0A7EC3">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w:t>
      </w:r>
      <w:r>
        <w:rPr>
          <w:rFonts w:hint="eastAsia" w:ascii="Times New Roman" w:hAnsi="Times New Roman" w:eastAsia="楷体_GB2312" w:cs="Times New Roman"/>
          <w:b/>
          <w:color w:val="auto"/>
          <w:sz w:val="32"/>
          <w:szCs w:val="32"/>
          <w:lang w:eastAsia="zh-CN"/>
        </w:rPr>
        <w:t>“三公”</w:t>
      </w:r>
      <w:r>
        <w:rPr>
          <w:rFonts w:ascii="Times New Roman" w:hAnsi="Times New Roman" w:eastAsia="楷体_GB2312" w:cs="Times New Roman"/>
          <w:b/>
          <w:color w:val="auto"/>
          <w:sz w:val="32"/>
          <w:szCs w:val="32"/>
        </w:rPr>
        <w:t>经费财政拨款支出决算具体情况说明</w:t>
      </w:r>
    </w:p>
    <w:p w14:paraId="026680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126DFFE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w:t>
      </w:r>
      <w:r>
        <w:rPr>
          <w:rFonts w:ascii="Times New Roman" w:hAnsi="Times New Roman" w:eastAsia="仿宋_GB2312" w:cs="Times New Roman"/>
          <w:color w:val="auto"/>
          <w:sz w:val="32"/>
          <w:szCs w:val="32"/>
        </w:rPr>
        <w:t>。其中：</w:t>
      </w:r>
    </w:p>
    <w:p w14:paraId="707B63F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6EB2C26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w:t>
      </w:r>
      <w:r>
        <w:rPr>
          <w:rFonts w:ascii="Times New Roman" w:hAnsi="Times New Roman" w:eastAsia="仿宋_GB2312" w:cs="Times New Roman"/>
          <w:color w:val="auto"/>
          <w:sz w:val="32"/>
          <w:szCs w:val="32"/>
        </w:rPr>
        <w:t>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到</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039328FA">
      <w:pPr>
        <w:pStyle w:val="12"/>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决算数小于预算数，主要原因是严格执行中央八项规定，无公务接待；与上年一致，无增减变动，主要原因是按有关政策厉行节约，严控公务接待支出。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2"/>
        <w:ind w:firstLine="640" w:firstLineChars="200"/>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43.98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比上年决算数增加</w:t>
      </w:r>
      <w:r>
        <w:rPr>
          <w:rFonts w:hint="eastAsia" w:ascii="仿宋_GB2312" w:hAnsi="仿宋_GB2312" w:eastAsia="仿宋_GB2312" w:cs="仿宋_GB2312"/>
          <w:sz w:val="32"/>
          <w:szCs w:val="32"/>
          <w:highlight w:val="none"/>
          <w:lang w:val="en-US" w:eastAsia="zh-CN"/>
        </w:rPr>
        <w:t>5.82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15.25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人员增加。</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1A940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i w:val="0"/>
          <w:iCs w:val="0"/>
          <w:color w:val="auto"/>
          <w:kern w:val="0"/>
          <w:sz w:val="32"/>
          <w:szCs w:val="32"/>
          <w:lang w:val="en-US" w:eastAsia="zh-CN" w:bidi="ar-SA"/>
        </w:rPr>
      </w:pPr>
      <w:r>
        <w:rPr>
          <w:rFonts w:hint="eastAsia" w:ascii="仿宋_GB2312" w:hAnsi="仿宋_GB2312" w:eastAsia="仿宋_GB2312" w:cs="仿宋_GB2312"/>
          <w:b w:val="0"/>
          <w:bCs w:val="0"/>
          <w:i w:val="0"/>
          <w:iCs w:val="0"/>
          <w:color w:val="auto"/>
          <w:kern w:val="0"/>
          <w:sz w:val="32"/>
          <w:szCs w:val="32"/>
          <w:lang w:val="en-US" w:eastAsia="zh-CN" w:bidi="ar-SA"/>
        </w:rPr>
        <w:t>本单位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b w:val="0"/>
          <w:bCs w:val="0"/>
          <w:i w:val="0"/>
          <w:iCs w:val="0"/>
          <w:color w:val="auto"/>
          <w:kern w:val="0"/>
          <w:sz w:val="32"/>
          <w:szCs w:val="32"/>
          <w:lang w:val="en-US" w:eastAsia="zh-CN" w:bidi="ar-SA"/>
        </w:rPr>
        <w:t>无会议费的预算和支出决算数；本单位无培训费的预算和支出决算数；本单位无举办节庆、晚会、论坛、赛事等活动的预算和支出决算数。</w:t>
      </w:r>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color w:val="auto"/>
          <w:sz w:val="32"/>
          <w:szCs w:val="32"/>
          <w:lang w:val="en-US" w:eastAsia="zh-CN"/>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（由于</w:t>
      </w:r>
      <w:r>
        <w:rPr>
          <w:rFonts w:hint="eastAsia" w:ascii="仿宋_GB2312" w:hAnsi="仿宋_GB2312" w:eastAsia="仿宋_GB2312" w:cs="仿宋_GB2312"/>
          <w:color w:val="auto"/>
          <w:sz w:val="32"/>
          <w:szCs w:val="32"/>
        </w:rPr>
        <w:t>政府采购支出总额</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0，故无法计算</w:t>
      </w:r>
      <w:r>
        <w:rPr>
          <w:rFonts w:hint="eastAsia" w:ascii="仿宋_GB2312" w:hAnsi="仿宋_GB2312" w:eastAsia="仿宋_GB2312" w:cs="仿宋_GB2312"/>
          <w:color w:val="auto"/>
          <w:sz w:val="32"/>
          <w:szCs w:val="32"/>
        </w:rPr>
        <w:t>占政府采购支出总额的</w:t>
      </w:r>
      <w:r>
        <w:rPr>
          <w:rFonts w:hint="eastAsia" w:ascii="仿宋_GB2312" w:hAnsi="仿宋_GB2312" w:eastAsia="仿宋_GB2312" w:cs="仿宋_GB2312"/>
          <w:color w:val="auto"/>
          <w:sz w:val="32"/>
          <w:szCs w:val="32"/>
          <w:lang w:eastAsia="zh-CN"/>
        </w:rPr>
        <w:t>比重）</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（由于授予中小企业合同金额为</w:t>
      </w:r>
      <w:r>
        <w:rPr>
          <w:rFonts w:hint="eastAsia" w:ascii="仿宋_GB2312" w:hAnsi="仿宋_GB2312" w:eastAsia="仿宋_GB2312" w:cs="仿宋_GB2312"/>
          <w:color w:val="auto"/>
          <w:sz w:val="32"/>
          <w:szCs w:val="32"/>
          <w:lang w:val="en-US" w:eastAsia="zh-CN"/>
        </w:rPr>
        <w:t>0，故无法计算</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比重）</w:t>
      </w:r>
      <w:r>
        <w:rPr>
          <w:rFonts w:hint="eastAsia" w:ascii="仿宋_GB2312" w:hAnsi="仿宋_GB2312" w:eastAsia="仿宋_GB2312" w:cs="仿宋_GB2312"/>
          <w:color w:val="auto"/>
          <w:sz w:val="32"/>
          <w:szCs w:val="32"/>
        </w:rPr>
        <w:t>。货物采购授予中小企业合同金额占货物支出金额的</w:t>
      </w:r>
      <w:r>
        <w:rPr>
          <w:rFonts w:hint="eastAsia" w:ascii="仿宋_GB2312" w:hAnsi="仿宋_GB2312" w:eastAsia="仿宋_GB2312" w:cs="仿宋_GB2312"/>
          <w:color w:val="auto"/>
          <w:sz w:val="32"/>
          <w:szCs w:val="32"/>
          <w:lang w:eastAsia="zh-CN"/>
        </w:rPr>
        <w:t>比重</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eastAsia="zh-CN"/>
        </w:rPr>
        <w:t>比重</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eastAsia="zh-CN"/>
        </w:rPr>
        <w:t>比重，由于以上各项合同金额为</w:t>
      </w:r>
      <w:r>
        <w:rPr>
          <w:rFonts w:hint="eastAsia" w:ascii="仿宋_GB2312" w:hAnsi="仿宋_GB2312" w:eastAsia="仿宋_GB2312" w:cs="仿宋_GB2312"/>
          <w:color w:val="auto"/>
          <w:sz w:val="32"/>
          <w:szCs w:val="32"/>
          <w:lang w:val="en-US" w:eastAsia="zh-CN"/>
        </w:rPr>
        <w:t>0，故无法计算各项占比</w:t>
      </w:r>
      <w:r>
        <w:rPr>
          <w:rFonts w:hint="eastAsia" w:ascii="仿宋_GB2312" w:hAnsi="仿宋_GB2312" w:eastAsia="仿宋_GB2312" w:cs="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sz w:val="32"/>
          <w:szCs w:val="32"/>
          <w:lang w:val="en-US" w:eastAsia="zh-CN"/>
        </w:rPr>
        <w:t>截至2024年12月31日，本单位共有车辆0辆，其中，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2329EC4">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仿宋_GB2312" w:hAnsi="仿宋_GB2312" w:eastAsia="仿宋_GB2312" w:cs="仿宋_GB2312"/>
          <w:kern w:val="0"/>
          <w:sz w:val="32"/>
          <w:szCs w:val="32"/>
        </w:rPr>
        <w:t>组织对2024年度本部门（单位）整体支出开展绩效自评，涉及项目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lang w:val="en-US" w:eastAsia="zh-CN"/>
        </w:rPr>
        <w:t>38.93</w:t>
      </w:r>
      <w:bookmarkStart w:id="0" w:name="_GoBack"/>
      <w:bookmarkEnd w:id="0"/>
      <w:r>
        <w:rPr>
          <w:rFonts w:hint="eastAsia" w:ascii="仿宋_GB2312" w:hAnsi="仿宋_GB2312" w:eastAsia="仿宋_GB2312" w:cs="仿宋_GB2312"/>
          <w:kern w:val="0"/>
          <w:sz w:val="32"/>
          <w:szCs w:val="32"/>
        </w:rPr>
        <w:t>万元。其中，一般公共预算项目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37.87</w:t>
      </w:r>
      <w:r>
        <w:rPr>
          <w:rFonts w:hint="eastAsia" w:ascii="仿宋_GB2312" w:hAnsi="仿宋_GB2312" w:eastAsia="仿宋_GB2312" w:cs="仿宋_GB2312"/>
          <w:kern w:val="0"/>
          <w:sz w:val="32"/>
          <w:szCs w:val="32"/>
        </w:rPr>
        <w:t>万元，占一般公共预算支出总额的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%；政府性基金预算项目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万元，占政府性基金预算支出总额的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%；国有资本经营预算项目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万元，占国有资本经营预算支出总额的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社会保险基金预算项目</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万元，占社会保险基金预算支出总额的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p>
    <w:p w14:paraId="76567358">
      <w:pPr>
        <w:numPr>
          <w:ilvl w:val="0"/>
          <w:numId w:val="0"/>
        </w:numPr>
        <w:overflowPunct w:val="0"/>
        <w:spacing w:line="600" w:lineRule="exact"/>
        <w:ind w:firstLine="640" w:firstLineChars="200"/>
        <w:rPr>
          <w:rFonts w:hint="eastAsia" w:ascii="Times New Roman" w:hAnsi="Times New Roman" w:eastAsia="仿宋_GB2312" w:cs="Times New Roman"/>
          <w:b/>
          <w:bCs/>
          <w:color w:val="auto"/>
          <w:kern w:val="0"/>
          <w:sz w:val="32"/>
          <w:szCs w:val="32"/>
          <w:lang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部</w:t>
      </w:r>
      <w:r>
        <w:rPr>
          <w:rFonts w:ascii="Times New Roman" w:hAnsi="Times New Roman" w:eastAsia="仿宋_GB2312" w:cs="Times New Roman"/>
          <w:b/>
          <w:bCs/>
          <w:kern w:val="0"/>
          <w:sz w:val="32"/>
          <w:szCs w:val="32"/>
        </w:rPr>
        <w:t>门评价开展情况</w:t>
      </w:r>
      <w:r>
        <w:rPr>
          <w:rFonts w:hint="eastAsia" w:ascii="Times New Roman" w:hAnsi="Times New Roman" w:eastAsia="仿宋_GB2312" w:cs="Times New Roman"/>
          <w:b/>
          <w:bCs/>
          <w:color w:val="auto"/>
          <w:kern w:val="0"/>
          <w:sz w:val="32"/>
          <w:szCs w:val="32"/>
          <w:lang w:eastAsia="zh-CN"/>
        </w:rPr>
        <w:t>。</w:t>
      </w:r>
    </w:p>
    <w:p w14:paraId="3BED0FFB">
      <w:pPr>
        <w:numPr>
          <w:ilvl w:val="0"/>
          <w:numId w:val="0"/>
        </w:num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14:paraId="3C078F6A">
      <w:pPr>
        <w:numPr>
          <w:ilvl w:val="0"/>
          <w:numId w:val="0"/>
        </w:numPr>
        <w:overflowPunct w:val="0"/>
        <w:spacing w:line="600" w:lineRule="exact"/>
        <w:ind w:left="0" w:leftChars="0" w:firstLine="640" w:firstLineChars="200"/>
        <w:rPr>
          <w:rFonts w:ascii="Times New Roman" w:hAnsi="Times New Roman" w:eastAsia="仿宋_GB2312" w:cs="Times New Roman"/>
          <w:b/>
          <w:bCs/>
          <w:kern w:val="0"/>
          <w:sz w:val="32"/>
          <w:szCs w:val="32"/>
        </w:rPr>
      </w:pPr>
      <w:r>
        <w:rPr>
          <w:rFonts w:hint="eastAsia" w:ascii="仿宋_GB2312" w:hAnsi="仿宋_GB2312" w:eastAsia="仿宋_GB2312" w:cs="仿宋_GB2312"/>
          <w:b/>
          <w:bCs/>
          <w:kern w:val="0"/>
          <w:sz w:val="32"/>
          <w:szCs w:val="32"/>
          <w:lang w:val="en-US" w:eastAsia="zh-CN"/>
        </w:rPr>
        <w:t>3.</w:t>
      </w:r>
      <w:r>
        <w:rPr>
          <w:rFonts w:ascii="Times New Roman" w:hAnsi="Times New Roman" w:eastAsia="仿宋_GB2312" w:cs="Times New Roman"/>
          <w:b/>
          <w:bCs/>
          <w:kern w:val="0"/>
          <w:sz w:val="32"/>
          <w:szCs w:val="32"/>
        </w:rPr>
        <w:t>事前绩效评估开展情况。</w:t>
      </w:r>
    </w:p>
    <w:p w14:paraId="004D01B3">
      <w:pPr>
        <w:numPr>
          <w:ilvl w:val="0"/>
          <w:numId w:val="0"/>
        </w:numPr>
        <w:overflowPunct w:val="0"/>
        <w:spacing w:line="600" w:lineRule="exact"/>
        <w:ind w:left="0" w:leftChars="0"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2F6AE6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rPr>
        <w:t>绩效自评结果。</w:t>
      </w:r>
    </w:p>
    <w:p w14:paraId="015940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2024年度本部门（单位）整体支出</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335.18</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379.44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113.2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，绩效自评得分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，评价等级为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优秀</w:t>
      </w:r>
      <w:r>
        <w:rPr>
          <w:rFonts w:hint="eastAsia" w:ascii="仿宋_GB2312" w:hAnsi="仿宋_GB2312" w:eastAsia="仿宋_GB2312" w:cs="仿宋_GB2312"/>
          <w:sz w:val="32"/>
          <w:szCs w:val="32"/>
        </w:rPr>
        <w:t>”。</w:t>
      </w:r>
    </w:p>
    <w:p w14:paraId="11AAE30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绩效目标完成情况：</w:t>
      </w: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sz w:val="32"/>
          <w:szCs w:val="32"/>
        </w:rPr>
        <w:t>我</w:t>
      </w:r>
      <w:r>
        <w:rPr>
          <w:rFonts w:hint="eastAsia" w:ascii="仿宋" w:hAnsi="仿宋" w:eastAsia="仿宋" w:cs="仿宋"/>
          <w:sz w:val="32"/>
          <w:szCs w:val="32"/>
          <w:lang w:val="en-US" w:eastAsia="zh-CN"/>
        </w:rPr>
        <w:t>中心</w:t>
      </w:r>
      <w:r>
        <w:rPr>
          <w:rFonts w:hint="eastAsia" w:ascii="仿宋" w:hAnsi="仿宋" w:eastAsia="仿宋" w:cs="仿宋"/>
          <w:sz w:val="32"/>
          <w:szCs w:val="32"/>
        </w:rPr>
        <w:t>积极履行职责，强化管理，圆满完成了年度工作目标，同时加强预算收支的管理，建立健全内部管理制度，严格内部管理流程，部门整体支出管理得到了提升。本年预算配置控制较好，财政供养人员控制在预算编制以内，实际在职人员数少于编制数</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val="en-US" w:eastAsia="zh-CN"/>
        </w:rPr>
        <w:t>总体执行较好</w:t>
      </w:r>
      <w:r>
        <w:rPr>
          <w:rFonts w:hint="eastAsia" w:ascii="仿宋" w:hAnsi="仿宋" w:eastAsia="仿宋" w:cs="仿宋"/>
          <w:sz w:val="32"/>
          <w:szCs w:val="32"/>
          <w:lang w:val="en-US" w:eastAsia="zh-CN"/>
        </w:rPr>
        <w:t>。</w:t>
      </w:r>
    </w:p>
    <w:p w14:paraId="494024B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预算管理意识不足，在预算编制过程中缺乏节约意识和精细化管理，导致预算编制较为宽松，未能充分考虑资源的有效利用；二是在预算编制时，对固定性支出与变动性支出的区分不够明确，导致预算编制缺乏针对性，难以有效控制变动成本。</w:t>
      </w:r>
    </w:p>
    <w:p w14:paraId="104B708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 w:hAnsi="楷体" w:eastAsia="楷体" w:cs="楷体"/>
          <w:b/>
          <w:bCs/>
          <w:i w:val="0"/>
          <w:iCs w:val="0"/>
          <w:color w:val="FF0000"/>
          <w:kern w:val="0"/>
          <w:sz w:val="36"/>
          <w:szCs w:val="36"/>
          <w:lang w:val="en-US" w:eastAsia="zh-CN"/>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 w:hAnsi="仿宋" w:eastAsia="仿宋" w:cs="仿宋"/>
          <w:color w:val="000000"/>
          <w:kern w:val="0"/>
          <w:sz w:val="32"/>
          <w:szCs w:val="32"/>
          <w:lang w:val="en-US" w:eastAsia="zh-CN"/>
        </w:rPr>
        <w:t>本着“勤俭节约、保障运转”的原则进行预算的编制</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 w:hAnsi="仿宋" w:eastAsia="仿宋" w:cs="仿宋"/>
          <w:color w:val="000000"/>
          <w:kern w:val="0"/>
          <w:sz w:val="32"/>
          <w:szCs w:val="32"/>
          <w:lang w:val="en-US" w:eastAsia="zh-CN"/>
        </w:rPr>
        <w:t>首先需要满足固定性的、相对刚性的费用支出项目，尽量压缩变动性的、有控制空间的费用项目，进一步提高预算编制的科学性、合理性、严谨性和可控性</w:t>
      </w:r>
      <w:r>
        <w:rPr>
          <w:rFonts w:hint="eastAsia" w:ascii="仿宋_GB2312" w:hAnsi="仿宋_GB2312" w:eastAsia="仿宋_GB2312" w:cs="仿宋_GB2312"/>
          <w:b w:val="0"/>
          <w:bCs w:val="0"/>
          <w:color w:val="000000"/>
          <w:kern w:val="0"/>
          <w:sz w:val="32"/>
          <w:szCs w:val="32"/>
          <w:lang w:val="en-US" w:eastAsia="zh-CN" w:bidi="ar-SA"/>
        </w:rPr>
        <w:t>。</w:t>
      </w:r>
    </w:p>
    <w:p w14:paraId="714E4058">
      <w:pPr>
        <w:numPr>
          <w:ilvl w:val="0"/>
          <w:numId w:val="0"/>
        </w:num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hint="eastAsia" w:ascii="仿宋_GB2312" w:hAnsi="仿宋_GB2312" w:eastAsia="仿宋_GB2312" w:cs="仿宋_GB2312"/>
          <w:b/>
          <w:bCs/>
          <w:kern w:val="0"/>
          <w:sz w:val="32"/>
          <w:szCs w:val="32"/>
          <w:lang w:val="en-US" w:eastAsia="zh-CN"/>
        </w:rPr>
        <w:t>2.部门评价结果</w:t>
      </w:r>
      <w:r>
        <w:rPr>
          <w:rFonts w:hint="eastAsia" w:ascii="Times New Roman" w:hAnsi="Times New Roman" w:eastAsia="仿宋_GB2312" w:cs="Times New Roman"/>
          <w:b/>
          <w:bCs/>
          <w:kern w:val="0"/>
          <w:sz w:val="32"/>
          <w:szCs w:val="32"/>
          <w:lang w:eastAsia="zh-CN"/>
        </w:rPr>
        <w:t>。</w:t>
      </w:r>
    </w:p>
    <w:p w14:paraId="71BCEBD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本单位为二级预算单位，部门评价结果可详见上级部门决算公开说明。</w:t>
      </w:r>
    </w:p>
    <w:p w14:paraId="7C87673A">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仿宋_GB2312" w:hAnsi="仿宋_GB2312" w:eastAsia="仿宋_GB2312" w:cs="仿宋_GB2312"/>
          <w:b/>
          <w:bCs/>
          <w:kern w:val="0"/>
          <w:sz w:val="32"/>
          <w:szCs w:val="32"/>
          <w:lang w:val="en-US" w:eastAsia="zh-CN"/>
        </w:rPr>
        <w:t>3.事前绩效评估结果。</w:t>
      </w:r>
    </w:p>
    <w:p w14:paraId="5DC4775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FF0000"/>
          <w:sz w:val="32"/>
          <w:szCs w:val="32"/>
        </w:rPr>
      </w:pPr>
      <w:r>
        <w:rPr>
          <w:rFonts w:hint="eastAsia" w:ascii="Times New Roman" w:hAnsi="Times New Roman" w:eastAsia="仿宋_GB2312" w:cs="Times New Roman"/>
          <w:color w:val="auto"/>
          <w:kern w:val="0"/>
          <w:sz w:val="32"/>
          <w:szCs w:val="32"/>
          <w:lang w:val="en-US" w:eastAsia="zh-CN"/>
        </w:rPr>
        <w:t>本单位为二级预算单位，事前绩效评估结果可详见上级部门决算公开说明。</w:t>
      </w:r>
    </w:p>
    <w:p w14:paraId="2C89E516">
      <w:pPr>
        <w:numPr>
          <w:ilvl w:val="0"/>
          <w:numId w:val="0"/>
        </w:numPr>
        <w:autoSpaceDE w:val="0"/>
        <w:autoSpaceDN w:val="0"/>
        <w:adjustRightInd w:val="0"/>
        <w:ind w:firstLine="640" w:firstLineChars="200"/>
        <w:jc w:val="left"/>
        <w:rPr>
          <w:rFonts w:hint="eastAsia" w:ascii="楷体_GB2312" w:hAnsi="楷体_GB2312" w:eastAsia="楷体_GB2312" w:cs="楷体_GB2312"/>
          <w:b/>
          <w:bCs/>
          <w:color w:val="auto"/>
          <w:kern w:val="2"/>
          <w:sz w:val="32"/>
          <w:szCs w:val="32"/>
          <w:highlight w:val="none"/>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kern w:val="2"/>
          <w:sz w:val="32"/>
          <w:szCs w:val="32"/>
          <w:highlight w:val="none"/>
        </w:rPr>
        <w:t>评价结果应用情况</w:t>
      </w:r>
    </w:p>
    <w:p w14:paraId="1A160410">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color w:val="auto"/>
          <w:sz w:val="32"/>
          <w:szCs w:val="32"/>
          <w:lang w:val="en-US" w:eastAsia="zh-CN"/>
        </w:rPr>
        <w:t>预算绩效管理开展情况、绩效目标和绩效评价报告等，已在市政府部门财政预决算公开平台上向社会公开，详见附件。</w:t>
      </w: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440E89DF">
      <w:pPr>
        <w:pStyle w:val="2"/>
        <w:rPr>
          <w:rFonts w:hint="default" w:eastAsiaTheme="minorEastAsia"/>
          <w:lang w:val="en-US" w:eastAsia="zh-CN"/>
        </w:rPr>
      </w:pPr>
    </w:p>
    <w:p w14:paraId="2B162667">
      <w:pPr>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4D1016B">
      <w:pPr>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05813C8">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auto"/>
          <w:sz w:val="32"/>
          <w:szCs w:val="32"/>
          <w:highlight w:val="white"/>
          <w:lang w:val="en-US"/>
        </w:rPr>
        <w:t>三、</w:t>
      </w:r>
      <w:r>
        <w:rPr>
          <w:rFonts w:hint="eastAsia" w:ascii="仿宋_GB2312" w:hAnsi="仿宋_GB2312" w:eastAsia="仿宋_GB2312"/>
          <w:color w:val="000000"/>
          <w:kern w:val="0"/>
          <w:sz w:val="32"/>
          <w:szCs w:val="32"/>
          <w:highlight w:val="white"/>
          <w:lang w:val="en-US"/>
        </w:rPr>
        <w:t>财政拨款收入：指本级财政当年拨付的资金。</w:t>
      </w:r>
    </w:p>
    <w:p w14:paraId="75503386">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其他收入：指除上述“财政拨款收入”、“上级补助收入”、“事业收入”、“经营收入”、“附属单位上缴收入”等以外的收入。</w:t>
      </w:r>
    </w:p>
    <w:p w14:paraId="0EE32BD6">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4983CDDA">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3D1C168">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828D799">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卫生健康支出（类）：是指用于医疗卫生与计划生育方面的支出，包括保障机构正常运转、完成日常和特定的工作任务或事业发展目标的支出。</w:t>
      </w:r>
    </w:p>
    <w:p w14:paraId="2B43C720">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基本支出：指保障机构正常运转、完成支日常工作任务而发生的人员支出和公用支出。</w:t>
      </w:r>
    </w:p>
    <w:p w14:paraId="6D308E73">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项目支出：指在基本支出之外为完成特定行政任务和事业发展目标所发生的支出。</w:t>
      </w:r>
    </w:p>
    <w:p w14:paraId="5B7F9C8D">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政府采购 ：是指国家各级政府为从事日常的政务活动或为了满足公共服务的目的，利用国家财政性资金和政府借款购买货物、工程和服务的行为。</w:t>
      </w:r>
    </w:p>
    <w:p w14:paraId="67D07014">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工资福利支出：反映单位开支的在职职工和编制外长期聘用人员的各类劳动报酬，以及为上述人员缴纳的各项社会保险费等。</w:t>
      </w:r>
    </w:p>
    <w:p w14:paraId="4C9AABC2">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ED6EEF7">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津贴补贴：反映经国家批准建立的机关事业单位艰苦边远地区津贴、机关工作人员地区附加津贴、机关工作人员岗位津贴、事业单位工作人员特殊岗位津贴补贴等。</w:t>
      </w:r>
    </w:p>
    <w:p w14:paraId="6048C552">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奖金：反映机关工作人员年终一次性奖金。</w:t>
      </w:r>
    </w:p>
    <w:p w14:paraId="5E4BC927">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伙食补助费：反映单位发给职工的伙食补助费，如误餐补助等。</w:t>
      </w:r>
    </w:p>
    <w:p w14:paraId="664B57A9">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机关事业单位基本养老保险缴费：反映机关事业单位缴纳的基本养老保险费。由单位代扣的工作人员基本养老保险缴费，不在此科目反映。</w:t>
      </w:r>
    </w:p>
    <w:p w14:paraId="09B6B9C2">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职工基本医疗保险缴费：反映单位为职工缴纳的基本医疗保险费。</w:t>
      </w:r>
    </w:p>
    <w:p w14:paraId="73E84709">
      <w:pPr>
        <w:ind w:firstLine="640" w:firstLineChars="200"/>
        <w:jc w:val="both"/>
        <w:rPr>
          <w:rFonts w:hint="eastAsia" w:ascii="仿宋_GB2312" w:hAnsi="仿宋_GB2312" w:eastAsia="仿宋_GB2312"/>
          <w:color w:val="000000"/>
          <w:kern w:val="0"/>
          <w:sz w:val="32"/>
          <w:szCs w:val="32"/>
          <w:highlight w:val="white"/>
          <w:lang w:val="en-US" w:eastAsia="zh-CN"/>
        </w:rPr>
      </w:pPr>
      <w:r>
        <w:rPr>
          <w:rFonts w:hint="eastAsia" w:ascii="仿宋_GB2312" w:hAnsi="仿宋_GB2312" w:eastAsia="仿宋_GB2312"/>
          <w:color w:val="000000"/>
          <w:kern w:val="0"/>
          <w:sz w:val="32"/>
          <w:szCs w:val="32"/>
          <w:highlight w:val="white"/>
          <w:lang w:val="en-US"/>
        </w:rPr>
        <w:t>其他社会保障缴费：反映单位为职工缴纳的基本医疗、失业、工伤、生育等社会保险费，残疾人就业保障金，军队（含武警）为军人缴纳的伤亡、退役医疗等社会保险费</w:t>
      </w:r>
      <w:r>
        <w:rPr>
          <w:rFonts w:hint="eastAsia" w:ascii="仿宋_GB2312" w:hAnsi="仿宋_GB2312" w:eastAsia="仿宋_GB2312"/>
          <w:color w:val="000000"/>
          <w:kern w:val="0"/>
          <w:sz w:val="32"/>
          <w:szCs w:val="32"/>
          <w:highlight w:val="white"/>
          <w:lang w:val="en-US" w:eastAsia="zh-CN"/>
        </w:rPr>
        <w:t>。</w:t>
      </w:r>
    </w:p>
    <w:p w14:paraId="50750D9D">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961F33E">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商品和服务支出：反映单位购买商品和服务的支出（不包括用于购置固定资产的支出、战略性和应急储备支出）。</w:t>
      </w:r>
    </w:p>
    <w:p w14:paraId="7967C7FA">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办公费：反映单位购买按财务会计制度规定不符合固定资产确认标准的日常办公用品、书报杂志等支出。</w:t>
      </w:r>
    </w:p>
    <w:p w14:paraId="1AD49735">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印刷费：反映单位的印刷费支出。</w:t>
      </w:r>
    </w:p>
    <w:p w14:paraId="0C1935C5">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水费：反映单位支付的水费、污水处理费等支出。</w:t>
      </w:r>
    </w:p>
    <w:p w14:paraId="1CDB0F2C">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电费：反映单位的电费支出。</w:t>
      </w:r>
    </w:p>
    <w:p w14:paraId="7A60CDA7">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邮电费：反映单位开支的信函、包裹、货物等物品的邮寄费及电话费、电报费、传真费、网络通讯费等。</w:t>
      </w:r>
    </w:p>
    <w:p w14:paraId="32AAE52D">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维修(护)费：反映单位日常开支的固定资产（不包括车船等交通工具）修理和维护费用，网络信息系统运行与维护费用，以及按规定提取的修购基金。</w:t>
      </w:r>
    </w:p>
    <w:p w14:paraId="3ED972B8">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培训费：反映除因公出国（境）培训费以外的各类培训支出。</w:t>
      </w:r>
    </w:p>
    <w:p w14:paraId="3D611E36">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工会经费：反映单位按规定提取的工会经费。</w:t>
      </w:r>
    </w:p>
    <w:p w14:paraId="2CBAF0FF">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福利费：反映单位按规定提取的福利费。</w:t>
      </w:r>
    </w:p>
    <w:p w14:paraId="0EC96AC2">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其他交通费用：反映单位除公务用车运行维护费以外的其他交通费用。如公务交通补贴，租车费用、出租车费用，飞机、船舶等的燃料费、维修费、保险费等。</w:t>
      </w:r>
    </w:p>
    <w:p w14:paraId="0BDB5767">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税金及附加费用：反映单位提供劳务或销售产品应负担的税金及附加费用，包括营业税、消费税、城市维护建设税、资源税和教育附加等。</w:t>
      </w:r>
    </w:p>
    <w:p w14:paraId="54134B07">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其他商品和服务支出：反映上述科目未包括的日常公用支出。如行政赔偿费和诉讼费、国内组织的会员费、来访费、广告宣传、其他劳务费及离休人员特需费、公用经费等。</w:t>
      </w:r>
    </w:p>
    <w:p w14:paraId="34E2871B">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对个人和家庭的补助：反映政府用于对个人和家庭的补助支出。</w:t>
      </w:r>
    </w:p>
    <w:p w14:paraId="19EFCAA1">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退休费：反映行政事业单位和军队移交政府安置的退休人员的退休费和其他补贴。</w:t>
      </w:r>
    </w:p>
    <w:p w14:paraId="4AD6D404">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7563B1F">
      <w:pPr>
        <w:ind w:firstLine="640" w:firstLineChars="200"/>
        <w:jc w:val="both"/>
        <w:rPr>
          <w:rFonts w:hint="eastAsia" w:ascii="仿宋_GB2312" w:hAnsi="仿宋_GB2312" w:eastAsia="仿宋_GB2312"/>
          <w:color w:val="000000"/>
          <w:kern w:val="0"/>
          <w:sz w:val="32"/>
          <w:szCs w:val="32"/>
          <w:highlight w:val="white"/>
          <w:lang w:val="en-US"/>
        </w:rPr>
      </w:pPr>
      <w:r>
        <w:rPr>
          <w:rFonts w:hint="eastAsia" w:ascii="仿宋_GB2312" w:hAnsi="仿宋_GB2312" w:eastAsia="仿宋_GB2312"/>
          <w:color w:val="000000"/>
          <w:kern w:val="0"/>
          <w:sz w:val="32"/>
          <w:szCs w:val="32"/>
          <w:highlight w:val="white"/>
          <w:lang w:val="en-US"/>
        </w:rPr>
        <w:t>奖励金：反映政府各部门的奖励支出，如对个体私营经济的奖励、计划生育目标责任奖励、独生子女父母奖励等。</w:t>
      </w:r>
    </w:p>
    <w:p w14:paraId="0BCCA30B">
      <w:pPr>
        <w:pStyle w:val="12"/>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4D131F3E"/>
    <w:p w14:paraId="7CFBCE3C">
      <w:pPr>
        <w:pStyle w:val="2"/>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keepNext w:val="0"/>
        <w:keepLines w:val="0"/>
        <w:pageBreakBefore w:val="0"/>
        <w:widowControl w:val="0"/>
        <w:kinsoku/>
        <w:wordWrap/>
        <w:overflowPunct/>
        <w:topLinePunct w:val="0"/>
        <w:autoSpaceDE/>
        <w:autoSpaceDN/>
        <w:bidi w:val="0"/>
        <w:adjustRightInd/>
        <w:spacing w:line="240" w:lineRule="auto"/>
        <w:ind w:firstLine="640" w:firstLineChars="200"/>
        <w:jc w:val="both"/>
        <w:textAlignment w:val="auto"/>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keepNext w:val="0"/>
        <w:keepLines w:val="0"/>
        <w:pageBreakBefore w:val="0"/>
        <w:widowControl w:val="0"/>
        <w:kinsoku/>
        <w:wordWrap/>
        <w:overflowPunct/>
        <w:topLinePunct w:val="0"/>
        <w:autoSpaceDE/>
        <w:autoSpaceDN/>
        <w:bidi w:val="0"/>
        <w:adjustRightInd/>
        <w:spacing w:line="240" w:lineRule="auto"/>
        <w:ind w:firstLine="640" w:firstLineChars="200"/>
        <w:jc w:val="both"/>
        <w:textAlignment w:val="auto"/>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pPr>
        <w:pStyle w:val="2"/>
        <w:keepNext w:val="0"/>
        <w:keepLines w:val="0"/>
        <w:pageBreakBefore w:val="0"/>
        <w:widowControl w:val="0"/>
        <w:kinsoku/>
        <w:wordWrap/>
        <w:overflowPunct/>
        <w:topLinePunct w:val="0"/>
        <w:autoSpaceDE/>
        <w:autoSpaceDN/>
        <w:bidi w:val="0"/>
        <w:adjustRightInd/>
        <w:snapToGrid w:val="0"/>
        <w:spacing w:before="157" w:beforeLines="50" w:line="240" w:lineRule="auto"/>
        <w:ind w:firstLine="360" w:firstLineChars="200"/>
        <w:jc w:val="both"/>
        <w:textAlignment w:val="auto"/>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10CA0"/>
    <w:multiLevelType w:val="singleLevel"/>
    <w:tmpl w:val="CB910CA0"/>
    <w:lvl w:ilvl="0" w:tentative="0">
      <w:start w:val="2"/>
      <w:numFmt w:val="chineseCounting"/>
      <w:suff w:val="nothing"/>
      <w:lvlText w:val="（%1）"/>
      <w:lvlJc w:val="left"/>
      <w:pPr>
        <w:ind w:left="420"/>
      </w:pPr>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0246F"/>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987EAC"/>
    <w:rsid w:val="08C24A73"/>
    <w:rsid w:val="11944E2C"/>
    <w:rsid w:val="12583BA5"/>
    <w:rsid w:val="13BA5B9C"/>
    <w:rsid w:val="1D97DEFF"/>
    <w:rsid w:val="1DFF72E5"/>
    <w:rsid w:val="1EFC6F07"/>
    <w:rsid w:val="1F0527A6"/>
    <w:rsid w:val="1F0A797A"/>
    <w:rsid w:val="21BD004B"/>
    <w:rsid w:val="22AC03C2"/>
    <w:rsid w:val="283B15FE"/>
    <w:rsid w:val="292A2383"/>
    <w:rsid w:val="2FDF85B8"/>
    <w:rsid w:val="2FFFEE04"/>
    <w:rsid w:val="31C95635"/>
    <w:rsid w:val="34DF85B0"/>
    <w:rsid w:val="3B8F36BC"/>
    <w:rsid w:val="3FE47979"/>
    <w:rsid w:val="423E3DB8"/>
    <w:rsid w:val="42BE3215"/>
    <w:rsid w:val="43EB5BA5"/>
    <w:rsid w:val="491FF225"/>
    <w:rsid w:val="4EC310A1"/>
    <w:rsid w:val="4FFD214C"/>
    <w:rsid w:val="5352765A"/>
    <w:rsid w:val="5491544C"/>
    <w:rsid w:val="5777D4F5"/>
    <w:rsid w:val="57F22B6F"/>
    <w:rsid w:val="59DD8326"/>
    <w:rsid w:val="5DEF592A"/>
    <w:rsid w:val="5FC6BB1E"/>
    <w:rsid w:val="5FF720F1"/>
    <w:rsid w:val="612A152C"/>
    <w:rsid w:val="622964C1"/>
    <w:rsid w:val="67FF5C0B"/>
    <w:rsid w:val="6BAA4A2F"/>
    <w:rsid w:val="6DDEC5C0"/>
    <w:rsid w:val="6EFC0924"/>
    <w:rsid w:val="6FB74722"/>
    <w:rsid w:val="6FEF8B7E"/>
    <w:rsid w:val="717FE77F"/>
    <w:rsid w:val="71A6591B"/>
    <w:rsid w:val="737D59BA"/>
    <w:rsid w:val="737F32B1"/>
    <w:rsid w:val="73BD3FCA"/>
    <w:rsid w:val="776BDA01"/>
    <w:rsid w:val="77C37683"/>
    <w:rsid w:val="79FF515B"/>
    <w:rsid w:val="7ACC1518"/>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7489</Words>
  <Characters>7933</Characters>
  <Lines>63</Lines>
  <Paragraphs>18</Paragraphs>
  <TotalTime>2</TotalTime>
  <ScaleCrop>false</ScaleCrop>
  <LinksUpToDate>false</LinksUpToDate>
  <CharactersWithSpaces>7957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谭许辰</cp:lastModifiedBy>
  <cp:lastPrinted>2024-08-11T02:20:00Z</cp:lastPrinted>
  <dcterms:modified xsi:type="dcterms:W3CDTF">2025-09-22T01:23:52Z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0EACEB5C711841FD9BC89769F2B1D75C_13</vt:lpwstr>
  </property>
  <property fmtid="{D5CDD505-2E9C-101B-9397-08002B2CF9AE}" pid="4" name="KSOTemplateDocerSaveRecord">
    <vt:lpwstr>eyJoZGlkIjoiMjI4YTgyYWNjNTJjODhkNzVjOTlhMzFlYTdlMDU0YjEiLCJ1c2VySWQiOiIyMDUxNTcyMzEifQ==</vt:lpwstr>
  </property>
</Properties>
</file>