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98C4CA">
      <w:pPr>
        <w:rPr>
          <w:rFonts w:hint="default"/>
          <w:sz w:val="2"/>
          <w:szCs w:val="24"/>
        </w:rPr>
      </w:pPr>
    </w:p>
    <w:tbl>
      <w:tblPr>
        <w:tblStyle w:val="6"/>
        <w:tblW w:w="15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 w14:paraId="14FC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30A6E3">
            <w:pPr>
              <w:spacing w:line="1125" w:lineRule="exact"/>
              <w:ind w:left="20"/>
              <w:jc w:val="center"/>
              <w:rPr>
                <w:rFonts w:hint="eastAsia" w:ascii="微软雅黑" w:hAnsi="微软雅黑" w:eastAsia="微软雅黑"/>
                <w:b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岳阳市洞庭湖大桥养护中心2025年度</w:t>
            </w:r>
          </w:p>
          <w:p w14:paraId="71B47415">
            <w:pPr>
              <w:spacing w:line="1125" w:lineRule="exact"/>
              <w:ind w:left="20"/>
              <w:jc w:val="center"/>
              <w:rPr>
                <w:rFonts w:hint="eastAsia" w:ascii="微软雅黑" w:hAnsi="微软雅黑" w:eastAsia="微软雅黑"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单位预算</w:t>
            </w:r>
          </w:p>
        </w:tc>
      </w:tr>
      <w:tr w14:paraId="6AF8D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F72C19">
            <w:pPr>
              <w:spacing w:line="525" w:lineRule="exact"/>
              <w:ind w:left="20"/>
              <w:jc w:val="center"/>
              <w:rPr>
                <w:rFonts w:hint="eastAsia" w:ascii="Dialog" w:hAnsi="Dialog"/>
                <w:sz w:val="44"/>
                <w:szCs w:val="24"/>
              </w:rPr>
            </w:pPr>
            <w:r>
              <w:rPr>
                <w:rFonts w:hint="eastAsia" w:ascii="Dialog" w:hAnsi="Dialog"/>
                <w:sz w:val="44"/>
                <w:szCs w:val="24"/>
              </w:rPr>
              <w:t>目录</w:t>
            </w:r>
          </w:p>
        </w:tc>
      </w:tr>
      <w:tr w14:paraId="23C83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B1A8B9">
            <w:pPr>
              <w:rPr>
                <w:rFonts w:hint="default"/>
                <w:sz w:val="24"/>
                <w:szCs w:val="24"/>
              </w:rPr>
            </w:pPr>
          </w:p>
        </w:tc>
      </w:tr>
      <w:tr w14:paraId="55D61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BB2B8D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2025年单位预算说明</w:t>
            </w:r>
          </w:p>
        </w:tc>
      </w:tr>
      <w:tr w14:paraId="2A492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4CCA8C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2025年单位预算公开表格</w:t>
            </w:r>
          </w:p>
        </w:tc>
      </w:tr>
      <w:tr w14:paraId="6587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952476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1、收支总表</w:t>
            </w:r>
          </w:p>
        </w:tc>
      </w:tr>
      <w:tr w14:paraId="130F7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D5D482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2、收入总表</w:t>
            </w:r>
          </w:p>
        </w:tc>
      </w:tr>
      <w:tr w14:paraId="0500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F901F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3、支出总表</w:t>
            </w:r>
          </w:p>
        </w:tc>
      </w:tr>
      <w:tr w14:paraId="70815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8AA35A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4、支出预算分类汇总表（按政府预算经济分类）</w:t>
            </w:r>
          </w:p>
        </w:tc>
      </w:tr>
      <w:tr w14:paraId="7F527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6D22E6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5、支出预算分类汇总表（按部门预算经济分类）</w:t>
            </w:r>
          </w:p>
        </w:tc>
      </w:tr>
      <w:tr w14:paraId="3974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A5A33D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6、财政拨款收支总表</w:t>
            </w:r>
          </w:p>
        </w:tc>
      </w:tr>
      <w:tr w14:paraId="59A9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813438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7、一般公共预算支出表</w:t>
            </w:r>
          </w:p>
        </w:tc>
      </w:tr>
      <w:tr w14:paraId="6DC72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E781F9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 w14:paraId="374B1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06BFBA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 w14:paraId="19545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293FF9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 w14:paraId="30C99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87AC4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 w14:paraId="3171B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E7438C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 w14:paraId="1E35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2CAA1F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 w14:paraId="68E2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A30BD0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14、一般公共预算“三公”经费支出表</w:t>
            </w:r>
          </w:p>
        </w:tc>
      </w:tr>
      <w:tr w14:paraId="13102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0CA6BD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15、政府性基金预算支出表</w:t>
            </w:r>
          </w:p>
        </w:tc>
      </w:tr>
      <w:tr w14:paraId="44EA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B56E80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 w14:paraId="7D659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0945B0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 w14:paraId="67CAA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3CA242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18、国有资本经营预算支出表</w:t>
            </w:r>
          </w:p>
        </w:tc>
      </w:tr>
      <w:tr w14:paraId="3FF5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A17FB1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19、财政专户管理资金预算支出表</w:t>
            </w:r>
          </w:p>
        </w:tc>
      </w:tr>
      <w:tr w14:paraId="77D9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D3E63C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20、专项资金预算汇总表</w:t>
            </w:r>
          </w:p>
        </w:tc>
      </w:tr>
      <w:tr w14:paraId="3DB9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BAA462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21、项目支出绩效目标表</w:t>
            </w:r>
          </w:p>
        </w:tc>
      </w:tr>
      <w:tr w14:paraId="57CE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CAA56E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22、单位整体支出绩效目标表</w:t>
            </w:r>
          </w:p>
        </w:tc>
      </w:tr>
      <w:tr w14:paraId="1853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7B6C78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23、一般公共预算基本支出表</w:t>
            </w:r>
          </w:p>
        </w:tc>
      </w:tr>
      <w:tr w14:paraId="5432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88BE75">
            <w:pPr>
              <w:spacing w:line="375" w:lineRule="exact"/>
              <w:ind w:left="20"/>
              <w:rPr>
                <w:rFonts w:hint="eastAsia" w:ascii="Dialog" w:hAnsi="Dialog"/>
                <w:color w:val="FF0000"/>
                <w:sz w:val="32"/>
                <w:szCs w:val="24"/>
              </w:rPr>
            </w:pPr>
            <w:r>
              <w:rPr>
                <w:rFonts w:hint="eastAsia" w:ascii="Dialog" w:hAnsi="Dialog"/>
                <w:color w:val="FF0000"/>
                <w:sz w:val="32"/>
                <w:szCs w:val="24"/>
              </w:rPr>
              <w:t>注：以上单位预算公开报表中，空表表示本单位无相关收支情况。</w:t>
            </w:r>
          </w:p>
        </w:tc>
      </w:tr>
      <w:tr w14:paraId="7D93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28DB5C">
            <w:pPr>
              <w:rPr>
                <w:rFonts w:hint="default"/>
                <w:sz w:val="24"/>
                <w:szCs w:val="24"/>
              </w:rPr>
            </w:pPr>
          </w:p>
        </w:tc>
      </w:tr>
      <w:tr w14:paraId="2829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500BC3">
            <w:pPr>
              <w:rPr>
                <w:rFonts w:hint="default"/>
                <w:sz w:val="24"/>
                <w:szCs w:val="24"/>
              </w:rPr>
            </w:pPr>
          </w:p>
        </w:tc>
      </w:tr>
      <w:tr w14:paraId="6A1E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D1FB3D">
            <w:pPr>
              <w:spacing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2025年单位预算说明</w:t>
            </w:r>
          </w:p>
        </w:tc>
      </w:tr>
      <w:tr w14:paraId="2E1E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086DC4">
            <w:pPr>
              <w:rPr>
                <w:rFonts w:hint="default"/>
                <w:sz w:val="24"/>
                <w:szCs w:val="24"/>
              </w:rPr>
            </w:pPr>
          </w:p>
        </w:tc>
      </w:tr>
      <w:tr w14:paraId="119DE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710A52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一、单位基本概况</w:t>
            </w:r>
          </w:p>
        </w:tc>
      </w:tr>
      <w:tr w14:paraId="42F1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E48F5F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（一）职能职责</w:t>
            </w:r>
          </w:p>
        </w:tc>
      </w:tr>
      <w:tr w14:paraId="7758C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ED5EA2">
            <w:pPr>
              <w:spacing w:line="375" w:lineRule="exact"/>
              <w:ind w:left="20" w:firstLine="320" w:firstLineChars="10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1、负责桥梁结构安全，桥面运营安全；负责组织桥梁经常性、定期特殊检测；负责大桥及附属设施设备的日常养护和维修，桥梁大中修、新建、改建工程的组织实施；负责大桥区域卫生保洁及美化亮化。</w:t>
            </w:r>
          </w:p>
          <w:p w14:paraId="68EFA3D7">
            <w:pPr>
              <w:spacing w:line="375" w:lineRule="exact"/>
              <w:ind w:left="20" w:firstLine="320" w:firstLineChars="10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2、负责大桥区域内监控及信息报送。</w:t>
            </w:r>
          </w:p>
          <w:p w14:paraId="709B81D0">
            <w:pPr>
              <w:spacing w:line="375" w:lineRule="exact"/>
              <w:ind w:firstLine="320" w:firstLineChars="10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3、负责大桥安全巡查、应急处理。</w:t>
            </w:r>
          </w:p>
          <w:p w14:paraId="6A124C1C">
            <w:pPr>
              <w:spacing w:line="375" w:lineRule="exact"/>
              <w:ind w:firstLine="320" w:firstLineChars="10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4、承办市交通运输局交办的其他事项。</w:t>
            </w:r>
          </w:p>
        </w:tc>
      </w:tr>
      <w:tr w14:paraId="04B3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38E526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（二）机构设置</w:t>
            </w:r>
          </w:p>
        </w:tc>
      </w:tr>
      <w:tr w14:paraId="2AA9A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385FB8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根据编委核定，大桥养护中心设置7个部室及2个分支机构，其中：7个部室为综合部、财务部、工程技术部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32"/>
                <w:szCs w:val="24"/>
              </w:rPr>
              <w:t>安全生产部、人事部、应急部、维护养护部；2个分支机构为维护站、桥梁健康监测中心。</w:t>
            </w:r>
          </w:p>
        </w:tc>
      </w:tr>
      <w:tr w14:paraId="7AC2B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3CC33A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二、单位预算单位构成</w:t>
            </w:r>
          </w:p>
        </w:tc>
      </w:tr>
      <w:tr w14:paraId="1470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F4F1D3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本单位预算仅含本级预算。</w:t>
            </w:r>
          </w:p>
        </w:tc>
      </w:tr>
      <w:tr w14:paraId="1E29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A4B47E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三、单位收支总体情况</w:t>
            </w:r>
          </w:p>
        </w:tc>
      </w:tr>
      <w:tr w14:paraId="60BF5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8A2070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单位2025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      </w:r>
          </w:p>
        </w:tc>
      </w:tr>
      <w:tr w14:paraId="08B1E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F6FBE1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（一）收入预算</w:t>
            </w:r>
          </w:p>
        </w:tc>
      </w:tr>
      <w:tr w14:paraId="0059F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ABEADF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  <w:lang w:eastAsia="zh-CN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包括一般公共预算、政府性基金、国有资本经营预算等财政拨款收入，以及经营收入、事业收入等单位资金。2025年度本单位收入预算1408.06万元，其中，一般公共预算拨款1408.06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单位2025年收入较去年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减少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35.49</w:t>
            </w:r>
            <w:r>
              <w:rPr>
                <w:rFonts w:hint="eastAsia" w:ascii="宋体" w:hAnsi="宋体"/>
                <w:sz w:val="32"/>
                <w:szCs w:val="24"/>
              </w:rPr>
              <w:t>万元，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下降2.46%，</w:t>
            </w:r>
            <w:r>
              <w:rPr>
                <w:rFonts w:hint="eastAsia" w:ascii="宋体" w:hAnsi="宋体"/>
                <w:sz w:val="32"/>
                <w:szCs w:val="24"/>
              </w:rPr>
              <w:t>主要是因为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项目经费缩减。</w:t>
            </w:r>
          </w:p>
        </w:tc>
      </w:tr>
      <w:tr w14:paraId="2BFC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9EC539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（二）支出预算</w:t>
            </w:r>
          </w:p>
        </w:tc>
      </w:tr>
      <w:tr w14:paraId="69EE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B2B007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 2025年本单位支出预算1408.06万元，其中，208社会保障和就业支出264.02万元，210卫生健康支出74.29万元，214交通运输支出993.36万元，221住房保障支出76.39万元，支出较去年减少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35.49</w:t>
            </w:r>
            <w:r>
              <w:rPr>
                <w:rFonts w:hint="eastAsia" w:ascii="宋体" w:hAnsi="宋体"/>
                <w:sz w:val="32"/>
                <w:szCs w:val="24"/>
              </w:rPr>
              <w:t>万元，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下降2.46%，</w:t>
            </w:r>
            <w:r>
              <w:rPr>
                <w:rFonts w:hint="eastAsia" w:ascii="宋体" w:hAnsi="宋体"/>
                <w:sz w:val="32"/>
                <w:szCs w:val="24"/>
              </w:rPr>
              <w:t>主要是因为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项目经费缩减。</w:t>
            </w:r>
          </w:p>
        </w:tc>
      </w:tr>
      <w:tr w14:paraId="5F21E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AF8FD8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四、一般公共预算拨款支出预算</w:t>
            </w:r>
          </w:p>
        </w:tc>
      </w:tr>
      <w:tr w14:paraId="62C8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DAD42A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2025年一般公共预算拨款支出预算1408.06万元，其中，208社会保障和就业支出264.02万元，占18.75%；210卫生健康支出74.29万元，占5.28%；214交通运输支出993.36万元，占70.55%；221住房保障支出76.39万元，占5.43%；具体安排情况如下：</w:t>
            </w:r>
          </w:p>
        </w:tc>
      </w:tr>
      <w:tr w14:paraId="0BBE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6AE81F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（一）基本支出：2025年基本支出年初预算数为1228.91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 w14:paraId="3CD1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411E0E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（二）项目支出：2025年项目支出年初预算数为179.15万元（数据来源见表20），是指单位为完成特定行政工作任务或事业发展目标而发生的支出，包括有关业务工作经费、运行维护经费、其他事业发展资金等。其中：非税执收经费专项支出11.65万元，主要用于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桥梁日常维护</w:t>
            </w:r>
            <w:r>
              <w:rPr>
                <w:rFonts w:hint="eastAsia" w:ascii="宋体" w:hAnsi="宋体"/>
                <w:sz w:val="32"/>
                <w:szCs w:val="24"/>
              </w:rPr>
              <w:t>方面,日常工作经费专项支出167.50万元，主要用于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大桥保险合同、大桥路灯和景观灯、大桥防雷、桥梁日常维护和大桥应急抢救</w:t>
            </w:r>
            <w:r>
              <w:rPr>
                <w:rFonts w:hint="eastAsia" w:ascii="宋体" w:hAnsi="宋体"/>
                <w:sz w:val="32"/>
                <w:szCs w:val="24"/>
              </w:rPr>
              <w:t>方面。</w:t>
            </w:r>
          </w:p>
        </w:tc>
      </w:tr>
      <w:tr w14:paraId="10218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2EB7CD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五、政府性基金预算支出</w:t>
            </w:r>
          </w:p>
        </w:tc>
      </w:tr>
      <w:tr w14:paraId="7A15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539766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2025年度本单位无政府性基金安排的支出，所以公开的附件15-17（政府性基金预算）为空。</w:t>
            </w:r>
          </w:p>
        </w:tc>
      </w:tr>
      <w:tr w14:paraId="7B9DE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6626BF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六、其他重要事项的情况说明</w:t>
            </w:r>
          </w:p>
        </w:tc>
      </w:tr>
      <w:tr w14:paraId="4309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7E1E5C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（一）机关运行经费</w:t>
            </w:r>
          </w:p>
        </w:tc>
      </w:tr>
      <w:tr w14:paraId="187C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2C779E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本单位2025年机关运行经费当年一般公共预算拨款130.08万元（数据来源见表12），比上一年增加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9.49</w:t>
            </w:r>
            <w:r>
              <w:rPr>
                <w:rFonts w:hint="eastAsia" w:ascii="宋体" w:hAnsi="宋体"/>
                <w:sz w:val="32"/>
                <w:szCs w:val="24"/>
              </w:rPr>
              <w:t>万元，增加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7.87</w:t>
            </w:r>
            <w:r>
              <w:rPr>
                <w:rFonts w:hint="eastAsia" w:ascii="宋体" w:hAnsi="宋体"/>
                <w:sz w:val="32"/>
                <w:szCs w:val="24"/>
              </w:rPr>
              <w:t>%。主要原因是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单位新增一人，退休一人，人员和公用经费增加。</w:t>
            </w:r>
          </w:p>
        </w:tc>
      </w:tr>
      <w:tr w14:paraId="1AE2F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AF847D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（二）“三公”经费预算</w:t>
            </w:r>
          </w:p>
        </w:tc>
      </w:tr>
      <w:tr w14:paraId="4F525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B0DF7F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  <w:lang w:eastAsia="zh-CN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单位2025年“三公”经费预算数15.20万元（数据来源见表14），其中，公务接待费0.20万元，因公出国（境）费0.00万元，公务用车购置及运行费15.00万元（其中，公务用车购置费0.00万元，公务用车运行费15.00万元）。2025年三公经费预算较上年减少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0.8</w:t>
            </w:r>
            <w:r>
              <w:rPr>
                <w:rFonts w:hint="eastAsia" w:ascii="宋体" w:hAnsi="宋体"/>
                <w:sz w:val="32"/>
                <w:szCs w:val="24"/>
              </w:rPr>
              <w:t>万元，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下降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5%，</w:t>
            </w:r>
            <w:r>
              <w:rPr>
                <w:rFonts w:hint="eastAsia" w:ascii="宋体" w:hAnsi="宋体"/>
                <w:sz w:val="32"/>
                <w:szCs w:val="24"/>
              </w:rPr>
              <w:t>主要原因是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公务接待费开支减少。</w:t>
            </w:r>
          </w:p>
        </w:tc>
      </w:tr>
      <w:tr w14:paraId="0322F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210B5D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（三）一般性支出情况</w:t>
            </w:r>
          </w:p>
        </w:tc>
      </w:tr>
      <w:tr w14:paraId="489C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C058F5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  <w:lang w:eastAsia="zh-CN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本单位2025年会议费预算0.00万元（数据来源见表13会议费、培训费），拟召开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次会议，人数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0人</w:t>
            </w:r>
            <w:r>
              <w:rPr>
                <w:rFonts w:hint="eastAsia" w:ascii="宋体" w:hAnsi="宋体"/>
                <w:sz w:val="32"/>
                <w:szCs w:val="24"/>
              </w:rPr>
              <w:t>；培训费预算4.63万元，拟开展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32"/>
                <w:szCs w:val="24"/>
              </w:rPr>
              <w:t>次培训，人数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67</w:t>
            </w:r>
            <w:r>
              <w:rPr>
                <w:rFonts w:hint="eastAsia" w:ascii="宋体" w:hAnsi="宋体"/>
                <w:sz w:val="32"/>
                <w:szCs w:val="24"/>
              </w:rPr>
              <w:t>人，内容为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安全演练培训、党员教育培训和桥梁养护技术培训</w:t>
            </w:r>
            <w:r>
              <w:rPr>
                <w:rFonts w:hint="eastAsia" w:ascii="宋体" w:hAnsi="宋体"/>
                <w:sz w:val="32"/>
                <w:szCs w:val="24"/>
              </w:rPr>
              <w:t>；计划举办节庆、晚会、论坛、赛事活动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万元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。</w:t>
            </w:r>
          </w:p>
          <w:p w14:paraId="79C0A34F">
            <w:pPr>
              <w:spacing w:beforeLines="0" w:afterLines="0" w:line="375" w:lineRule="exact"/>
              <w:ind w:left="20" w:firstLine="320" w:firstLineChars="100"/>
              <w:rPr>
                <w:rFonts w:hint="eastAsia" w:ascii="Dialog" w:hAnsi="Dialog"/>
                <w:sz w:val="32"/>
                <w:szCs w:val="24"/>
              </w:rPr>
            </w:pPr>
            <w:bookmarkStart w:id="0" w:name="_GoBack"/>
            <w:bookmarkEnd w:id="0"/>
            <w:r>
              <w:rPr>
                <w:rFonts w:hint="eastAsia" w:ascii="Dialog" w:hAnsi="Dialog"/>
                <w:sz w:val="32"/>
                <w:szCs w:val="24"/>
              </w:rPr>
              <w:t>（四）</w:t>
            </w:r>
            <w:r>
              <w:rPr>
                <w:rFonts w:hint="eastAsia" w:ascii="Dialog" w:hAnsi="Dialog" w:cs="Times New Roman"/>
                <w:sz w:val="32"/>
                <w:szCs w:val="24"/>
                <w:lang w:val="en-US" w:eastAsia="zh-CN"/>
              </w:rPr>
              <w:t>委托业务费情况</w:t>
            </w:r>
          </w:p>
          <w:p w14:paraId="2E57AB1B">
            <w:pPr>
              <w:spacing w:line="375" w:lineRule="exact"/>
              <w:ind w:left="20" w:firstLine="320" w:firstLineChars="100"/>
              <w:rPr>
                <w:rFonts w:hint="eastAsia" w:ascii="Dialog" w:hAnsi="Dialog"/>
                <w:sz w:val="32"/>
                <w:szCs w:val="24"/>
                <w:lang w:eastAsia="zh-CN"/>
              </w:rPr>
            </w:pPr>
            <w:r>
              <w:rPr>
                <w:rFonts w:hint="eastAsia" w:ascii="Dialog" w:hAnsi="Dialog" w:cs="Times New Roman"/>
                <w:sz w:val="32"/>
                <w:szCs w:val="24"/>
                <w:lang w:val="en-US" w:eastAsia="zh-CN"/>
              </w:rPr>
              <w:t>本单位2025年本级委托业务费0万元，与上年一致，无增减变动，主要原因是本单位无委托业务费的支出。</w:t>
            </w:r>
          </w:p>
        </w:tc>
      </w:tr>
      <w:tr w14:paraId="64CC9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94B3AF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</w:t>
            </w:r>
            <w:r>
              <w:rPr>
                <w:rFonts w:hint="eastAsia" w:ascii="Dialog" w:hAnsi="Dialog"/>
                <w:sz w:val="32"/>
                <w:szCs w:val="24"/>
                <w:lang w:eastAsia="zh-CN"/>
              </w:rPr>
              <w:t>五</w:t>
            </w:r>
            <w:r>
              <w:rPr>
                <w:rFonts w:hint="eastAsia" w:ascii="Dialog" w:hAnsi="Dialog"/>
                <w:sz w:val="32"/>
                <w:szCs w:val="24"/>
              </w:rPr>
              <w:t>）政府采购情况</w:t>
            </w:r>
          </w:p>
        </w:tc>
      </w:tr>
      <w:tr w14:paraId="37DD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861345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本单位2025年政府采购预算总额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246.252</w:t>
            </w:r>
            <w:r>
              <w:rPr>
                <w:rFonts w:hint="eastAsia" w:ascii="宋体" w:hAnsi="宋体"/>
                <w:sz w:val="32"/>
                <w:szCs w:val="24"/>
              </w:rPr>
              <w:t>万元，其中工程类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28.4</w:t>
            </w:r>
            <w:r>
              <w:rPr>
                <w:rFonts w:hint="eastAsia" w:ascii="宋体" w:hAnsi="宋体"/>
                <w:sz w:val="32"/>
                <w:szCs w:val="24"/>
              </w:rPr>
              <w:t>万元，货物类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9.43</w:t>
            </w:r>
            <w:r>
              <w:rPr>
                <w:rFonts w:hint="eastAsia" w:ascii="宋体" w:hAnsi="宋体"/>
                <w:sz w:val="32"/>
                <w:szCs w:val="24"/>
              </w:rPr>
              <w:t>万元，服务类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208.422</w:t>
            </w:r>
            <w:r>
              <w:rPr>
                <w:rFonts w:hint="eastAsia" w:ascii="宋体" w:hAnsi="宋体"/>
                <w:sz w:val="32"/>
                <w:szCs w:val="24"/>
              </w:rPr>
              <w:t>万元。</w:t>
            </w:r>
          </w:p>
        </w:tc>
      </w:tr>
      <w:tr w14:paraId="2B4D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E5F42D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</w:t>
            </w:r>
            <w:r>
              <w:rPr>
                <w:rFonts w:hint="eastAsia" w:ascii="Dialog" w:hAnsi="Dialog"/>
                <w:sz w:val="32"/>
                <w:szCs w:val="24"/>
                <w:lang w:eastAsia="zh-CN"/>
              </w:rPr>
              <w:t>六</w:t>
            </w:r>
            <w:r>
              <w:rPr>
                <w:rFonts w:hint="eastAsia" w:ascii="Dialog" w:hAnsi="Dialog"/>
                <w:sz w:val="32"/>
                <w:szCs w:val="24"/>
              </w:rPr>
              <w:t>）国有资产占有使用及新增资产配置情况</w:t>
            </w:r>
          </w:p>
        </w:tc>
      </w:tr>
      <w:tr w14:paraId="15BC2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18856A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截至上年底，本单位共有车辆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32"/>
                <w:szCs w:val="24"/>
              </w:rPr>
              <w:t>辆，其中领导干部用车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32"/>
                <w:szCs w:val="24"/>
              </w:rPr>
              <w:t>辆。单位价值50万元以上通用设备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台，单位价值100万元以上专用设备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32"/>
                <w:szCs w:val="24"/>
              </w:rPr>
              <w:t xml:space="preserve">台。 </w:t>
            </w:r>
          </w:p>
          <w:p w14:paraId="67BC9B27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2025年拟报废处置车辆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辆，其中：报废处置领导干部用车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辆，报废处置一般公务用车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辆，报废处置其他用车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辆，报废处置单位价值50万元以上通用设备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台，报废处置单位价值100万元以上通用设备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台。拟新增配置车辆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辆，其中领导干部用车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32"/>
                <w:szCs w:val="24"/>
              </w:rPr>
              <w:t>辆。</w:t>
            </w:r>
          </w:p>
          <w:p w14:paraId="3ED47FDD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202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32"/>
                <w:szCs w:val="24"/>
              </w:rPr>
              <w:t>年度本单位未计划处置或新增车辆、设备等。</w:t>
            </w:r>
          </w:p>
        </w:tc>
      </w:tr>
      <w:tr w14:paraId="5D65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ACF0CF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</w:t>
            </w:r>
            <w:r>
              <w:rPr>
                <w:rFonts w:hint="eastAsia" w:ascii="Dialog" w:hAnsi="Dialog"/>
                <w:sz w:val="32"/>
                <w:szCs w:val="24"/>
                <w:lang w:eastAsia="zh-CN"/>
              </w:rPr>
              <w:t>七</w:t>
            </w:r>
            <w:r>
              <w:rPr>
                <w:rFonts w:hint="eastAsia" w:ascii="Dialog" w:hAnsi="Dialog"/>
                <w:sz w:val="32"/>
                <w:szCs w:val="24"/>
              </w:rPr>
              <w:t>）预算绩效目标说明</w:t>
            </w:r>
          </w:p>
        </w:tc>
      </w:tr>
      <w:tr w14:paraId="178E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58B3EB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  本单位所有支出实行绩效目标管理。纳入2025年单位整体支出绩效目标的金额为1408.06万元，其中，基本支出1228.91万元，项目支出179.15万元，详见文尾附表中单位预算公开表格的表21-22。</w:t>
            </w:r>
          </w:p>
        </w:tc>
      </w:tr>
      <w:tr w14:paraId="47B19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323EAD">
            <w:pPr>
              <w:spacing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七、名词解释</w:t>
            </w:r>
          </w:p>
        </w:tc>
      </w:tr>
      <w:tr w14:paraId="56F9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2F28DA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 w14:paraId="6FCC0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30489B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 xml:space="preserve">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 w14:paraId="1E00F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FF625D">
            <w:pPr>
              <w:rPr>
                <w:rFonts w:hint="default"/>
                <w:sz w:val="24"/>
                <w:szCs w:val="24"/>
              </w:rPr>
            </w:pPr>
          </w:p>
        </w:tc>
      </w:tr>
      <w:tr w14:paraId="169F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359CE3">
            <w:pPr>
              <w:rPr>
                <w:rFonts w:hint="default"/>
                <w:sz w:val="24"/>
                <w:szCs w:val="24"/>
              </w:rPr>
            </w:pPr>
          </w:p>
        </w:tc>
      </w:tr>
      <w:tr w14:paraId="49D2E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5BC8D">
            <w:pPr>
              <w:rPr>
                <w:rFonts w:hint="default"/>
                <w:sz w:val="24"/>
                <w:szCs w:val="24"/>
              </w:rPr>
            </w:pPr>
          </w:p>
        </w:tc>
      </w:tr>
      <w:tr w14:paraId="40A9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656DEE">
            <w:pPr>
              <w:spacing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2025年单位预算公开表格</w:t>
            </w:r>
          </w:p>
        </w:tc>
      </w:tr>
      <w:tr w14:paraId="39331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A52B54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1、收支总表</w:t>
            </w:r>
          </w:p>
        </w:tc>
      </w:tr>
      <w:tr w14:paraId="12675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AFCA50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2、收入总表</w:t>
            </w:r>
          </w:p>
        </w:tc>
      </w:tr>
      <w:tr w14:paraId="54BE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FF2D1B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3、支出总表</w:t>
            </w:r>
          </w:p>
        </w:tc>
      </w:tr>
      <w:tr w14:paraId="403E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C85BE0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4、支出预算分类汇总表（按政府预算经济分类）</w:t>
            </w:r>
          </w:p>
        </w:tc>
      </w:tr>
      <w:tr w14:paraId="75A2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069FC4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5、支出预算分类汇总表（按部门预算经济分类）</w:t>
            </w:r>
          </w:p>
        </w:tc>
      </w:tr>
      <w:tr w14:paraId="6FB5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A5654D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6、财政拨款收支总表</w:t>
            </w:r>
          </w:p>
        </w:tc>
      </w:tr>
      <w:tr w14:paraId="12C70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BF4C17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7、一般公共预算支出表</w:t>
            </w:r>
          </w:p>
        </w:tc>
      </w:tr>
      <w:tr w14:paraId="43942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A24DEA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 w14:paraId="4D40F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EA2D19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 w14:paraId="1210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5B17D7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 w14:paraId="57991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38114A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 w14:paraId="0E09A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88EEB4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 w14:paraId="1E769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B92241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 w14:paraId="5AA3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B730D9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14、一般公共预算“三公”经费支出表</w:t>
            </w:r>
          </w:p>
        </w:tc>
      </w:tr>
      <w:tr w14:paraId="7A8D8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9DBF53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15、政府性基金预算支出表</w:t>
            </w:r>
          </w:p>
        </w:tc>
      </w:tr>
      <w:tr w14:paraId="6979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D7EF25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 w14:paraId="54A4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FAD709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 w14:paraId="3F5DB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C9826F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18、国有资本经营预算支出表</w:t>
            </w:r>
          </w:p>
        </w:tc>
      </w:tr>
      <w:tr w14:paraId="3294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C6876C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19、财政专户管理资金预算支出表</w:t>
            </w:r>
          </w:p>
        </w:tc>
      </w:tr>
      <w:tr w14:paraId="08EC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F00B83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20、专项资金预算汇总表</w:t>
            </w:r>
          </w:p>
        </w:tc>
      </w:tr>
      <w:tr w14:paraId="28CFE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0CA14B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21、项目支出绩效目标表</w:t>
            </w:r>
          </w:p>
        </w:tc>
      </w:tr>
      <w:tr w14:paraId="49BA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3247EF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22、单位整体支出绩效目标表</w:t>
            </w:r>
          </w:p>
        </w:tc>
      </w:tr>
      <w:tr w14:paraId="5903C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96FF82">
            <w:pPr>
              <w:spacing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23、一般公共预算基本支出表</w:t>
            </w:r>
          </w:p>
        </w:tc>
      </w:tr>
      <w:tr w14:paraId="5C7DD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8FC13A">
            <w:pPr>
              <w:spacing w:line="375" w:lineRule="exact"/>
              <w:ind w:left="20"/>
              <w:rPr>
                <w:rFonts w:hint="eastAsia" w:ascii="宋体" w:hAnsi="宋体"/>
                <w:color w:val="FF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FF0000"/>
                <w:sz w:val="32"/>
                <w:szCs w:val="24"/>
              </w:rPr>
              <w:t>注：以上单位预算公开报表中，空表表示本单位无相关收支情况。</w:t>
            </w:r>
          </w:p>
        </w:tc>
      </w:tr>
    </w:tbl>
    <w:p w14:paraId="327E89CD">
      <w:pPr>
        <w:rPr>
          <w:rFonts w:hint="default"/>
          <w:sz w:val="24"/>
          <w:szCs w:val="24"/>
        </w:rPr>
      </w:pPr>
    </w:p>
    <w:sectPr>
      <w:pgSz w:w="18708" w:h="15840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Dialog">
    <w:altName w:val="Times New Roman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E04C92"/>
    <w:rsid w:val="24EC4D04"/>
    <w:rsid w:val="4DC13692"/>
    <w:rsid w:val="63DB60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 w:cs="Times New Roman"/>
      <w:color w:val="000000"/>
      <w:sz w:val="24"/>
      <w:szCs w:val="24"/>
    </w:rPr>
  </w:style>
  <w:style w:type="paragraph" w:styleId="3">
    <w:name w:val="heading 1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 w:cs="Times New Roman"/>
      <w:b/>
      <w:color w:val="000000"/>
      <w:sz w:val="32"/>
      <w:szCs w:val="24"/>
    </w:rPr>
  </w:style>
  <w:style w:type="paragraph" w:styleId="4">
    <w:name w:val="heading 2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 w:cs="Times New Roman"/>
      <w:b/>
      <w:i/>
      <w:color w:val="000000"/>
      <w:sz w:val="28"/>
      <w:szCs w:val="24"/>
    </w:rPr>
  </w:style>
  <w:style w:type="paragraph" w:styleId="5">
    <w:name w:val="heading 3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宋体" w:cs="Times New Roman"/>
      <w:b/>
      <w:color w:val="000000"/>
      <w:sz w:val="26"/>
      <w:szCs w:val="24"/>
    </w:rPr>
  </w:style>
  <w:style w:type="character" w:default="1" w:styleId="7">
    <w:name w:val="Default Paragraph Font"/>
    <w:unhideWhenUsed/>
    <w:uiPriority w:val="99"/>
    <w:rPr>
      <w:rFonts w:hint="default"/>
      <w:sz w:val="24"/>
      <w:szCs w:val="24"/>
    </w:rPr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after="200" w:afterLines="0" w:line="276" w:lineRule="auto"/>
    </w:pPr>
    <w:rPr>
      <w:rFonts w:hint="default" w:ascii="Arial" w:hAnsi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3258</Words>
  <Characters>3594</Characters>
  <TotalTime>0</TotalTime>
  <ScaleCrop>false</ScaleCrop>
  <LinksUpToDate>false</LinksUpToDate>
  <CharactersWithSpaces>3678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2025-04-11T01:42:00Z</dcterms:created>
  <dc:creator>Administrator</dc:creator>
  <cp:lastModifiedBy>无语</cp:lastModifiedBy>
  <dcterms:modified xsi:type="dcterms:W3CDTF">2026-06-02T01:30:24Z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B72AE13A9F3B42499FF91B0C485FBCD1</vt:lpwstr>
  </property>
  <property fmtid="{D5CDD505-2E9C-101B-9397-08002B2CF9AE}" pid="4" name="KSOTemplateDocerSaveRecord">
    <vt:lpwstr>eyJoZGlkIjoiNjc0NmFmOTE4NDlkN2VkMWE3ZTMzZjllNDI4YzE4OGQiLCJ1c2VySWQiOiIxODI1NzYwMjE0In0=</vt:lpwstr>
  </property>
</Properties>
</file>