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8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中共岳阳市委党史研究室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2025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1.贯彻执行中共中央、国务院、中共湖南省委、省政府关于党史、地方志编修的有关方针、政策及规定，拟订地方性的党史、地方志编修工作政策、规定和规划。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2.认真贯彻落实市委、市政府指示精神，组织全市党史、市志、部门志、专业志及市志丛书的编修及管理工作。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3.负责对各县市区和各部门的党史、史料、方志、年鉴工作进行督查和业务指导；培训党史、方志干部；组织对各级史（志）稿的评审、验收、出版和评奖。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.收集、整理、研究岳阳地方党史、地方文献资料和市情资料，编纂出版《中共岳阳地方史》《中共岳阳市委工作纪实》《回首当年》等；规划和组织对岳阳籍重要党史人物生平和思想研究；编写党史人物传记等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5.编辑出版《岳阳年鉴》；建立《岳阳年鉴》全文数据库（CAFD）；指导全市各县市区年鉴编辑出版工作。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6.依据《著作权法》等有关法律、法规，负责对全市史书、志书、年鉴编纂工作纠纷进行技术鉴定仲裁。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7.运用党史、方志资料和党史、方志研究成果，开展各种形式的宣传教育，发挥“存史、资政、育人”的社会功能；会同有关部门协助市委组织重大党史事件、重要党史人物的纪念活动。</w:t>
            </w:r>
          </w:p>
          <w:p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8.负责市党史联络组的日常工作，为市党史联络组的老同志做好党史工作提供服务。</w:t>
            </w:r>
          </w:p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9.承办市委、市政府交办的其他事项。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Lines="0" w:afterLines="0"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中共岳阳市委党史研究室设置6个内设机构：综合部、党史编研部、历史人物研究部、方志部、年鉴部、党办。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本部门预算为汇总预算，纳入编制范围的预算单位包括：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1、</w:t>
            </w:r>
            <w:r>
              <w:rPr>
                <w:rFonts w:hint="eastAsia" w:ascii="宋体" w:hAnsi="宋体" w:eastAsia="宋体"/>
                <w:sz w:val="32"/>
                <w:szCs w:val="24"/>
                <w:lang w:val="en" w:eastAsia="zh-CN"/>
              </w:rPr>
              <w:t>中共岳阳市委党史研究室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本级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年收入较去年减少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28.52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6.9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宋体" w:eastAsia="宋体"/>
                <w:sz w:val="32"/>
                <w:szCs w:val="24"/>
                <w:lang w:eastAsia="zh-CN"/>
              </w:rPr>
              <w:t>专项经费减少。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248.19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104.86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13.77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17.27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万元，支出较去年减少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28.52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6.9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，主要是因为</w:t>
            </w:r>
            <w:r>
              <w:rPr>
                <w:rFonts w:hint="eastAsia" w:ascii="宋体" w:hAnsi="宋体" w:eastAsia="宋体"/>
                <w:sz w:val="32"/>
                <w:szCs w:val="24"/>
                <w:lang w:eastAsia="zh-CN"/>
              </w:rPr>
              <w:t>专项经费减少。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248.19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64.62%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104.86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27.3%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13.77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3.58%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17.27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4.5%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342.59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firstLine="160" w:firstLineChars="5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），是指部门为完成特定行政工作任务或事业发展目标而发生的支出，包括有关业务工作经费、运行维护经费、其他事业发展资金等。其中：非税执收经费专项支出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《岳阳年鉴》编纂出版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方面,日常工作经费专项支出37.50万元，主要用于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党史地方志业务工作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51.26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比上一年减少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0.22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万元，降低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0.4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%。主要原因是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办公经费减少。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Times New Roman" w:eastAsia="宋体" w:cs="宋体"/>
                <w:sz w:val="32"/>
                <w:szCs w:val="32"/>
                <w:lang w:val="en"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bookmarkStart w:id="0" w:name="_GoBack"/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持平，无增减变化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无增减比值变化，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主要原因是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落实过“紧日子”要求。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会议费、培训费），拟召开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次会议，人数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人，内容为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全市党史地方志系统工作推进会议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万元，拟开展2次培训，人数4人，内容为干部参加党校培训费用；2025年度本部门未计划举办节庆、晚会、论坛、赛事活动。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（四）委托业务费情况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val="en" w:eastAsia="zh-CN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年本级等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家行政事业单位委托业务费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1.8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万元，比上年预算减少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0.4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万元，下降</w:t>
            </w:r>
            <w:r>
              <w:rPr>
                <w:rFonts w:hint="default" w:ascii="宋体" w:hAnsi="Times New Roman" w:eastAsia="宋体" w:cs="宋体"/>
                <w:sz w:val="32"/>
                <w:szCs w:val="32"/>
                <w:lang w:val="en"/>
              </w:rPr>
              <w:t>18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委托业务减少。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（五）政府采购情况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本部门2025年政府采购预算总额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50.47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4.22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44.25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（六）国有资产占有使用及新增资产配置情况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截至上年底，本部门共有车辆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辆。单位价值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</w:t>
            </w:r>
            <w:r>
              <w:rPr>
                <w:rFonts w:ascii="宋体" w:hAnsi="Times New Roman" w:cs="宋体"/>
                <w:sz w:val="32"/>
                <w:szCs w:val="32"/>
              </w:rPr>
              <w:t xml:space="preserve"> </w:t>
            </w:r>
          </w:p>
          <w:p>
            <w:pPr>
              <w:spacing w:line="375" w:lineRule="exact"/>
              <w:ind w:left="20"/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Times New Roman" w:cs="宋体"/>
                <w:sz w:val="32"/>
                <w:szCs w:val="32"/>
              </w:rPr>
              <w:t>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年拟报废处置车辆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辆，其中：报废处置领导干部用车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辆，报废处置单位价值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台，报废处置单位价值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台。拟新增配置车辆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辆，其中领导干部用车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</w:t>
            </w:r>
            <w:r>
              <w:rPr>
                <w:rFonts w:hint="eastAsia" w:ascii="宋体" w:hAnsi="Times New Roman" w:cs="宋体"/>
                <w:sz w:val="32"/>
                <w:szCs w:val="32"/>
                <w:lang w:eastAsia="zh-CN"/>
              </w:rPr>
              <w:t>。</w:t>
            </w:r>
          </w:p>
          <w:p>
            <w:pPr>
              <w:spacing w:line="375" w:lineRule="exact"/>
              <w:ind w:left="20"/>
              <w:rPr>
                <w:rFonts w:hint="eastAsia" w:ascii="宋体" w:hAnsi="Times New Roman" w:cs="宋体"/>
                <w:sz w:val="32"/>
                <w:szCs w:val="32"/>
              </w:rPr>
            </w:pPr>
            <w:r>
              <w:rPr>
                <w:rFonts w:ascii="宋体" w:hAnsi="Times New Roman" w:cs="宋体"/>
                <w:sz w:val="32"/>
                <w:szCs w:val="32"/>
              </w:rPr>
              <w:t xml:space="preserve">  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年拟新增配备领导干部用车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辆，一般公务用车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辆，其他用车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辆，新增配备单位价值</w:t>
            </w:r>
            <w:r>
              <w:rPr>
                <w:rFonts w:ascii="宋体" w:hAnsi="Times New Roman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万元以上通用设备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台，单位价值</w:t>
            </w:r>
            <w:r>
              <w:rPr>
                <w:rFonts w:ascii="宋体" w:hAnsi="Times New Roman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万元以上专用设备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台。</w:t>
            </w:r>
            <w:r>
              <w:rPr>
                <w:rFonts w:ascii="宋体" w:hAnsi="Times New Roman" w:cs="宋体"/>
                <w:sz w:val="32"/>
                <w:szCs w:val="32"/>
              </w:rPr>
              <w:t>202</w:t>
            </w:r>
            <w:r>
              <w:rPr>
                <w:rFonts w:hint="eastAsia" w:ascii="宋体" w:hAnsi="Times New Roman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Times New Roman" w:cs="宋体"/>
                <w:sz w:val="32"/>
                <w:szCs w:val="32"/>
              </w:rPr>
              <w:t>年度本部门未计划处置或新增车辆、设备等。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（七）预算绩效目标说明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384.09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342.59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41.50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ialog">
    <w:altName w:val="Nimbus Roman No9 L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true"/>
  <w:drawingGridHorizontalOrigin w:val="1800"/>
  <w:drawingGridVerticalOrigin w:val="1440"/>
  <w:doNotShadeFormData w:val="true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C"/>
    <w:rsid w:val="00FC367C"/>
    <w:rsid w:val="16FBCA54"/>
    <w:rsid w:val="5FFBCE86"/>
    <w:rsid w:val="7FFE9856"/>
    <w:rsid w:val="CF8B6309"/>
    <w:rsid w:val="F394B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"/>
    <w:pPr>
      <w:outlineLvl w:val="0"/>
    </w:pPr>
    <w:rPr>
      <w:b/>
      <w:bCs/>
      <w:sz w:val="32"/>
      <w:szCs w:val="32"/>
    </w:rPr>
  </w:style>
  <w:style w:type="paragraph" w:styleId="4">
    <w:name w:val="heading 2"/>
    <w:basedOn w:val="1"/>
    <w:next w:val="1"/>
    <w:link w:val="11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12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Char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Char"/>
    <w:basedOn w:val="9"/>
    <w:link w:val="5"/>
    <w:semiHidden/>
    <w:qFormat/>
    <w:uiPriority w:val="9"/>
    <w:rPr>
      <w:b/>
      <w:bCs/>
      <w:sz w:val="32"/>
      <w:szCs w:val="32"/>
    </w:rPr>
  </w:style>
  <w:style w:type="character" w:customStyle="1" w:styleId="13">
    <w:name w:val="页眉 Char"/>
    <w:basedOn w:val="9"/>
    <w:link w:val="7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588</Words>
  <Characters>3353</Characters>
  <Lines>27</Lines>
  <Paragraphs>7</Paragraphs>
  <TotalTime>11</TotalTime>
  <ScaleCrop>false</ScaleCrop>
  <LinksUpToDate>false</LinksUpToDate>
  <CharactersWithSpaces>3934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2026-04-15T00:50:00Z</dcterms:created>
  <dc:creator>PC</dc:creator>
  <cp:lastModifiedBy>xjkp</cp:lastModifiedBy>
  <dcterms:modified xsi:type="dcterms:W3CDTF">2026-06-04T10:33:35Z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