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附件：1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年度部门整体支出绩效评价基础数据表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360" w:lineRule="auto"/>
        <w:ind w:left="0" w:leftChars="0" w:firstLine="1600" w:firstLineChars="5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年度部门整体支出绩效自评表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360" w:lineRule="auto"/>
        <w:ind w:left="0" w:leftChars="0" w:firstLine="1600" w:firstLineChars="5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年度项目支出绩效自评表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360" w:lineRule="auto"/>
        <w:ind w:left="1600" w:leftChars="762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年度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直预算部门整体支出绩效自评报告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360" w:lineRule="auto"/>
        <w:ind w:left="1600" w:leftChars="762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（统一参考格式）   </w:t>
      </w:r>
    </w:p>
    <w:p>
      <w:pPr>
        <w:spacing w:line="640" w:lineRule="exact"/>
        <w:ind w:firstLine="627" w:firstLineChars="196"/>
        <w:rPr>
          <w:rFonts w:hint="default" w:ascii="Times New Roman" w:eastAsia="仿宋_GB2312" w:cs="Times New Roman"/>
          <w:sz w:val="32"/>
          <w:szCs w:val="32"/>
        </w:rPr>
      </w:pPr>
    </w:p>
    <w:p>
      <w:pPr>
        <w:spacing w:line="640" w:lineRule="exact"/>
        <w:ind w:firstLine="627" w:firstLineChars="196"/>
        <w:rPr>
          <w:rFonts w:hint="default" w:ascii="Times New Roman" w:eastAsia="仿宋_GB2312" w:cs="Times New Roman"/>
          <w:color w:val="000000"/>
          <w:sz w:val="32"/>
        </w:rPr>
      </w:pPr>
    </w:p>
    <w:p>
      <w:pPr>
        <w:wordWrap w:val="0"/>
        <w:spacing w:line="640" w:lineRule="exact"/>
        <w:ind w:firstLine="0" w:firstLineChars="0"/>
        <w:jc w:val="right"/>
        <w:rPr>
          <w:rFonts w:hint="default" w:ascii="Times New Roman" w:eastAsia="仿宋_GB2312" w:cs="Times New Roman"/>
          <w:sz w:val="32"/>
          <w:lang w:val="en-US" w:eastAsia="zh-CN"/>
        </w:rPr>
      </w:pPr>
      <w:r>
        <w:rPr>
          <w:rFonts w:hint="default" w:ascii="Times New Roman" w:eastAsia="仿宋_GB2312" w:cs="Times New Roman"/>
          <w:sz w:val="32"/>
        </w:rPr>
        <w:t>岳阳市财政局</w:t>
      </w:r>
      <w:r>
        <w:rPr>
          <w:rFonts w:hint="eastAsia" w:eastAsia="仿宋_GB2312" w:cs="Times New Roman"/>
          <w:sz w:val="32"/>
          <w:lang w:val="en-US" w:eastAsia="zh-CN"/>
        </w:rPr>
        <w:t xml:space="preserve">          </w:t>
      </w:r>
    </w:p>
    <w:p>
      <w:pPr>
        <w:wordWrap w:val="0"/>
        <w:spacing w:line="640" w:lineRule="exact"/>
        <w:ind w:right="0" w:firstLine="0" w:firstLineChars="0"/>
        <w:jc w:val="right"/>
        <w:rPr>
          <w:rFonts w:hint="default" w:ascii="Times New Roman" w:eastAsia="仿宋_GB2312" w:cs="Times New Roman"/>
          <w:sz w:val="32"/>
          <w:lang w:val="en-US" w:eastAsia="zh-CN"/>
        </w:rPr>
      </w:pPr>
      <w:r>
        <w:rPr>
          <w:rFonts w:hint="default" w:ascii="Times New Roman" w:eastAsia="仿宋_GB2312" w:cs="Times New Roman"/>
          <w:sz w:val="32"/>
        </w:rPr>
        <w:t xml:space="preserve">                         20</w:t>
      </w:r>
      <w:r>
        <w:rPr>
          <w:rFonts w:hint="default" w:ascii="Times New Roman" w:eastAsia="仿宋_GB2312" w:cs="Times New Roman"/>
          <w:sz w:val="32"/>
          <w:lang w:val="en-US" w:eastAsia="zh-CN"/>
        </w:rPr>
        <w:t>2</w:t>
      </w:r>
      <w:r>
        <w:rPr>
          <w:rFonts w:hint="eastAsia" w:eastAsia="仿宋_GB2312" w:cs="Times New Roman"/>
          <w:sz w:val="32"/>
          <w:lang w:val="en-US" w:eastAsia="zh-CN"/>
        </w:rPr>
        <w:t>6</w:t>
      </w:r>
      <w:r>
        <w:rPr>
          <w:rFonts w:hint="default" w:ascii="Times New Roman" w:eastAsia="仿宋_GB2312" w:cs="Times New Roman"/>
          <w:sz w:val="32"/>
        </w:rPr>
        <w:t>年</w:t>
      </w:r>
      <w:r>
        <w:rPr>
          <w:rFonts w:hint="eastAsia" w:eastAsia="仿宋_GB2312" w:cs="Times New Roman"/>
          <w:sz w:val="32"/>
          <w:lang w:val="en-US" w:eastAsia="zh-CN"/>
        </w:rPr>
        <w:t>3</w:t>
      </w:r>
      <w:r>
        <w:rPr>
          <w:rFonts w:hint="default" w:ascii="Times New Roman" w:eastAsia="仿宋_GB2312" w:cs="Times New Roman"/>
          <w:sz w:val="32"/>
        </w:rPr>
        <w:t>月</w:t>
      </w:r>
      <w:r>
        <w:rPr>
          <w:rFonts w:hint="eastAsia" w:eastAsia="仿宋_GB2312" w:cs="Times New Roman"/>
          <w:sz w:val="32"/>
          <w:lang w:val="en-US" w:eastAsia="zh-CN"/>
        </w:rPr>
        <w:t>30</w:t>
      </w:r>
      <w:r>
        <w:rPr>
          <w:rFonts w:hint="default" w:ascii="Times New Roman" w:eastAsia="仿宋_GB2312" w:cs="Times New Roman"/>
          <w:sz w:val="32"/>
        </w:rPr>
        <w:t>日</w:t>
      </w:r>
      <w:r>
        <w:rPr>
          <w:rFonts w:hint="eastAsia" w:eastAsia="仿宋_GB2312" w:cs="Times New Roman"/>
          <w:sz w:val="32"/>
          <w:lang w:val="en-US" w:eastAsia="zh-CN"/>
        </w:rPr>
        <w:t xml:space="preserve">        </w:t>
      </w:r>
    </w:p>
    <w:p>
      <w:pPr>
        <w:rPr>
          <w:rFonts w:hint="default" w:ascii="Times New Roman" w:eastAsia="仿宋_GB2312" w:cs="Times New Roman"/>
          <w:szCs w:val="21"/>
        </w:rPr>
      </w:pPr>
    </w:p>
    <w:p>
      <w:pPr>
        <w:rPr>
          <w:rFonts w:hint="default" w:ascii="Times New Roman" w:eastAsia="仿宋_GB2312" w:cs="Times New Roman"/>
          <w:szCs w:val="21"/>
        </w:rPr>
      </w:pPr>
    </w:p>
    <w:p>
      <w:pPr>
        <w:rPr>
          <w:rFonts w:hint="default" w:ascii="Times New Roman" w:eastAsia="仿宋_GB2312" w:cs="Times New Roman"/>
          <w:szCs w:val="21"/>
        </w:rPr>
      </w:pPr>
    </w:p>
    <w:p>
      <w:pPr>
        <w:rPr>
          <w:rFonts w:hint="default" w:ascii="Times New Roman" w:eastAsia="仿宋_GB2312" w:cs="Times New Roman"/>
          <w:szCs w:val="21"/>
        </w:rPr>
      </w:pPr>
    </w:p>
    <w:p>
      <w:pPr>
        <w:rPr>
          <w:rFonts w:hint="default" w:ascii="Times New Roman" w:eastAsia="仿宋_GB2312" w:cs="Times New Roman"/>
          <w:szCs w:val="21"/>
        </w:rPr>
      </w:pPr>
    </w:p>
    <w:p>
      <w:pPr>
        <w:rPr>
          <w:rFonts w:hint="default" w:ascii="Times New Roman" w:eastAsia="仿宋_GB2312" w:cs="Times New Roman"/>
          <w:szCs w:val="21"/>
        </w:rPr>
      </w:pPr>
    </w:p>
    <w:p>
      <w:pPr>
        <w:rPr>
          <w:rFonts w:hint="default" w:ascii="Times New Roman" w:eastAsia="仿宋_GB2312" w:cs="Times New Roman"/>
          <w:szCs w:val="21"/>
        </w:rPr>
      </w:pPr>
    </w:p>
    <w:p>
      <w:pPr>
        <w:spacing w:line="120" w:lineRule="exac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line="120" w:lineRule="exac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line="120" w:lineRule="exac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line="120" w:lineRule="exac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line="120" w:lineRule="exac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line="120" w:lineRule="exac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line="120" w:lineRule="exac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line="120" w:lineRule="exac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line="120" w:lineRule="exac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line="120" w:lineRule="exac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line="120" w:lineRule="exac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line="120" w:lineRule="exac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line="120" w:lineRule="exac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after="0" w:afterLines="0" w:line="240" w:lineRule="auto"/>
        <w:ind w:firstLine="280" w:firstLineChars="100"/>
        <w:jc w:val="lef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after="0" w:afterLines="0" w:line="120" w:lineRule="exact"/>
        <w:ind w:firstLine="280" w:firstLineChars="100"/>
        <w:jc w:val="lef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after="0" w:afterLines="0" w:line="120" w:lineRule="exact"/>
        <w:ind w:firstLine="280" w:firstLineChars="100"/>
        <w:jc w:val="lef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after="0" w:afterLines="0" w:line="120" w:lineRule="exact"/>
        <w:ind w:firstLine="280" w:firstLineChars="100"/>
        <w:jc w:val="lef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after="0" w:afterLines="0" w:line="120" w:lineRule="exact"/>
        <w:ind w:firstLine="280" w:firstLineChars="100"/>
        <w:jc w:val="lef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after="0" w:afterLines="0" w:line="120" w:lineRule="exact"/>
        <w:ind w:firstLine="280" w:firstLineChars="100"/>
        <w:jc w:val="lef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after="0" w:afterLines="0" w:line="120" w:lineRule="exact"/>
        <w:ind w:firstLine="280" w:firstLineChars="100"/>
        <w:jc w:val="lef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after="0" w:afterLines="0" w:line="120" w:lineRule="exact"/>
        <w:ind w:firstLine="280" w:firstLineChars="100"/>
        <w:jc w:val="lef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after="0" w:afterLines="0" w:line="120" w:lineRule="exact"/>
        <w:ind w:firstLine="280" w:firstLineChars="100"/>
        <w:jc w:val="lef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after="0" w:afterLines="0" w:line="120" w:lineRule="exact"/>
        <w:ind w:firstLine="280" w:firstLineChars="100"/>
        <w:jc w:val="left"/>
        <w:rPr>
          <w:rFonts w:hint="default" w:ascii="Times New Roman" w:eastAsia="仿宋_GB2312" w:cs="Times New Roman"/>
          <w:sz w:val="28"/>
          <w:szCs w:val="28"/>
        </w:rPr>
      </w:pPr>
    </w:p>
    <w:p>
      <w:pPr>
        <w:spacing w:after="0" w:afterLines="0" w:line="120" w:lineRule="exact"/>
        <w:ind w:firstLine="280" w:firstLineChars="100"/>
        <w:jc w:val="left"/>
        <w:rPr>
          <w:rFonts w:hint="default" w:asci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360" w:lineRule="auto"/>
        <w:ind w:left="0" w:leftChars="0" w:firstLine="560" w:firstLineChars="200"/>
        <w:jc w:val="both"/>
        <w:textAlignment w:val="auto"/>
        <w:rPr>
          <w:rFonts w:hint="eastAsia" w:eastAsia="仿宋_GB2312" w:cs="Times New Roman"/>
          <w:sz w:val="28"/>
          <w:szCs w:val="28"/>
          <w:lang w:eastAsia="zh-CN"/>
        </w:rPr>
      </w:pPr>
      <w:r>
        <w:rPr>
          <w:rFonts w:hint="default" w:ascii="Times New Roman" w:eastAsia="仿宋_GB2312" w:cs="Times New Roman"/>
          <w:sz w:val="28"/>
          <w:szCs w:val="28"/>
        </w:rPr>
        <w:t>抄送：</w:t>
      </w:r>
      <w:r>
        <w:rPr>
          <w:rFonts w:hint="default" w:ascii="Times New Roman" w:eastAsia="仿宋_GB2312" w:cs="Times New Roman"/>
          <w:sz w:val="28"/>
          <w:szCs w:val="28"/>
          <w:lang w:eastAsia="zh-CN"/>
        </w:rPr>
        <w:t>市人大</w:t>
      </w:r>
      <w:r>
        <w:rPr>
          <w:rFonts w:hint="eastAsia" w:eastAsia="仿宋_GB2312" w:cs="Times New Roman"/>
          <w:sz w:val="28"/>
          <w:szCs w:val="28"/>
          <w:lang w:eastAsia="zh-CN"/>
        </w:rPr>
        <w:t>，市审计局。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360" w:lineRule="auto"/>
        <w:ind w:left="0" w:leftChars="0" w:firstLine="560" w:firstLineChars="200"/>
        <w:jc w:val="both"/>
        <w:textAlignment w:val="auto"/>
        <w:rPr>
          <w:rFonts w:hint="eastAsia" w:eastAsia="仿宋_GB2312" w:cs="Times New Roman"/>
          <w:sz w:val="28"/>
          <w:szCs w:val="28"/>
          <w:lang w:eastAsia="zh-CN"/>
        </w:rPr>
      </w:pPr>
    </w:p>
    <w:p>
      <w:pPr>
        <w:jc w:val="both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jc w:val="both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>
      <w:pPr>
        <w:spacing w:after="120" w:afterLines="50" w:line="600" w:lineRule="exact"/>
        <w:jc w:val="both"/>
        <w:rPr>
          <w:rFonts w:hint="eastAsia" w:ascii="方正小标宋简体" w:hAnsi="方正小标宋简体" w:eastAsia="黑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>
      <w:pPr>
        <w:spacing w:after="120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sz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年度部门整体支出绩效评价基础数据表</w:t>
      </w:r>
    </w:p>
    <w:tbl>
      <w:tblPr>
        <w:tblStyle w:val="3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26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4.46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4.8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3.32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3.32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1.14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1.8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1371.31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  <w:t>1094.84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1094.84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专项资金（一个专项一行）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1371.31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1094.84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1094.84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70.22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79.58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67.20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8.33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9.98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10.03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12.7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8.36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2.22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4.5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3.5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投资概算控制率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1、严控办公经费，推进无纸化办公。2、严控“三公”经费，加强公务接待管理。3、严控差旅费，对于超标准开支不予报销。4、严控培训费，充分运用网络、视频等信息化手段开展培训。5、加强财务监督，完善内控制度。　</w:t>
            </w:r>
          </w:p>
        </w:tc>
      </w:tr>
    </w:tbl>
    <w:p>
      <w:pPr>
        <w:widowControl/>
        <w:spacing w:afterLines="0" w:line="400" w:lineRule="exact"/>
        <w:ind w:left="660" w:hanging="660" w:hangingChars="300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说明：“项目支出”需要填报基本支出以外的所有项目支出情况，“公用经费”填报基本支出中的一般商品和服务支出。</w:t>
      </w:r>
    </w:p>
    <w:p>
      <w:pPr>
        <w:widowControl/>
        <w:spacing w:afterLines="0" w:line="400" w:lineRule="exact"/>
        <w:jc w:val="left"/>
        <w:rPr>
          <w:rFonts w:hint="default" w:ascii="Times New Roman" w:hAnsi="Times New Roman" w:eastAsia="仿宋_GB2312" w:cs="Times New Roman"/>
          <w:sz w:val="22"/>
          <w:highlight w:val="none"/>
        </w:rPr>
      </w:pPr>
    </w:p>
    <w:p>
      <w:pPr>
        <w:widowControl/>
        <w:spacing w:after="0" w:afterLines="0" w:line="400" w:lineRule="exact"/>
        <w:jc w:val="lef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填表人：</w:t>
      </w:r>
      <w:r>
        <w:rPr>
          <w:rFonts w:hint="eastAsia" w:eastAsia="仿宋_GB2312" w:cs="Times New Roman"/>
          <w:sz w:val="22"/>
          <w:highlight w:val="none"/>
          <w:lang w:eastAsia="zh-CN"/>
        </w:rPr>
        <w:t>白梅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填报日期：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 xml:space="preserve">2026.6.30  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联系电话：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>8708336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单位负责人签字：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br w:type="page"/>
      </w: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p>
      <w:pPr>
        <w:widowControl/>
        <w:spacing w:after="0" w:afterLines="0" w:line="400" w:lineRule="exact"/>
        <w:jc w:val="lef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widowControl/>
        <w:spacing w:after="120" w:afterLines="50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年度部门整体支出绩效自评表</w:t>
      </w:r>
    </w:p>
    <w:tbl>
      <w:tblPr>
        <w:tblStyle w:val="3"/>
        <w:tblW w:w="1007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34"/>
        <w:gridCol w:w="1270"/>
        <w:gridCol w:w="1311"/>
        <w:gridCol w:w="1269"/>
        <w:gridCol w:w="716"/>
        <w:gridCol w:w="873"/>
        <w:gridCol w:w="14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级预算部门名称</w:t>
            </w:r>
          </w:p>
        </w:tc>
        <w:tc>
          <w:tcPr>
            <w:tcW w:w="89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eastAsia="zh-CN"/>
              </w:rPr>
              <w:t>岳阳市残疾人联合会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年度预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算申请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年初预算数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全年预算数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全年执行数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年度资金总额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496.67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2584.64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2478.34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95.89%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9.59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按收入性质分：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 xml:space="preserve">  其中：  一般公共预算：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2576.64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其中：基本支出：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571.26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firstLine="800" w:firstLineChars="400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政府性基金拨款：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firstLine="600" w:firstLineChars="300"/>
              <w:jc w:val="left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项目支出：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1907.08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纳入专户管理的非税收入拨款：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firstLine="1400" w:firstLineChars="700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其他资金：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6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3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为残疾人提供康复、就业、扶贫、教育、文化体育、助残宣传、维权信访等服务，切实改善残疾人生产、生活状况。　　</w:t>
            </w:r>
          </w:p>
        </w:tc>
        <w:tc>
          <w:tcPr>
            <w:tcW w:w="43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为残疾人提供康复、就业、扶贫、教育、文化体育、助残宣传、维权信访等服务，切实改善残疾人生产、生活状况。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年度指标值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实际完成值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完成残疾儿童康复训练；免费为残疾人配发万件辅助器具；帮助残疾人创业就业培训、居家托养、学前到大学的全方位的助学、残疾人家庭无障碍改造、扶贫等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完成省、市任务目标任务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已完成省、市任务目标任务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为残疾人提供康复、就业、扶贫、教育、文化体育、助残宣传、维权信访等服务，切实改善残疾人生产、生活状况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完成省、市残疾人康复、就业、文化体育等任务，残疾人生活有所改善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有所改善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完成时间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2025年底完成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2025年底已完成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部分项目跨年度拨付资金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保障机关正常运转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2584.64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2478.34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eastAsia="zh-CN"/>
              </w:rPr>
              <w:t>部分项目跨年度拨付资金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对经济发展情况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切实减轻了残疾人家庭经济负担，经济效益良好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切实减轻了残疾人家庭经济负担，经济效益良好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对社会发展情况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3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通过项目的实施，全社会关心、理解、支持残疾人的社会氛围明显提高。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3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通过项目的实施，全社会关心、理解、支持残疾人的社会氛围明显提高。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对生态发展情况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有所改善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有所改善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是否可持续影响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是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是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受助残疾人满意度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≥95%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≥95%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95.89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>
      <w:pPr>
        <w:widowControl/>
        <w:spacing w:line="600" w:lineRule="exact"/>
        <w:jc w:val="both"/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填表人：</w:t>
      </w:r>
      <w:r>
        <w:rPr>
          <w:rFonts w:hint="eastAsia" w:eastAsia="仿宋_GB2312" w:cs="Times New Roman"/>
          <w:sz w:val="22"/>
          <w:highlight w:val="none"/>
          <w:lang w:eastAsia="zh-CN"/>
        </w:rPr>
        <w:t>白梅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填报日期：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 xml:space="preserve">2026.6.30  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联系电话：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>8708336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单位负责人签字：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br w:type="page"/>
      </w: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3"/>
        <w:tblW w:w="105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2025年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残疾人就业保障金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岳阳市残疾人联合会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岳阳市残疾人联合会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2298.46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2087.97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1907.08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91.34%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2298.46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2087.97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1907.08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91.34%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1、困难残疾人家庭无障碍改造完成省重点实事任务130户；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2、残疾人托养服务1112名；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3、残疾人助学补贴应补尽补；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4、就业创业技能培训（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包含盲人按摩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）60人；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5、乡村振兴人才培育30人；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6、残疾人创业扶持20人；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7、残疾人实用技术培训（阳光增收）100人；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8、0—17岁残疾儿童康复救助项目1580人；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9、困难精神残疾人康复救助项目623人；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10、残疾人基本型辅具适配项目427人。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1、困难残疾人家庭无障碍改造完成省重点实事任务130户；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2、残疾人托养服务1112名；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3、残疾人助学补贴应补尽补2025年市辖区补贴230人）；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4、就业创业技能培训（包含盲人按摩）60人；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5、乡村振兴人才培育30人；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6、残疾人创业扶持20人；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7、残疾人实用技术培训（阳光增收）100人；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8、0—17岁残疾儿童康复救助项目 2609人；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9、可能精神残疾人康复救助项目 623人；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10、残疾人基本型辅具适配项目472 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困难残疾人家庭无障碍改造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省重点实事任务130户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130户</w:t>
            </w:r>
          </w:p>
        </w:tc>
        <w:tc>
          <w:tcPr>
            <w:tcW w:w="8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 xml:space="preserve"> 15</w:t>
            </w: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残疾人托养服务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1112人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1112人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残疾人助学补贴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应补尽补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17"/>
                <w:kern w:val="0"/>
                <w:sz w:val="20"/>
                <w:szCs w:val="20"/>
                <w:u w:val="none"/>
                <w:lang w:val="en-US" w:eastAsia="zh-CN" w:bidi="ar"/>
              </w:rPr>
              <w:t>2025年市辖区补贴230人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乡村振兴人才培育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30人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就业创业技能培训（包含盲人按摩）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60人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60人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残疾人创业扶持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20人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20人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残疾人实用技术培训（阳光增收）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100人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100人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0—17岁残疾儿童康复救助项目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省重点民生实事残疾儿童康复救助项目任务数1580人。实际完成2609人。累计完成率165.13%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省重点民生实事残疾儿童康复救助项目任务数1580人。实际完成2609人。累计完成率165.13%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困难精神残疾人康复救助项目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困难残疾人住院救助275人，服药救助348人。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困难残疾人住院救助275人，服药救助348人。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残疾人基本型辅具适配项目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按需申请。有辅具适配需求的残疾人辅具适配率达到100%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各类辅具申请人数472人。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困难残疾人家庭无障碍改造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市辖区省重点民生实事任务130户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市辖区省重点民生实事任务130户</w:t>
            </w:r>
          </w:p>
        </w:tc>
        <w:tc>
          <w:tcPr>
            <w:tcW w:w="8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残疾人托养服务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1112人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1112人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残疾人助学补贴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应补尽补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17"/>
                <w:kern w:val="0"/>
                <w:sz w:val="20"/>
                <w:szCs w:val="20"/>
                <w:u w:val="none"/>
                <w:lang w:val="en-US" w:eastAsia="zh-CN" w:bidi="ar"/>
              </w:rPr>
              <w:t>2025年市辖区补贴230人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乡村振兴人才培育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30人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就业创业技能培训（包含盲人按摩）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完成残疾人按摩技能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、创业扶持提升培训各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30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 xml:space="preserve"> 人次，培训任务按期完成，培训质量达标。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实际完成残疾人按摩技能、创业扶持提升培训各30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 xml:space="preserve"> 人次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，培训组织规范有序，培训成效良好，达到预期目标。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残疾人创业扶持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扶持残疾人创业20人，成效达标。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完成残疾人创业扶持20人，效果良好。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残疾人实用技术培训（阳光增收）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开展残疾人实用技术培训 100 人次，培训任务按期完成，培训效果达标</w:t>
            </w:r>
            <w:r>
              <w:rPr>
                <w:rFonts w:ascii="宋体" w:hAnsi="宋体" w:eastAsia="宋体" w:cs="宋体"/>
                <w:sz w:val="24"/>
                <w:szCs w:val="24"/>
              </w:rPr>
              <w:t>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完成残疾人实用技术培训 100 人次，培训组织规范，参训效果良好，达到预期质量目标。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0—17岁残疾儿童康复救助项目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省实事任务1580人。实际完成2609人。平均在训时长超过7个月，家长满意度超过90%，康复有效率超过85%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省实事任务1580人。实际完成2609人。平均在训时长超过7个月，家长满意度超过90%，康复有效率超过85%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困难精神残疾人康复救助项目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困难残疾人住院救助275人，服药救助348人。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困难残疾人住院救助275人，服药救助348人。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残疾人基本型辅具适配项目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按需申请。有辅具适配需求的残疾人辅具适配率达到100%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各类辅具申请人数472人。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困难残疾人家庭无障碍改造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2025年完成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2025年12月底完成</w:t>
            </w:r>
          </w:p>
        </w:tc>
        <w:tc>
          <w:tcPr>
            <w:tcW w:w="8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残疾人托养服务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2025年度完成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  <w:t>2025年度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  <w:t>完成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残疾人助学补贴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2025年度完成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  <w:t>2025年度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  <w:t>完成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乡村振兴人才培育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2025年度完成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  <w:t>2025年度完成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就业创业技能培训（包含盲人按摩）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2025年4月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2025年6月完成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残疾人创业扶持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2025年10月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2025年11月完成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残疾人实用技术培训（阳光增收）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2025年9月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2025年11月完成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0—17岁残疾儿童康复救助项目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2025年完成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2025年完成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困难精神残疾人康复救助项目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2025年度完成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2025年完成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残疾人基本型辅具适配项目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2025年度完成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2025年完成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困难残疾人家庭无障碍改造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 xml:space="preserve"> 市辖区残联承接省重点民生实事类任务指标130户，市本级配套1500元/户，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19.5万元</w:t>
            </w:r>
          </w:p>
        </w:tc>
        <w:tc>
          <w:tcPr>
            <w:tcW w:w="8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残疾人托养服务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  <w:t>市辖区居家（550人）、日间照料（130人）、寄宿型（152人）省任务托养任务市本级分别按每人700/3500/4500予以补贴，居家托养自筹任务（280人）市本级按1000元/人补贴市辖区托养对象补贴，以上市本级补贴合计180.4万元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  <w:t>市本级补贴市辖区1112名残疾人托养合计180.4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  <w:t>万元。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残疾人助学补贴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  <w:t xml:space="preserve">市辖区高中及以上阶段残疾人学生及困难残疾人家庭子女教育资助，共计20万元。高中阶段：残疾学生1400元/学年、困难残疾人家庭子女1000元/学年；大学及以上阶段一次性补贴：大专4000元、本科5000元、硕士及以上6000元、困难残疾人家庭子女3000元。市区各承担一半，据实报销。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  <w:t>资助市辖区230名高中及以上阶段残疾人学生及困难残疾人家庭子女，市本级配套20万元。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乡村振兴人才培育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  <w:t xml:space="preserve">30个乡村振兴残疾人人才培养任务，省级配套1000元/人，本级配套2000元/人。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3"/>
                <w:w w:val="95"/>
                <w:kern w:val="0"/>
                <w:sz w:val="20"/>
                <w:szCs w:val="20"/>
                <w:highlight w:val="none"/>
                <w:lang w:val="en-US" w:eastAsia="zh-CN" w:bidi="ar-SA"/>
              </w:rPr>
              <w:t>组织30名乡村振兴残疾人典型代表开展提升培训，市本级支出4.825万元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3"/>
                <w:kern w:val="0"/>
                <w:sz w:val="20"/>
                <w:szCs w:val="20"/>
                <w:highlight w:val="none"/>
                <w:lang w:val="en-US" w:eastAsia="zh-CN" w:bidi="ar-SA"/>
              </w:rPr>
              <w:t xml:space="preserve">。 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就业创业技能培训（包含盲人按摩）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14.2万元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13.18万元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残疾人创业扶持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20万元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20万元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残疾人实用技术培训（阳光增收）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20万元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20万元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0—17岁残疾儿童康复救助项目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救助标准：0—6岁1500元每人每月；7—17岁的8000元每人每月。资金分担（因素分配法）：0—6岁，中央省级一起承担66%，余下的34%，县级对象县级全额承担，市辖区对象按市区5：5承担。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按实际康复训练对象及时长拨付，市本级共承担232.6万元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困难精神残疾人康复救助项目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医保报销后，补贴个人承担部分。困难残疾人住院4000元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人。服药1000元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人。按市区5:5的比例按实结算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住院275人，市本级承担55万元，服药  348人，市本级承担17.4万元。共计承担72.4万元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残疾人基本型辅具适配项目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有辅具适配需求的持证残疾人根据《湖南省残疾人辅具适配补贴目录》的名录和标准进行补贴。市区按3：7的比例分担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有472名残疾人通过“湖南省残疾人互联网+康复综合管理与服务平台”申请辅具594件，补贴金额628672元。市区按3：7的比例分担，市本级支出188602元。</w:t>
            </w: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困难残疾人家庭无障碍改造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切实减轻了残疾人家庭经济负担，经济效益良好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切实减轻了残疾人家庭经济负担，经济效益良好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00" w:firstLineChars="1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残疾人托养服务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残疾人助学补贴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乡村振兴人才培育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就业创业技能培训（包含盲人按摩）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残疾人创业扶持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残疾人实用技术培训（阳光增收）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0—17岁残疾儿童康复救助项目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困难精神残疾人康复救助项目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残疾人基本型辅具适配项目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困难残疾人家庭无障碍改造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体现党和政府对残疾人的关心和照顾，社会认可度95%以上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通过项目的实施，全社会关心、理解、支持残疾人的社会氛围明显提高。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残疾人托养服务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残疾人助学补贴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乡村振兴人才培育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就业创业技能培训（包含盲人按摩）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残疾人创业扶持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残疾人实用技术培训（阳光增收）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0—17岁残疾儿童康复救助项目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困难精神残疾人康复救助项目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残疾人基本型辅具适配项目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所有指标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无负面影响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无负面影响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所有指标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实现可持续发展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实现可持续发展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困难残疾人家庭无障碍改造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受助残疾人满意度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95%以上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受助残疾人满意度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95%以上</w:t>
            </w:r>
          </w:p>
        </w:tc>
        <w:tc>
          <w:tcPr>
            <w:tcW w:w="8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残疾人托养服务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残疾人助学补贴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乡村振兴人才培育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就业创业技能培训（包含盲人按摩）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残疾人创业扶持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残疾人实用技术培训（阳光增收）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0—17岁残疾儿童康复救助项目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困难精神残疾人康复救助项目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残疾人基本型辅具适配项目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  <w:highlight w:val="none"/>
        </w:rPr>
      </w:pPr>
    </w:p>
    <w:p>
      <w:pPr>
        <w:rPr>
          <w:rFonts w:hint="default" w:ascii="Times New Roman" w:hAnsi="Times New Roman" w:eastAsia="仿宋_GB2312" w:cs="Times New Roman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>
      <w:pPr>
        <w:rPr>
          <w:rFonts w:hint="default" w:ascii="Times New Roman" w:hAnsi="Times New Roman" w:eastAsia="仿宋_GB2312" w:cs="Times New Roman"/>
          <w:sz w:val="22"/>
          <w:highlight w:val="none"/>
        </w:rPr>
      </w:pPr>
    </w:p>
    <w:p>
      <w:pPr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填表人：</w:t>
      </w:r>
      <w:r>
        <w:rPr>
          <w:rFonts w:hint="eastAsia" w:eastAsia="仿宋_GB2312" w:cs="Times New Roman"/>
          <w:sz w:val="22"/>
          <w:highlight w:val="none"/>
          <w:lang w:eastAsia="zh-CN"/>
        </w:rPr>
        <w:t>白梅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填报日期：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 xml:space="preserve">2026.6.30  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联系电话：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>8708336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单位负责人签字：</w:t>
      </w:r>
    </w:p>
    <w:p>
      <w:pPr>
        <w:rPr>
          <w:rFonts w:hint="eastAsia" w:ascii="黑体" w:hAnsi="黑体" w:eastAsia="黑体" w:cs="黑体"/>
          <w:sz w:val="32"/>
          <w:szCs w:val="32"/>
          <w:highlight w:val="none"/>
        </w:rPr>
      </w:pPr>
    </w:p>
    <w:p>
      <w:pPr>
        <w:rPr>
          <w:rFonts w:hint="eastAsia" w:ascii="黑体" w:hAnsi="黑体" w:eastAsia="黑体" w:cs="黑体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highlight w:val="none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岳阳市残疾人联合会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部门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eastAsia" w:eastAsia="楷体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 xml:space="preserve">年 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 xml:space="preserve"> 月 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30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（此页为封面）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岳阳市残疾人联合会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基本情况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2" w:firstLineChars="200"/>
        <w:jc w:val="both"/>
        <w:textAlignment w:val="auto"/>
        <w:rPr>
          <w:rFonts w:hint="default" w:ascii="仿宋" w:hAnsi="仿宋" w:eastAsia="黑体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（一）单位基本情况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2025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年我会有编制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人，实有在职在编人员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人，退休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16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人。内部机构包括4个科室、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个中心。我</w:t>
      </w:r>
      <w:r>
        <w:rPr>
          <w:rFonts w:hint="eastAsia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单位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从事的工作包括残疾人康复、就业扶贫、教育、文化体育、助残宣传、维权信访、基层组织建设等等，工作内容涉及残疾人</w:t>
      </w:r>
      <w:r>
        <w:rPr>
          <w:rFonts w:hint="eastAsia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生产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生活中的点点滴滴，汇聚了卫生、教育、民政、住建、体育、文化等诸多部门的职能。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主要职责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我单位有以下8项主要职责</w:t>
      </w:r>
      <w:r>
        <w:rPr>
          <w:rFonts w:hint="eastAsia" w:eastAsia="仿宋" w:cs="仿宋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听取残疾人意见，反映残疾人需求，维护残疾人权益，为残疾人服务。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团结教育残疾人遵守法律，履行应尽的义务，发扬乐观进取精神，自尊、自信、自强、自立，为社会主义建设贡献力量。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弘扬人道主义精神，宣传残疾人事业，沟通政府、社会与残疾人之间的联系。动员社会理解、尊重、关心、帮助残疾人。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开展残疾人康复、教育、劳动就业、扶贫、文化、体育、辅助器具供应、福利、社会服务、无障碍设施和残疾预防工作，创造良好的环境和条件，扶助残疾人平等参与社会生活。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协助政府研究、制定和实施残疾人事业的规划和计划，对有关业务进行指导和管理。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承担市政府残疾人工作委员会的日常工作，做好综合、组织、协调和服务。指导和管理各类残疾人社团组织。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开展残疾人事业的交流与合作。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承办市委、市政府交办的其他事项。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二、一般公共预算支出情况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2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（一）基本支出情况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本年基本支出</w:t>
      </w:r>
      <w:r>
        <w:rPr>
          <w:rFonts w:hint="eastAsia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571.26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万元；其中工资福利支出</w:t>
      </w:r>
      <w:r>
        <w:rPr>
          <w:rFonts w:hint="eastAsia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504.06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万元，主要用于发放</w:t>
      </w:r>
      <w:r>
        <w:rPr>
          <w:rFonts w:hint="eastAsia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在职人员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工资及津补贴；公用支出</w:t>
      </w:r>
      <w:r>
        <w:rPr>
          <w:rFonts w:hint="eastAsia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67.20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万</w:t>
      </w:r>
      <w:r>
        <w:rPr>
          <w:rFonts w:hint="eastAsia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2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项目支出情况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-SA"/>
        </w:rPr>
        <w:t>2025年本单位项目支出主要为残疾人就业保障金专项资金1094.84万元，主要为残疾人康复项目、残疾人就业扶贫项目、残疾人文化体育项目、其他残疾人事业等项目。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政府性基金预算支出情况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-SA"/>
        </w:rPr>
        <w:t xml:space="preserve">   2025</w:t>
      </w:r>
      <w:r>
        <w:rPr>
          <w:rFonts w:hint="eastAsia" w:eastAsia="仿宋" w:cs="仿宋"/>
          <w:sz w:val="32"/>
          <w:szCs w:val="32"/>
          <w:lang w:val="en-US" w:eastAsia="zh-CN"/>
        </w:rPr>
        <w:t>年本单位政府性基金支出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-SA"/>
        </w:rPr>
        <w:t>8</w:t>
      </w:r>
      <w:r>
        <w:rPr>
          <w:rFonts w:hint="eastAsia" w:eastAsia="仿宋" w:cs="仿宋"/>
          <w:sz w:val="32"/>
          <w:szCs w:val="32"/>
          <w:lang w:val="en-US" w:eastAsia="zh-CN"/>
        </w:rPr>
        <w:t>万元，主要为上级彩票公益金项目扶持残疾人文体项目和福彩分成。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国有资本经营预算支出情况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eastAsia="仿宋" w:cs="仿宋"/>
          <w:sz w:val="32"/>
          <w:szCs w:val="32"/>
          <w:lang w:val="en-US" w:eastAsia="zh-CN"/>
        </w:rPr>
      </w:pPr>
      <w:r>
        <w:rPr>
          <w:rFonts w:hint="eastAsia" w:eastAsia="仿宋" w:cs="仿宋"/>
          <w:sz w:val="32"/>
          <w:szCs w:val="32"/>
          <w:lang w:val="en-US" w:eastAsia="zh-CN"/>
        </w:rPr>
        <w:t>无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社会保险基金预算支出情况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eastAsia="仿宋" w:cs="仿宋"/>
          <w:sz w:val="32"/>
          <w:szCs w:val="32"/>
          <w:lang w:val="en-US" w:eastAsia="zh-CN"/>
        </w:rPr>
      </w:pPr>
      <w:r>
        <w:rPr>
          <w:rFonts w:hint="eastAsia" w:eastAsia="仿宋" w:cs="仿宋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六、部门整体支出绩效情况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64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，根据单位年初工作规划和重点工作，围绕市委、市政府的工作部署，积极履行职责，强化管理，较好地完成了年度工作目标，同时加强预算收支的管理，建立健全内部管理制度，严格内部管理流程，单位整体支出管理得到了提升。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年度单位整体支出绩效情况如下：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1.本年预算配置控制较好，财政供养人员控制在预算编制以内，实际在职人员未超过编制数。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2.预算执行方面，支出总额控制在预算总额以内，基本支出中财政政策性工资有所追加，本年部门预算未进行预算相关事项的调整。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3.预算管理方面，制定了切实有效的内部财务、资产管理制度，执行总体较为有效。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七、存在的问题及原因分析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64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一是预算编制有待更严格执行。预算编制与实际支出科目有的存在差异。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二是指标下发应更及时。由于结余回收，指标不及时下发导致账目上显示结余过多，实际是由于时间下达太晚许多商家还没结账，账目显示情况与实际情况不符。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三是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残疾人事业项目预算经费</w:t>
      </w:r>
      <w:r>
        <w:rPr>
          <w:rFonts w:hint="eastAsia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不足。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项目资金是贯彻落实习近平总书记提出的“全面建成小康社会，残疾人一个也不能少”重要指示和巩固拓展残疾人脱贫攻坚成果的重要保障，在残疾人事业高质量发展中发挥着重要支撑作用。关乎残疾人事业高质量发展，但纳入预算与残疾人的迫切需求还存在较大差距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  <w:t>八、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下一步改进措施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（一）转变观念，切实履行执行主体责任。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64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要切实提高政治站位，切实履行主体责任，提高对项目资金的认识，特别是要认识到加快项目资金执行进度关乎残疾人民生，关乎残疾人事业高质量发展，结合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党纪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学习教育“我为群众办实事”同步推进。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642" w:firstLineChars="20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（二）采取有效措施，加快项目资金支出进度。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64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是改进支付方式。针对事后结算的项目，通过“预付+结算”方式，并对信誉好的单位提高预付比例，同时加快结算频次，实施按月结算，提高结算进度。二是提前启动项目。做好启动项目准备，细化实施方案，筛查服务对象，履行政府采购报批手续，做好前期准备工作，做到来年开账就可以直接实施，确保各月支出进度均衡并达到序时进度；三是重视绩效管理，加强绩效管理，定期开展绩效自评，全面查摆偏离目标、进度滞后的原因，并有效整改，对于本级无法解决的情况，及时向上级业务部门报告，争取及时解决问题，确保绩效目标完成。四是加强沟通协同，加强与地方财政部门沟通，及时掌握资金到位和执行情况，同时与业务部门密切配合，共同推进项目执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（三）注重资金安全，确保资金使用效益。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0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在加快执行支出进度的同时，还要坚持资金使用的安全性、规范性和有效性并重的原则，重点关注投向是否精准、用途是否合规，及时发现并纠正存在的问题，杜绝不讲效益的“突击花钱”和各种违反财经法规、财务制度的行为，确保资金安全运行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部门整体支出绩效自评结果拟应用和公开情况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经审查后，拟在政府门户网站同步公开。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十、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其他需要说明的情况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无</w:t>
      </w:r>
    </w:p>
    <w:p/>
    <w:p/>
    <w:p>
      <w:pPr>
        <w:spacing w:after="0" w:afterLines="0" w:line="240" w:lineRule="auto"/>
        <w:ind w:firstLine="320" w:firstLineChars="100"/>
        <w:jc w:val="lef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spacing w:after="0" w:afterLines="0" w:line="240" w:lineRule="auto"/>
        <w:ind w:firstLine="320" w:firstLineChars="100"/>
        <w:jc w:val="lef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spacing w:after="0" w:afterLines="0" w:line="240" w:lineRule="auto"/>
        <w:ind w:firstLine="320" w:firstLineChars="100"/>
        <w:jc w:val="lef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spacing w:after="0" w:afterLines="0" w:line="240" w:lineRule="auto"/>
        <w:jc w:val="lef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DFD9F6"/>
    <w:multiLevelType w:val="singleLevel"/>
    <w:tmpl w:val="91DFD9F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967C77"/>
    <w:multiLevelType w:val="singleLevel"/>
    <w:tmpl w:val="C0967C7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7F4CD14"/>
    <w:multiLevelType w:val="singleLevel"/>
    <w:tmpl w:val="D7F4CD1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6168E6"/>
    <w:rsid w:val="09280533"/>
    <w:rsid w:val="0CF92DE5"/>
    <w:rsid w:val="11E84937"/>
    <w:rsid w:val="1B597354"/>
    <w:rsid w:val="1BD70FEA"/>
    <w:rsid w:val="1C6168E6"/>
    <w:rsid w:val="58167F31"/>
    <w:rsid w:val="5F7AD122"/>
    <w:rsid w:val="6BFBF74F"/>
    <w:rsid w:val="72BE2A62"/>
    <w:rsid w:val="7C4FDE07"/>
    <w:rsid w:val="BDBF0B6E"/>
    <w:rsid w:val="DF9F63A0"/>
    <w:rsid w:val="E3FD1690"/>
    <w:rsid w:val="ED8703AD"/>
    <w:rsid w:val="F36FA43F"/>
    <w:rsid w:val="FCFBA77D"/>
    <w:rsid w:val="FD60747F"/>
    <w:rsid w:val="FDBFBA82"/>
    <w:rsid w:val="FFF5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2025-06-28T14:43:00Z</dcterms:created>
  <dc:creator>YXJ</dc:creator>
  <cp:lastModifiedBy>白梅</cp:lastModifiedBy>
  <dcterms:modified xsi:type="dcterms:W3CDTF">2026-06-24T15:41:33Z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413FFD1F190C453ABAE82E4661AD286E</vt:lpwstr>
  </property>
</Properties>
</file>