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6991DD1">
      <w:pPr>
        <w:spacing w:beforeLines="0" w:afterLines="0"/>
        <w:rPr>
          <w:rFonts w:hint="default"/>
          <w:sz w:val="2"/>
          <w:szCs w:val="24"/>
        </w:rPr>
      </w:pPr>
      <w:bookmarkStart w:id="0" w:name="_GoBack"/>
      <w:bookmarkEnd w:id="0"/>
    </w:p>
    <w:tbl>
      <w:tblPr>
        <w:tblStyle w:val="5"/>
        <w:tblW w:w="153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306"/>
      </w:tblGrid>
      <w:tr w14:paraId="6F60F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9581"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1C1890AF">
            <w:pPr>
              <w:spacing w:beforeLines="0" w:afterLines="0" w:line="1110" w:lineRule="exact"/>
              <w:ind w:left="20"/>
              <w:jc w:val="center"/>
              <w:rPr>
                <w:rFonts w:hint="eastAsia" w:ascii="微软雅黑" w:hAnsi="微软雅黑" w:eastAsia="微软雅黑"/>
                <w:b/>
                <w:sz w:val="84"/>
                <w:szCs w:val="24"/>
              </w:rPr>
            </w:pPr>
            <w:r>
              <w:rPr>
                <w:rFonts w:hint="eastAsia" w:ascii="微软雅黑" w:hAnsi="微软雅黑" w:eastAsia="微软雅黑"/>
                <w:b/>
                <w:sz w:val="84"/>
                <w:szCs w:val="24"/>
              </w:rPr>
              <w:t>岳阳市城市照明管理中心2025年度</w:t>
            </w:r>
          </w:p>
          <w:p w14:paraId="39BCCD75">
            <w:pPr>
              <w:spacing w:beforeLines="0" w:afterLines="0" w:line="1110" w:lineRule="exact"/>
              <w:ind w:left="20"/>
              <w:jc w:val="center"/>
              <w:rPr>
                <w:rFonts w:hint="eastAsia" w:ascii="微软雅黑" w:hAnsi="微软雅黑" w:eastAsia="微软雅黑"/>
                <w:sz w:val="84"/>
                <w:szCs w:val="24"/>
              </w:rPr>
            </w:pPr>
            <w:r>
              <w:rPr>
                <w:rFonts w:hint="eastAsia" w:ascii="微软雅黑" w:hAnsi="微软雅黑" w:eastAsia="微软雅黑"/>
                <w:b/>
                <w:sz w:val="84"/>
                <w:szCs w:val="24"/>
              </w:rPr>
              <w:t>单位预算</w:t>
            </w:r>
          </w:p>
        </w:tc>
      </w:tr>
      <w:tr w14:paraId="4FAA9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442"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643D91DC">
            <w:pPr>
              <w:spacing w:beforeLines="0" w:afterLines="0" w:line="525" w:lineRule="exact"/>
              <w:ind w:left="20"/>
              <w:jc w:val="center"/>
              <w:rPr>
                <w:rFonts w:hint="eastAsia" w:ascii="Dialog" w:hAnsi="Dialog"/>
                <w:sz w:val="44"/>
                <w:szCs w:val="24"/>
              </w:rPr>
            </w:pPr>
            <w:r>
              <w:rPr>
                <w:rFonts w:hint="eastAsia" w:ascii="Dialog" w:hAnsi="Dialog"/>
                <w:sz w:val="44"/>
                <w:szCs w:val="24"/>
              </w:rPr>
              <w:t>目录</w:t>
            </w:r>
          </w:p>
        </w:tc>
      </w:tr>
      <w:tr w14:paraId="276C2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182" w:hRule="atLeast"/>
        </w:trPr>
        <w:tc>
          <w:tcPr>
            <w:tcW w:w="15306" w:type="dxa"/>
            <w:tcBorders>
              <w:top w:val="single" w:color="FFFFFF" w:sz="8" w:space="0"/>
              <w:left w:val="single" w:color="FFFFFF" w:sz="8" w:space="0"/>
              <w:bottom w:val="single" w:color="FFFFFF" w:sz="8" w:space="0"/>
              <w:right w:val="single" w:color="FFFFFF" w:sz="8" w:space="0"/>
              <w:tl2br w:val="nil"/>
              <w:tr2bl w:val="nil"/>
            </w:tcBorders>
            <w:shd w:val="clear" w:color="auto" w:fill="FFFFFF"/>
            <w:noWrap w:val="0"/>
            <w:vAlign w:val="center"/>
          </w:tcPr>
          <w:p w14:paraId="466989D4">
            <w:pPr>
              <w:spacing w:beforeLines="0" w:afterLines="0"/>
              <w:rPr>
                <w:rFonts w:hint="default"/>
                <w:sz w:val="24"/>
                <w:szCs w:val="24"/>
              </w:rPr>
            </w:pPr>
          </w:p>
        </w:tc>
      </w:tr>
      <w:tr w14:paraId="68287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28635E81">
            <w:pPr>
              <w:spacing w:beforeLines="0" w:afterLines="0" w:line="375" w:lineRule="exact"/>
              <w:ind w:left="20"/>
              <w:rPr>
                <w:rFonts w:hint="eastAsia" w:ascii="Dialog" w:hAnsi="Dialog"/>
                <w:sz w:val="32"/>
                <w:szCs w:val="24"/>
              </w:rPr>
            </w:pPr>
            <w:r>
              <w:rPr>
                <w:rFonts w:hint="eastAsia" w:ascii="Dialog" w:hAnsi="Dialog"/>
                <w:sz w:val="32"/>
                <w:szCs w:val="24"/>
              </w:rPr>
              <w:t>第一部分  2025年单位预算说明</w:t>
            </w:r>
          </w:p>
        </w:tc>
      </w:tr>
      <w:tr w14:paraId="0C4A6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6CA8F2B1">
            <w:pPr>
              <w:spacing w:beforeLines="0" w:afterLines="0" w:line="375" w:lineRule="exact"/>
              <w:ind w:left="20"/>
              <w:rPr>
                <w:rFonts w:hint="eastAsia" w:ascii="Dialog" w:hAnsi="Dialog"/>
                <w:sz w:val="32"/>
                <w:szCs w:val="24"/>
              </w:rPr>
            </w:pPr>
            <w:r>
              <w:rPr>
                <w:rFonts w:hint="eastAsia" w:ascii="Dialog" w:hAnsi="Dialog"/>
                <w:sz w:val="32"/>
                <w:szCs w:val="24"/>
              </w:rPr>
              <w:t>第二部分  2025年单位预算公开表格</w:t>
            </w:r>
          </w:p>
        </w:tc>
      </w:tr>
      <w:tr w14:paraId="6022B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35C4365F">
            <w:pPr>
              <w:spacing w:beforeLines="0" w:afterLines="0" w:line="375" w:lineRule="exact"/>
              <w:ind w:left="20"/>
              <w:rPr>
                <w:rFonts w:hint="eastAsia" w:ascii="Dialog" w:hAnsi="Dialog"/>
                <w:sz w:val="32"/>
                <w:szCs w:val="24"/>
              </w:rPr>
            </w:pPr>
            <w:r>
              <w:rPr>
                <w:rFonts w:hint="eastAsia" w:ascii="Dialog" w:hAnsi="Dialog"/>
                <w:sz w:val="32"/>
                <w:szCs w:val="24"/>
              </w:rPr>
              <w:t>1、收支总表</w:t>
            </w:r>
          </w:p>
        </w:tc>
      </w:tr>
      <w:tr w14:paraId="4D5CF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1FD2EF18">
            <w:pPr>
              <w:spacing w:beforeLines="0" w:afterLines="0" w:line="375" w:lineRule="exact"/>
              <w:ind w:left="20"/>
              <w:rPr>
                <w:rFonts w:hint="eastAsia" w:ascii="Dialog" w:hAnsi="Dialog"/>
                <w:sz w:val="32"/>
                <w:szCs w:val="24"/>
              </w:rPr>
            </w:pPr>
            <w:r>
              <w:rPr>
                <w:rFonts w:hint="eastAsia" w:ascii="Dialog" w:hAnsi="Dialog"/>
                <w:sz w:val="32"/>
                <w:szCs w:val="24"/>
              </w:rPr>
              <w:t>2、收入总表</w:t>
            </w:r>
          </w:p>
        </w:tc>
      </w:tr>
      <w:tr w14:paraId="22BE2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77053CA7">
            <w:pPr>
              <w:spacing w:beforeLines="0" w:afterLines="0" w:line="375" w:lineRule="exact"/>
              <w:ind w:left="20"/>
              <w:rPr>
                <w:rFonts w:hint="eastAsia" w:ascii="Dialog" w:hAnsi="Dialog"/>
                <w:sz w:val="32"/>
                <w:szCs w:val="24"/>
              </w:rPr>
            </w:pPr>
            <w:r>
              <w:rPr>
                <w:rFonts w:hint="eastAsia" w:ascii="Dialog" w:hAnsi="Dialog"/>
                <w:sz w:val="32"/>
                <w:szCs w:val="24"/>
              </w:rPr>
              <w:t>3、支出总表</w:t>
            </w:r>
          </w:p>
        </w:tc>
      </w:tr>
      <w:tr w14:paraId="3044A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4955E5B2">
            <w:pPr>
              <w:spacing w:beforeLines="0" w:afterLines="0" w:line="375" w:lineRule="exact"/>
              <w:ind w:left="20"/>
              <w:rPr>
                <w:rFonts w:hint="eastAsia" w:ascii="Dialog" w:hAnsi="Dialog"/>
                <w:sz w:val="32"/>
                <w:szCs w:val="24"/>
              </w:rPr>
            </w:pPr>
            <w:r>
              <w:rPr>
                <w:rFonts w:hint="eastAsia" w:ascii="Dialog" w:hAnsi="Dialog"/>
                <w:sz w:val="32"/>
                <w:szCs w:val="24"/>
              </w:rPr>
              <w:t>4、支出预算分类汇总表（按政府预算经济分类）</w:t>
            </w:r>
          </w:p>
        </w:tc>
      </w:tr>
      <w:tr w14:paraId="4C254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3B30D0B4">
            <w:pPr>
              <w:spacing w:beforeLines="0" w:afterLines="0" w:line="375" w:lineRule="exact"/>
              <w:ind w:left="20"/>
              <w:rPr>
                <w:rFonts w:hint="eastAsia" w:ascii="Dialog" w:hAnsi="Dialog"/>
                <w:sz w:val="32"/>
                <w:szCs w:val="24"/>
              </w:rPr>
            </w:pPr>
            <w:r>
              <w:rPr>
                <w:rFonts w:hint="eastAsia" w:ascii="Dialog" w:hAnsi="Dialog"/>
                <w:sz w:val="32"/>
                <w:szCs w:val="24"/>
              </w:rPr>
              <w:t>5、支出预算分类汇总表（按部门预算经济分类）</w:t>
            </w:r>
          </w:p>
        </w:tc>
      </w:tr>
      <w:tr w14:paraId="1A9E6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1CA7F638">
            <w:pPr>
              <w:spacing w:beforeLines="0" w:afterLines="0" w:line="375" w:lineRule="exact"/>
              <w:ind w:left="20"/>
              <w:rPr>
                <w:rFonts w:hint="eastAsia" w:ascii="Dialog" w:hAnsi="Dialog"/>
                <w:sz w:val="32"/>
                <w:szCs w:val="24"/>
              </w:rPr>
            </w:pPr>
            <w:r>
              <w:rPr>
                <w:rFonts w:hint="eastAsia" w:ascii="Dialog" w:hAnsi="Dialog"/>
                <w:sz w:val="32"/>
                <w:szCs w:val="24"/>
              </w:rPr>
              <w:t>6、财政拨款收支总表</w:t>
            </w:r>
          </w:p>
        </w:tc>
      </w:tr>
      <w:tr w14:paraId="4D008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0CCA0DE8">
            <w:pPr>
              <w:spacing w:beforeLines="0" w:afterLines="0" w:line="375" w:lineRule="exact"/>
              <w:ind w:left="20"/>
              <w:rPr>
                <w:rFonts w:hint="eastAsia" w:ascii="Dialog" w:hAnsi="Dialog"/>
                <w:sz w:val="32"/>
                <w:szCs w:val="24"/>
              </w:rPr>
            </w:pPr>
            <w:r>
              <w:rPr>
                <w:rFonts w:hint="eastAsia" w:ascii="Dialog" w:hAnsi="Dialog"/>
                <w:sz w:val="32"/>
                <w:szCs w:val="24"/>
              </w:rPr>
              <w:t>7、一般公共预算支出表</w:t>
            </w:r>
          </w:p>
        </w:tc>
      </w:tr>
      <w:tr w14:paraId="7E166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31E0DCB3">
            <w:pPr>
              <w:spacing w:beforeLines="0" w:afterLines="0" w:line="375" w:lineRule="exact"/>
              <w:ind w:left="20"/>
              <w:rPr>
                <w:rFonts w:hint="eastAsia" w:ascii="Dialog" w:hAnsi="Dialog"/>
                <w:sz w:val="32"/>
                <w:szCs w:val="24"/>
              </w:rPr>
            </w:pPr>
            <w:r>
              <w:rPr>
                <w:rFonts w:hint="eastAsia" w:ascii="Dialog" w:hAnsi="Dialog"/>
                <w:sz w:val="32"/>
                <w:szCs w:val="24"/>
              </w:rPr>
              <w:t>8、一般公共预算基本支出表-人员经费（工资福利支出）（按政府预算经济分类）</w:t>
            </w:r>
          </w:p>
        </w:tc>
      </w:tr>
      <w:tr w14:paraId="4ED43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6329F38C">
            <w:pPr>
              <w:spacing w:beforeLines="0" w:afterLines="0" w:line="375" w:lineRule="exact"/>
              <w:ind w:left="20"/>
              <w:rPr>
                <w:rFonts w:hint="eastAsia" w:ascii="Dialog" w:hAnsi="Dialog"/>
                <w:sz w:val="32"/>
                <w:szCs w:val="24"/>
              </w:rPr>
            </w:pPr>
            <w:r>
              <w:rPr>
                <w:rFonts w:hint="eastAsia" w:ascii="Dialog" w:hAnsi="Dialog"/>
                <w:sz w:val="32"/>
                <w:szCs w:val="24"/>
              </w:rPr>
              <w:t>9、一般公共预算基本支出表-人员经费（工资福利支出）（按部门预算经济分类）</w:t>
            </w:r>
          </w:p>
        </w:tc>
      </w:tr>
      <w:tr w14:paraId="36E68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142CBDFF">
            <w:pPr>
              <w:spacing w:beforeLines="0" w:afterLines="0" w:line="375" w:lineRule="exact"/>
              <w:ind w:left="20"/>
              <w:rPr>
                <w:rFonts w:hint="eastAsia" w:ascii="Dialog" w:hAnsi="Dialog"/>
                <w:sz w:val="32"/>
                <w:szCs w:val="24"/>
              </w:rPr>
            </w:pPr>
            <w:r>
              <w:rPr>
                <w:rFonts w:hint="eastAsia" w:ascii="Dialog" w:hAnsi="Dialog"/>
                <w:sz w:val="32"/>
                <w:szCs w:val="24"/>
              </w:rPr>
              <w:t>10、一般公共预算基本支出表-人员经费（对个人和家庭的补助）（按政府预算经济分类）</w:t>
            </w:r>
          </w:p>
        </w:tc>
      </w:tr>
      <w:tr w14:paraId="0F287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22B2E455">
            <w:pPr>
              <w:spacing w:beforeLines="0" w:afterLines="0" w:line="375" w:lineRule="exact"/>
              <w:ind w:left="20"/>
              <w:rPr>
                <w:rFonts w:hint="eastAsia" w:ascii="Dialog" w:hAnsi="Dialog"/>
                <w:sz w:val="32"/>
                <w:szCs w:val="24"/>
              </w:rPr>
            </w:pPr>
            <w:r>
              <w:rPr>
                <w:rFonts w:hint="eastAsia" w:ascii="Dialog" w:hAnsi="Dialog"/>
                <w:sz w:val="32"/>
                <w:szCs w:val="24"/>
              </w:rPr>
              <w:t>11、一般公共预算基本支出表-人员经费（对个人和家庭的补助）（按部门预算经济分类）</w:t>
            </w:r>
          </w:p>
        </w:tc>
      </w:tr>
      <w:tr w14:paraId="485E0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6EC14B04">
            <w:pPr>
              <w:spacing w:beforeLines="0" w:afterLines="0" w:line="375" w:lineRule="exact"/>
              <w:ind w:left="20"/>
              <w:rPr>
                <w:rFonts w:hint="eastAsia" w:ascii="Dialog" w:hAnsi="Dialog"/>
                <w:sz w:val="32"/>
                <w:szCs w:val="24"/>
              </w:rPr>
            </w:pPr>
            <w:r>
              <w:rPr>
                <w:rFonts w:hint="eastAsia" w:ascii="Dialog" w:hAnsi="Dialog"/>
                <w:sz w:val="32"/>
                <w:szCs w:val="24"/>
              </w:rPr>
              <w:t>12、一般公共预算基本支出表-公用经费（商品和服务支出）（按政府预算经济分类）</w:t>
            </w:r>
          </w:p>
        </w:tc>
      </w:tr>
      <w:tr w14:paraId="4B2C4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3BF4D918">
            <w:pPr>
              <w:spacing w:beforeLines="0" w:afterLines="0" w:line="375" w:lineRule="exact"/>
              <w:ind w:left="20"/>
              <w:rPr>
                <w:rFonts w:hint="eastAsia" w:ascii="Dialog" w:hAnsi="Dialog"/>
                <w:sz w:val="32"/>
                <w:szCs w:val="24"/>
              </w:rPr>
            </w:pPr>
            <w:r>
              <w:rPr>
                <w:rFonts w:hint="eastAsia" w:ascii="Dialog" w:hAnsi="Dialog"/>
                <w:sz w:val="32"/>
                <w:szCs w:val="24"/>
              </w:rPr>
              <w:t>13、一般公共预算基本支出表-公用经费（商品和服务支出）（按部门预算经济分类）</w:t>
            </w:r>
          </w:p>
        </w:tc>
      </w:tr>
      <w:tr w14:paraId="69E54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0B1AF1BB">
            <w:pPr>
              <w:spacing w:beforeLines="0" w:afterLines="0" w:line="375" w:lineRule="exact"/>
              <w:ind w:left="20"/>
              <w:rPr>
                <w:rFonts w:hint="eastAsia" w:ascii="Dialog" w:hAnsi="Dialog"/>
                <w:sz w:val="32"/>
                <w:szCs w:val="24"/>
              </w:rPr>
            </w:pPr>
            <w:r>
              <w:rPr>
                <w:rFonts w:hint="eastAsia" w:ascii="Dialog" w:hAnsi="Dialog"/>
                <w:sz w:val="32"/>
                <w:szCs w:val="24"/>
              </w:rPr>
              <w:t>14、一般公共预算“三公”经费支出表</w:t>
            </w:r>
          </w:p>
        </w:tc>
      </w:tr>
      <w:tr w14:paraId="32201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3A73DE05">
            <w:pPr>
              <w:spacing w:beforeLines="0" w:afterLines="0" w:line="375" w:lineRule="exact"/>
              <w:ind w:left="20"/>
              <w:rPr>
                <w:rFonts w:hint="eastAsia" w:ascii="Dialog" w:hAnsi="Dialog"/>
                <w:sz w:val="32"/>
                <w:szCs w:val="24"/>
              </w:rPr>
            </w:pPr>
            <w:r>
              <w:rPr>
                <w:rFonts w:hint="eastAsia" w:ascii="Dialog" w:hAnsi="Dialog"/>
                <w:sz w:val="32"/>
                <w:szCs w:val="24"/>
              </w:rPr>
              <w:t>15、政府性基金预算支出表</w:t>
            </w:r>
          </w:p>
        </w:tc>
      </w:tr>
      <w:tr w14:paraId="6EB29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6290F15B">
            <w:pPr>
              <w:spacing w:beforeLines="0" w:afterLines="0" w:line="375" w:lineRule="exact"/>
              <w:ind w:left="20"/>
              <w:rPr>
                <w:rFonts w:hint="eastAsia" w:ascii="Dialog" w:hAnsi="Dialog"/>
                <w:sz w:val="32"/>
                <w:szCs w:val="24"/>
              </w:rPr>
            </w:pPr>
            <w:r>
              <w:rPr>
                <w:rFonts w:hint="eastAsia" w:ascii="Dialog" w:hAnsi="Dialog"/>
                <w:sz w:val="32"/>
                <w:szCs w:val="24"/>
              </w:rPr>
              <w:t>16、政府性基金预算支出分类汇总表（按政府预算经济分类）</w:t>
            </w:r>
          </w:p>
        </w:tc>
      </w:tr>
      <w:tr w14:paraId="4AB60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06659E61">
            <w:pPr>
              <w:spacing w:beforeLines="0" w:afterLines="0" w:line="375" w:lineRule="exact"/>
              <w:ind w:left="20"/>
              <w:rPr>
                <w:rFonts w:hint="eastAsia" w:ascii="Dialog" w:hAnsi="Dialog"/>
                <w:sz w:val="32"/>
                <w:szCs w:val="24"/>
              </w:rPr>
            </w:pPr>
            <w:r>
              <w:rPr>
                <w:rFonts w:hint="eastAsia" w:ascii="Dialog" w:hAnsi="Dialog"/>
                <w:sz w:val="32"/>
                <w:szCs w:val="24"/>
              </w:rPr>
              <w:t>17、政府性基金预算支出分类汇总表（按部门预算经济分类）</w:t>
            </w:r>
          </w:p>
        </w:tc>
      </w:tr>
      <w:tr w14:paraId="319C5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5E0A5320">
            <w:pPr>
              <w:spacing w:beforeLines="0" w:afterLines="0" w:line="375" w:lineRule="exact"/>
              <w:ind w:left="20"/>
              <w:rPr>
                <w:rFonts w:hint="eastAsia" w:ascii="Dialog" w:hAnsi="Dialog"/>
                <w:sz w:val="32"/>
                <w:szCs w:val="24"/>
              </w:rPr>
            </w:pPr>
            <w:r>
              <w:rPr>
                <w:rFonts w:hint="eastAsia" w:ascii="Dialog" w:hAnsi="Dialog"/>
                <w:sz w:val="32"/>
                <w:szCs w:val="24"/>
              </w:rPr>
              <w:t>18、国有资本经营预算支出表</w:t>
            </w:r>
          </w:p>
        </w:tc>
      </w:tr>
      <w:tr w14:paraId="43CB2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2730A71C">
            <w:pPr>
              <w:spacing w:beforeLines="0" w:afterLines="0" w:line="375" w:lineRule="exact"/>
              <w:ind w:left="20"/>
              <w:rPr>
                <w:rFonts w:hint="eastAsia" w:ascii="Dialog" w:hAnsi="Dialog"/>
                <w:sz w:val="32"/>
                <w:szCs w:val="24"/>
              </w:rPr>
            </w:pPr>
            <w:r>
              <w:rPr>
                <w:rFonts w:hint="eastAsia" w:ascii="Dialog" w:hAnsi="Dialog"/>
                <w:sz w:val="32"/>
                <w:szCs w:val="24"/>
              </w:rPr>
              <w:t>19、财政专户管理资金预算支出表</w:t>
            </w:r>
          </w:p>
        </w:tc>
      </w:tr>
      <w:tr w14:paraId="09D60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0612AE9E">
            <w:pPr>
              <w:spacing w:beforeLines="0" w:afterLines="0" w:line="375" w:lineRule="exact"/>
              <w:ind w:left="20"/>
              <w:rPr>
                <w:rFonts w:hint="eastAsia" w:ascii="Dialog" w:hAnsi="Dialog"/>
                <w:sz w:val="32"/>
                <w:szCs w:val="24"/>
              </w:rPr>
            </w:pPr>
            <w:r>
              <w:rPr>
                <w:rFonts w:hint="eastAsia" w:ascii="Dialog" w:hAnsi="Dialog"/>
                <w:sz w:val="32"/>
                <w:szCs w:val="24"/>
              </w:rPr>
              <w:t>20、专项资金预算汇总表</w:t>
            </w:r>
          </w:p>
        </w:tc>
      </w:tr>
      <w:tr w14:paraId="615B9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15896D34">
            <w:pPr>
              <w:spacing w:beforeLines="0" w:afterLines="0" w:line="375" w:lineRule="exact"/>
              <w:ind w:left="20"/>
              <w:rPr>
                <w:rFonts w:hint="eastAsia" w:ascii="Dialog" w:hAnsi="Dialog"/>
                <w:sz w:val="32"/>
                <w:szCs w:val="24"/>
              </w:rPr>
            </w:pPr>
            <w:r>
              <w:rPr>
                <w:rFonts w:hint="eastAsia" w:ascii="Dialog" w:hAnsi="Dialog"/>
                <w:sz w:val="32"/>
                <w:szCs w:val="24"/>
              </w:rPr>
              <w:t>21、项目支出绩效目标表</w:t>
            </w:r>
          </w:p>
        </w:tc>
      </w:tr>
      <w:tr w14:paraId="51AE1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3A9FF94F">
            <w:pPr>
              <w:spacing w:beforeLines="0" w:afterLines="0" w:line="375" w:lineRule="exact"/>
              <w:ind w:left="20"/>
              <w:rPr>
                <w:rFonts w:hint="eastAsia" w:ascii="Dialog" w:hAnsi="Dialog"/>
                <w:sz w:val="32"/>
                <w:szCs w:val="24"/>
              </w:rPr>
            </w:pPr>
            <w:r>
              <w:rPr>
                <w:rFonts w:hint="eastAsia" w:ascii="Dialog" w:hAnsi="Dialog"/>
                <w:sz w:val="32"/>
                <w:szCs w:val="24"/>
              </w:rPr>
              <w:t>22、单位整体支出绩效目标表</w:t>
            </w:r>
          </w:p>
        </w:tc>
      </w:tr>
      <w:tr w14:paraId="0CC36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2F7301BE">
            <w:pPr>
              <w:spacing w:beforeLines="0" w:afterLines="0" w:line="375" w:lineRule="exact"/>
              <w:ind w:left="20"/>
              <w:rPr>
                <w:rFonts w:hint="eastAsia" w:ascii="Dialog" w:hAnsi="Dialog"/>
                <w:sz w:val="32"/>
                <w:szCs w:val="24"/>
              </w:rPr>
            </w:pPr>
            <w:r>
              <w:rPr>
                <w:rFonts w:hint="eastAsia" w:ascii="Dialog" w:hAnsi="Dialog"/>
                <w:sz w:val="32"/>
                <w:szCs w:val="24"/>
              </w:rPr>
              <w:t>23、一般公共预算基本支出表</w:t>
            </w:r>
          </w:p>
        </w:tc>
      </w:tr>
      <w:tr w14:paraId="235E5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05BBA4B1">
            <w:pPr>
              <w:spacing w:beforeLines="0" w:afterLines="0" w:line="375" w:lineRule="exact"/>
              <w:ind w:left="20"/>
              <w:rPr>
                <w:rFonts w:hint="eastAsia" w:ascii="Dialog" w:hAnsi="Dialog"/>
                <w:color w:val="FF0000"/>
                <w:sz w:val="32"/>
                <w:szCs w:val="24"/>
              </w:rPr>
            </w:pPr>
            <w:r>
              <w:rPr>
                <w:rFonts w:hint="eastAsia" w:ascii="Dialog" w:hAnsi="Dialog"/>
                <w:color w:val="FF0000"/>
                <w:sz w:val="32"/>
                <w:szCs w:val="24"/>
              </w:rPr>
              <w:t>注：以上单位预算公开报表中，空表表示本单位无相关收支情况。</w:t>
            </w:r>
          </w:p>
        </w:tc>
      </w:tr>
      <w:tr w14:paraId="05FE5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182" w:hRule="atLeast"/>
        </w:trPr>
        <w:tc>
          <w:tcPr>
            <w:tcW w:w="15306" w:type="dxa"/>
            <w:tcBorders>
              <w:top w:val="single" w:color="FFFFFF" w:sz="8" w:space="0"/>
              <w:left w:val="single" w:color="FFFFFF" w:sz="8" w:space="0"/>
              <w:bottom w:val="single" w:color="FFFFFF" w:sz="8" w:space="0"/>
              <w:right w:val="single" w:color="FFFFFF" w:sz="8" w:space="0"/>
              <w:tl2br w:val="nil"/>
              <w:tr2bl w:val="nil"/>
            </w:tcBorders>
            <w:shd w:val="clear" w:color="auto" w:fill="FFFFFF"/>
            <w:noWrap w:val="0"/>
            <w:vAlign w:val="center"/>
          </w:tcPr>
          <w:p w14:paraId="18F7FCAA">
            <w:pPr>
              <w:spacing w:beforeLines="0" w:afterLines="0"/>
              <w:rPr>
                <w:rFonts w:hint="default"/>
                <w:sz w:val="24"/>
                <w:szCs w:val="24"/>
              </w:rPr>
            </w:pPr>
          </w:p>
        </w:tc>
      </w:tr>
      <w:tr w14:paraId="67463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182" w:hRule="atLeast"/>
        </w:trPr>
        <w:tc>
          <w:tcPr>
            <w:tcW w:w="15306" w:type="dxa"/>
            <w:tcBorders>
              <w:top w:val="single" w:color="FFFFFF" w:sz="8" w:space="0"/>
              <w:left w:val="single" w:color="FFFFFF" w:sz="8" w:space="0"/>
              <w:bottom w:val="single" w:color="FFFFFF" w:sz="8" w:space="0"/>
              <w:right w:val="single" w:color="FFFFFF" w:sz="8" w:space="0"/>
              <w:tl2br w:val="nil"/>
              <w:tr2bl w:val="nil"/>
            </w:tcBorders>
            <w:shd w:val="clear" w:color="auto" w:fill="FFFFFF"/>
            <w:noWrap w:val="0"/>
            <w:vAlign w:val="center"/>
          </w:tcPr>
          <w:p w14:paraId="078B53EE">
            <w:pPr>
              <w:spacing w:beforeLines="0" w:afterLines="0"/>
              <w:rPr>
                <w:rFonts w:hint="default"/>
                <w:sz w:val="24"/>
                <w:szCs w:val="24"/>
              </w:rPr>
            </w:pPr>
          </w:p>
        </w:tc>
      </w:tr>
      <w:tr w14:paraId="2AC34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45104798">
            <w:pPr>
              <w:spacing w:beforeLines="0" w:afterLines="0" w:line="375" w:lineRule="exact"/>
              <w:ind w:left="20"/>
              <w:jc w:val="center"/>
              <w:rPr>
                <w:rFonts w:hint="eastAsia" w:ascii="Dialog" w:hAnsi="Dialog"/>
                <w:sz w:val="32"/>
                <w:szCs w:val="24"/>
              </w:rPr>
            </w:pPr>
            <w:r>
              <w:rPr>
                <w:rFonts w:hint="eastAsia" w:ascii="Dialog" w:hAnsi="Dialog"/>
                <w:sz w:val="32"/>
                <w:szCs w:val="24"/>
              </w:rPr>
              <w:t>第一部分  2025年单位预算说明</w:t>
            </w:r>
          </w:p>
        </w:tc>
      </w:tr>
      <w:tr w14:paraId="1A199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182" w:hRule="atLeast"/>
        </w:trPr>
        <w:tc>
          <w:tcPr>
            <w:tcW w:w="15306" w:type="dxa"/>
            <w:tcBorders>
              <w:top w:val="single" w:color="FFFFFF" w:sz="8" w:space="0"/>
              <w:left w:val="single" w:color="FFFFFF" w:sz="8" w:space="0"/>
              <w:bottom w:val="single" w:color="FFFFFF" w:sz="8" w:space="0"/>
              <w:right w:val="single" w:color="FFFFFF" w:sz="8" w:space="0"/>
              <w:tl2br w:val="nil"/>
              <w:tr2bl w:val="nil"/>
            </w:tcBorders>
            <w:shd w:val="clear" w:color="auto" w:fill="FFFFFF"/>
            <w:noWrap w:val="0"/>
            <w:vAlign w:val="center"/>
          </w:tcPr>
          <w:p w14:paraId="5F752671">
            <w:pPr>
              <w:spacing w:beforeLines="0" w:afterLines="0"/>
              <w:rPr>
                <w:rFonts w:hint="default"/>
                <w:sz w:val="24"/>
                <w:szCs w:val="24"/>
              </w:rPr>
            </w:pPr>
          </w:p>
        </w:tc>
      </w:tr>
      <w:tr w14:paraId="3B6F0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0F130DA3">
            <w:pPr>
              <w:spacing w:beforeLines="0" w:afterLines="0" w:line="375" w:lineRule="exact"/>
              <w:ind w:left="20"/>
              <w:rPr>
                <w:rFonts w:hint="eastAsia" w:ascii="Dialog" w:hAnsi="Dialog"/>
                <w:sz w:val="32"/>
                <w:szCs w:val="24"/>
              </w:rPr>
            </w:pPr>
            <w:r>
              <w:rPr>
                <w:rFonts w:hint="eastAsia" w:ascii="Dialog" w:hAnsi="Dialog"/>
                <w:sz w:val="32"/>
                <w:szCs w:val="24"/>
              </w:rPr>
              <w:t xml:space="preserve">  一、单位基本概况</w:t>
            </w:r>
          </w:p>
        </w:tc>
      </w:tr>
      <w:tr w14:paraId="30AF8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7FF3C627">
            <w:pPr>
              <w:spacing w:beforeLines="0" w:afterLines="0" w:line="375" w:lineRule="exact"/>
              <w:ind w:left="20"/>
              <w:rPr>
                <w:rFonts w:hint="eastAsia" w:ascii="宋体" w:hAnsi="宋体"/>
                <w:sz w:val="32"/>
                <w:szCs w:val="24"/>
              </w:rPr>
            </w:pPr>
            <w:r>
              <w:rPr>
                <w:rFonts w:hint="eastAsia" w:ascii="宋体" w:hAnsi="宋体"/>
                <w:sz w:val="32"/>
                <w:szCs w:val="24"/>
              </w:rPr>
              <w:t xml:space="preserve">  （一）职能职责</w:t>
            </w:r>
          </w:p>
        </w:tc>
      </w:tr>
      <w:tr w14:paraId="0AAAC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7BCDEDC4">
            <w:pPr>
              <w:spacing w:beforeLines="0" w:afterLines="0" w:line="375" w:lineRule="exact"/>
              <w:ind w:left="20"/>
              <w:rPr>
                <w:rFonts w:hint="eastAsia" w:ascii="宋体" w:hAnsi="宋体"/>
                <w:sz w:val="32"/>
                <w:szCs w:val="24"/>
              </w:rPr>
            </w:pPr>
            <w:r>
              <w:rPr>
                <w:rFonts w:hint="eastAsia" w:ascii="宋体" w:hAnsi="宋体"/>
                <w:sz w:val="32"/>
                <w:szCs w:val="24"/>
              </w:rPr>
              <w:t xml:space="preserve">  </w:t>
            </w:r>
            <w:r>
              <w:rPr>
                <w:rFonts w:hint="eastAsia" w:ascii="宋体" w:hAnsi="宋体"/>
                <w:sz w:val="32"/>
                <w:szCs w:val="24"/>
                <w:lang w:val="en-US" w:eastAsia="zh-CN"/>
              </w:rPr>
              <w:t xml:space="preserve">  </w:t>
            </w:r>
            <w:r>
              <w:rPr>
                <w:rFonts w:hint="eastAsia" w:ascii="宋体" w:hAnsi="宋体"/>
                <w:sz w:val="32"/>
                <w:szCs w:val="24"/>
              </w:rPr>
              <w:t>岳阳市城市照明管理中心承担城市道路照明及景观亮化设施设备的日常维护管理工作；承担城市道路照明及景观亮化工程的建设工作；承担社会产权单位（个人）景观亮化建设工程的技术服务工作。</w:t>
            </w:r>
          </w:p>
        </w:tc>
      </w:tr>
      <w:tr w14:paraId="27E02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6849DC36">
            <w:pPr>
              <w:spacing w:beforeLines="0" w:afterLines="0" w:line="375" w:lineRule="exact"/>
              <w:ind w:left="20"/>
              <w:rPr>
                <w:rFonts w:hint="eastAsia" w:ascii="宋体" w:hAnsi="宋体"/>
                <w:sz w:val="32"/>
                <w:szCs w:val="24"/>
              </w:rPr>
            </w:pPr>
            <w:r>
              <w:rPr>
                <w:rFonts w:hint="eastAsia" w:ascii="宋体" w:hAnsi="宋体"/>
                <w:sz w:val="32"/>
                <w:szCs w:val="24"/>
              </w:rPr>
              <w:t xml:space="preserve">  （二）机构设置</w:t>
            </w:r>
          </w:p>
        </w:tc>
      </w:tr>
      <w:tr w14:paraId="1CBA6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266ECBCF">
            <w:pPr>
              <w:spacing w:beforeLines="0" w:afterLines="0" w:line="375" w:lineRule="exact"/>
              <w:ind w:left="20"/>
              <w:rPr>
                <w:rFonts w:hint="eastAsia" w:ascii="宋体" w:hAnsi="宋体"/>
                <w:sz w:val="32"/>
                <w:szCs w:val="24"/>
              </w:rPr>
            </w:pPr>
            <w:r>
              <w:rPr>
                <w:rFonts w:hint="eastAsia" w:ascii="宋体" w:hAnsi="宋体"/>
                <w:sz w:val="32"/>
                <w:szCs w:val="24"/>
              </w:rPr>
              <w:t xml:space="preserve">  </w:t>
            </w:r>
            <w:r>
              <w:rPr>
                <w:rFonts w:hint="eastAsia" w:ascii="宋体" w:hAnsi="宋体"/>
                <w:sz w:val="32"/>
                <w:szCs w:val="24"/>
                <w:lang w:val="en-US" w:eastAsia="zh-CN"/>
              </w:rPr>
              <w:t xml:space="preserve">  </w:t>
            </w:r>
            <w:r>
              <w:rPr>
                <w:rFonts w:hint="eastAsia" w:ascii="宋体" w:hAnsi="宋体"/>
                <w:sz w:val="32"/>
                <w:szCs w:val="24"/>
              </w:rPr>
              <w:t>岳阳市城市照明管理中心设</w:t>
            </w:r>
            <w:r>
              <w:rPr>
                <w:rFonts w:hint="eastAsia" w:ascii="宋体" w:hAnsi="宋体"/>
                <w:sz w:val="32"/>
                <w:szCs w:val="24"/>
                <w:lang w:val="en-US" w:eastAsia="zh-CN"/>
              </w:rPr>
              <w:t>9</w:t>
            </w:r>
            <w:r>
              <w:rPr>
                <w:rFonts w:hint="eastAsia" w:ascii="宋体" w:hAnsi="宋体"/>
                <w:sz w:val="32"/>
                <w:szCs w:val="24"/>
              </w:rPr>
              <w:t>个内设</w:t>
            </w:r>
            <w:r>
              <w:rPr>
                <w:rFonts w:hint="eastAsia" w:ascii="宋体" w:hAnsi="宋体"/>
                <w:sz w:val="32"/>
                <w:szCs w:val="24"/>
                <w:lang w:val="en-US" w:eastAsia="zh-CN"/>
              </w:rPr>
              <w:t>部室</w:t>
            </w:r>
            <w:r>
              <w:rPr>
                <w:rFonts w:hint="eastAsia" w:ascii="宋体" w:hAnsi="宋体"/>
                <w:sz w:val="32"/>
                <w:szCs w:val="24"/>
              </w:rPr>
              <w:t>：综合部、财务部、技术服务部</w:t>
            </w:r>
            <w:r>
              <w:rPr>
                <w:rFonts w:hint="eastAsia" w:ascii="宋体" w:hAnsi="宋体"/>
                <w:sz w:val="32"/>
                <w:szCs w:val="24"/>
                <w:lang w:eastAsia="zh-CN"/>
              </w:rPr>
              <w:t>、运行</w:t>
            </w:r>
            <w:r>
              <w:rPr>
                <w:rFonts w:hint="eastAsia" w:ascii="宋体" w:hAnsi="宋体"/>
                <w:sz w:val="32"/>
                <w:szCs w:val="24"/>
              </w:rPr>
              <w:t>管理部、</w:t>
            </w:r>
            <w:r>
              <w:rPr>
                <w:rFonts w:hint="eastAsia" w:ascii="宋体" w:hAnsi="宋体"/>
                <w:sz w:val="32"/>
                <w:szCs w:val="24"/>
                <w:lang w:eastAsia="zh-CN"/>
              </w:rPr>
              <w:t>路灯维护一部、路灯维护二部、</w:t>
            </w:r>
            <w:r>
              <w:rPr>
                <w:rFonts w:hint="eastAsia" w:ascii="宋体" w:hAnsi="宋体"/>
                <w:sz w:val="32"/>
                <w:szCs w:val="24"/>
              </w:rPr>
              <w:t>亮化管理部、信息考评部。</w:t>
            </w:r>
            <w:r>
              <w:rPr>
                <w:rFonts w:hint="eastAsia" w:ascii="宋体" w:hAnsi="宋体"/>
                <w:sz w:val="32"/>
                <w:szCs w:val="24"/>
                <w:lang w:val="en-US" w:eastAsia="zh-CN"/>
              </w:rPr>
              <w:t>单位实有人数105人，其中：在职人员62人，退休人员43人。</w:t>
            </w:r>
          </w:p>
        </w:tc>
      </w:tr>
      <w:tr w14:paraId="1AB31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16C1D75A">
            <w:pPr>
              <w:spacing w:beforeLines="0" w:afterLines="0" w:line="375" w:lineRule="exact"/>
              <w:ind w:left="20"/>
              <w:rPr>
                <w:rFonts w:hint="eastAsia" w:ascii="Dialog" w:hAnsi="Dialog"/>
                <w:sz w:val="32"/>
                <w:szCs w:val="24"/>
              </w:rPr>
            </w:pPr>
            <w:r>
              <w:rPr>
                <w:rFonts w:hint="eastAsia" w:ascii="Dialog" w:hAnsi="Dialog"/>
                <w:sz w:val="32"/>
                <w:szCs w:val="24"/>
              </w:rPr>
              <w:t xml:space="preserve">  二、单位预算单位构成</w:t>
            </w:r>
          </w:p>
        </w:tc>
      </w:tr>
      <w:tr w14:paraId="2B6B1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6E22658A">
            <w:pPr>
              <w:spacing w:beforeLines="0" w:afterLines="0" w:line="375" w:lineRule="exact"/>
              <w:ind w:left="20"/>
              <w:rPr>
                <w:rFonts w:hint="eastAsia" w:ascii="宋体" w:hAnsi="宋体"/>
                <w:sz w:val="32"/>
                <w:szCs w:val="24"/>
              </w:rPr>
            </w:pPr>
            <w:r>
              <w:rPr>
                <w:rFonts w:hint="eastAsia" w:ascii="宋体" w:hAnsi="宋体"/>
                <w:sz w:val="32"/>
                <w:szCs w:val="24"/>
              </w:rPr>
              <w:t xml:space="preserve">  本单位预算仅含本级预算。</w:t>
            </w:r>
          </w:p>
        </w:tc>
      </w:tr>
      <w:tr w14:paraId="4B761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77C2EFF2">
            <w:pPr>
              <w:spacing w:beforeLines="0" w:afterLines="0" w:line="375" w:lineRule="exact"/>
              <w:ind w:left="20"/>
              <w:rPr>
                <w:rFonts w:hint="eastAsia" w:ascii="Dialog" w:hAnsi="Dialog"/>
                <w:sz w:val="32"/>
                <w:szCs w:val="24"/>
              </w:rPr>
            </w:pPr>
            <w:r>
              <w:rPr>
                <w:rFonts w:hint="eastAsia" w:ascii="Dialog" w:hAnsi="Dialog"/>
                <w:sz w:val="32"/>
                <w:szCs w:val="24"/>
              </w:rPr>
              <w:t xml:space="preserve">  三、单位收支总体情况</w:t>
            </w:r>
          </w:p>
        </w:tc>
      </w:tr>
      <w:tr w14:paraId="67BB0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728"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3A34CEC5">
            <w:pPr>
              <w:spacing w:beforeLines="0" w:afterLines="0" w:line="375" w:lineRule="exact"/>
              <w:ind w:left="20"/>
              <w:rPr>
                <w:rFonts w:hint="eastAsia" w:ascii="宋体" w:hAnsi="宋体"/>
                <w:sz w:val="32"/>
                <w:szCs w:val="24"/>
              </w:rPr>
            </w:pPr>
            <w:r>
              <w:rPr>
                <w:rFonts w:hint="eastAsia" w:ascii="宋体" w:hAnsi="宋体"/>
                <w:sz w:val="32"/>
                <w:szCs w:val="24"/>
              </w:rPr>
              <w:t xml:space="preserve">  本单位2025年没有政府性基金预算拨款、国有资本经营预算收入和纳入专户管理的非税收入拨款收入，也没有使用政府性基金预算拨款、国有资本经营预算收入和纳入专户管理的非税收入拨款安排的支出，所以公开的附件15、16、17、18、19表均为空。</w:t>
            </w:r>
          </w:p>
        </w:tc>
      </w:tr>
      <w:tr w14:paraId="68887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3F2E155C">
            <w:pPr>
              <w:spacing w:beforeLines="0" w:afterLines="0" w:line="375" w:lineRule="exact"/>
              <w:ind w:left="20"/>
              <w:rPr>
                <w:rFonts w:hint="eastAsia" w:ascii="Dialog" w:hAnsi="Dialog"/>
                <w:sz w:val="32"/>
                <w:szCs w:val="24"/>
              </w:rPr>
            </w:pPr>
            <w:r>
              <w:rPr>
                <w:rFonts w:hint="eastAsia" w:ascii="Dialog" w:hAnsi="Dialog"/>
                <w:sz w:val="32"/>
                <w:szCs w:val="24"/>
              </w:rPr>
              <w:t xml:space="preserve">  （一）收入预算</w:t>
            </w:r>
          </w:p>
        </w:tc>
      </w:tr>
      <w:tr w14:paraId="79E75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1469"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4A1788B0">
            <w:pPr>
              <w:spacing w:beforeLines="0" w:afterLines="0" w:line="375" w:lineRule="exact"/>
              <w:ind w:left="20"/>
              <w:rPr>
                <w:rFonts w:hint="eastAsia" w:ascii="宋体" w:hAnsi="宋体"/>
                <w:sz w:val="32"/>
                <w:szCs w:val="24"/>
              </w:rPr>
            </w:pPr>
            <w:r>
              <w:rPr>
                <w:rFonts w:hint="eastAsia" w:ascii="宋体" w:hAnsi="宋体"/>
                <w:sz w:val="32"/>
                <w:szCs w:val="24"/>
              </w:rPr>
              <w:t xml:space="preserve">  包括一般公共预算、政府性基金、国有资本经营预算等财政拨款收入，以及经营收入、事业收入等单位资金。2025年度本单位收入预算1312.80万元，其中，一般公共预算拨款1312.80万元，政府性基金预算资金0.00万元(所以公开的附件17为空)，国有资本经营预算资金0.00万元(所以公开的附件18为空)，财政专户管理资金0.00万元(所以公开的附件19为空)，上级补助收入资金0.00万元，事业单位经营收入资金0.00万元，上年结转结余0.00万元。(数据来源见表2)本单位2025年收入较去年减少</w:t>
            </w:r>
            <w:r>
              <w:rPr>
                <w:rFonts w:hint="eastAsia" w:ascii="宋体" w:hAnsi="Times New Roman" w:cs="宋体"/>
                <w:sz w:val="32"/>
                <w:szCs w:val="32"/>
                <w:lang w:val="en-US" w:eastAsia="zh-CN"/>
              </w:rPr>
              <w:t>3233.26</w:t>
            </w:r>
            <w:r>
              <w:rPr>
                <w:rFonts w:hint="eastAsia" w:ascii="宋体" w:hAnsi="宋体"/>
                <w:sz w:val="32"/>
                <w:szCs w:val="24"/>
              </w:rPr>
              <w:t>万元，下降</w:t>
            </w:r>
            <w:r>
              <w:rPr>
                <w:rFonts w:hint="eastAsia" w:ascii="宋体" w:hAnsi="宋体"/>
                <w:sz w:val="32"/>
                <w:szCs w:val="24"/>
                <w:lang w:val="en-US" w:eastAsia="zh-CN"/>
              </w:rPr>
              <w:t>71.12</w:t>
            </w:r>
            <w:r>
              <w:rPr>
                <w:rFonts w:hint="eastAsia" w:ascii="宋体" w:hAnsi="宋体"/>
                <w:sz w:val="32"/>
                <w:szCs w:val="24"/>
              </w:rPr>
              <w:t>%，主要是因为</w:t>
            </w:r>
            <w:r>
              <w:rPr>
                <w:rFonts w:hint="eastAsia" w:ascii="宋体" w:hAnsi="Times New Roman" w:cs="宋体"/>
                <w:sz w:val="32"/>
                <w:szCs w:val="32"/>
                <w:lang w:eastAsia="zh-CN"/>
              </w:rPr>
              <w:t>财政资金紧张，项目经费压减。</w:t>
            </w:r>
          </w:p>
        </w:tc>
      </w:tr>
      <w:tr w14:paraId="7CEC4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5622528A">
            <w:pPr>
              <w:spacing w:beforeLines="0" w:afterLines="0" w:line="375" w:lineRule="exact"/>
              <w:ind w:left="20"/>
              <w:rPr>
                <w:rFonts w:hint="eastAsia" w:ascii="Dialog" w:hAnsi="Dialog"/>
                <w:sz w:val="32"/>
                <w:szCs w:val="24"/>
              </w:rPr>
            </w:pPr>
            <w:r>
              <w:rPr>
                <w:rFonts w:hint="eastAsia" w:ascii="Dialog" w:hAnsi="Dialog"/>
                <w:sz w:val="32"/>
                <w:szCs w:val="24"/>
              </w:rPr>
              <w:t xml:space="preserve">  （二）支出预算</w:t>
            </w:r>
          </w:p>
        </w:tc>
      </w:tr>
      <w:tr w14:paraId="24069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481"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446CC6EA">
            <w:pPr>
              <w:spacing w:beforeLines="0" w:afterLines="0" w:line="375" w:lineRule="exact"/>
              <w:ind w:left="20"/>
              <w:rPr>
                <w:rFonts w:hint="eastAsia" w:ascii="宋体" w:hAnsi="宋体"/>
                <w:sz w:val="32"/>
                <w:szCs w:val="24"/>
              </w:rPr>
            </w:pPr>
            <w:r>
              <w:rPr>
                <w:rFonts w:hint="eastAsia" w:ascii="宋体" w:hAnsi="宋体"/>
                <w:sz w:val="32"/>
                <w:szCs w:val="24"/>
              </w:rPr>
              <w:t xml:space="preserve">  2025年本单位支出预算1312.80万元，其中，208社会保障和就业支出103.47万元，212城乡社区支出1140.68万元，221住房保障支出68.64万元，支出较去年减少</w:t>
            </w:r>
            <w:r>
              <w:rPr>
                <w:rFonts w:hint="eastAsia" w:ascii="宋体" w:hAnsi="宋体"/>
                <w:sz w:val="32"/>
                <w:szCs w:val="24"/>
                <w:lang w:val="en-US" w:eastAsia="zh-CN"/>
              </w:rPr>
              <w:t>3233.26</w:t>
            </w:r>
            <w:r>
              <w:rPr>
                <w:rFonts w:hint="eastAsia" w:ascii="宋体" w:hAnsi="宋体"/>
                <w:sz w:val="32"/>
                <w:szCs w:val="24"/>
              </w:rPr>
              <w:t>万元，下降</w:t>
            </w:r>
            <w:r>
              <w:rPr>
                <w:rFonts w:hint="eastAsia" w:ascii="宋体" w:hAnsi="宋体"/>
                <w:sz w:val="32"/>
                <w:szCs w:val="24"/>
                <w:lang w:val="en-US" w:eastAsia="zh-CN"/>
              </w:rPr>
              <w:t>71.12</w:t>
            </w:r>
            <w:r>
              <w:rPr>
                <w:rFonts w:hint="eastAsia" w:ascii="宋体" w:hAnsi="宋体"/>
                <w:sz w:val="32"/>
                <w:szCs w:val="24"/>
              </w:rPr>
              <w:t>%，主要是因为</w:t>
            </w:r>
            <w:r>
              <w:rPr>
                <w:rFonts w:hint="eastAsia" w:ascii="宋体" w:hAnsi="Times New Roman" w:cs="宋体"/>
                <w:sz w:val="32"/>
                <w:szCs w:val="32"/>
                <w:lang w:eastAsia="zh-CN"/>
              </w:rPr>
              <w:t>财政资金紧张，项目经费压减。</w:t>
            </w:r>
          </w:p>
        </w:tc>
      </w:tr>
      <w:tr w14:paraId="18467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55D25A57">
            <w:pPr>
              <w:spacing w:beforeLines="0" w:afterLines="0" w:line="375" w:lineRule="exact"/>
              <w:ind w:left="20"/>
              <w:rPr>
                <w:rFonts w:hint="eastAsia" w:ascii="Dialog" w:hAnsi="Dialog"/>
                <w:sz w:val="32"/>
                <w:szCs w:val="24"/>
              </w:rPr>
            </w:pPr>
            <w:r>
              <w:rPr>
                <w:rFonts w:hint="eastAsia" w:ascii="Dialog" w:hAnsi="Dialog"/>
                <w:sz w:val="32"/>
                <w:szCs w:val="24"/>
              </w:rPr>
              <w:t xml:space="preserve">  四、一般公共预算拨款支出预算</w:t>
            </w:r>
          </w:p>
        </w:tc>
      </w:tr>
      <w:tr w14:paraId="7D6AE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481"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142F1A39">
            <w:pPr>
              <w:spacing w:beforeLines="0" w:afterLines="0" w:line="375" w:lineRule="exact"/>
              <w:ind w:left="20"/>
              <w:rPr>
                <w:rFonts w:hint="eastAsia" w:ascii="宋体" w:hAnsi="宋体"/>
                <w:sz w:val="32"/>
                <w:szCs w:val="24"/>
              </w:rPr>
            </w:pPr>
            <w:r>
              <w:rPr>
                <w:rFonts w:hint="eastAsia" w:ascii="宋体" w:hAnsi="宋体"/>
                <w:sz w:val="32"/>
                <w:szCs w:val="24"/>
              </w:rPr>
              <w:t xml:space="preserve">  2025年一般公共预算拨款支出预算1312.80万元，其中，208社会保障和就业支出103.47万元，占7.88%；212城乡社区支出1140.68万元，占86.89%；221住房保障支出68.64万元，占5.23%；具体安排情况如下：</w:t>
            </w:r>
          </w:p>
        </w:tc>
      </w:tr>
      <w:tr w14:paraId="06A71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728"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66D8B44A">
            <w:pPr>
              <w:spacing w:beforeLines="0" w:afterLines="0" w:line="375" w:lineRule="exact"/>
              <w:ind w:left="20"/>
              <w:rPr>
                <w:rFonts w:hint="eastAsia" w:ascii="宋体" w:hAnsi="宋体"/>
                <w:sz w:val="32"/>
                <w:szCs w:val="24"/>
              </w:rPr>
            </w:pPr>
            <w:r>
              <w:rPr>
                <w:rFonts w:hint="eastAsia" w:ascii="宋体" w:hAnsi="宋体"/>
                <w:sz w:val="32"/>
                <w:szCs w:val="24"/>
              </w:rPr>
              <w:t xml:space="preserve">  （一）基本支出：2025年基本支出年初预算数为1122.80万元（数据来源见表23），是指为保障单位机构正常运转、完成日常工作任务而发生的各项支出，包括用于基本工资、津贴补贴等人员经费以及办公费、印刷费、水电费、差旅费等日常公用经费。</w:t>
            </w:r>
          </w:p>
        </w:tc>
      </w:tr>
      <w:tr w14:paraId="78DC1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975"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3797D14D">
            <w:pPr>
              <w:spacing w:beforeLines="0" w:afterLines="0" w:line="375" w:lineRule="exact"/>
              <w:ind w:left="20"/>
              <w:rPr>
                <w:rFonts w:hint="eastAsia" w:ascii="宋体" w:hAnsi="宋体"/>
                <w:sz w:val="32"/>
                <w:szCs w:val="24"/>
              </w:rPr>
            </w:pPr>
            <w:r>
              <w:rPr>
                <w:rFonts w:hint="eastAsia" w:ascii="宋体" w:hAnsi="宋体"/>
                <w:sz w:val="32"/>
                <w:szCs w:val="24"/>
              </w:rPr>
              <w:t xml:space="preserve">  （二）项目支出：2025年项目支出年初预算数为190.00万元（数据来源见表20），是指单位为完成特定行政工作任务或事业发展目标而发生的支出，包括有关业务工作经费、运行维护经费、其他事业发展资金等。其中：非税执收经费专项支出35.00万元，主要用于</w:t>
            </w:r>
            <w:r>
              <w:rPr>
                <w:rFonts w:hint="eastAsia" w:ascii="宋体" w:hAnsi="宋体"/>
                <w:sz w:val="32"/>
                <w:szCs w:val="24"/>
                <w:lang w:val="en-US" w:eastAsia="zh-CN"/>
              </w:rPr>
              <w:t>被损路灯维修恢复</w:t>
            </w:r>
            <w:r>
              <w:rPr>
                <w:rFonts w:hint="eastAsia" w:ascii="宋体" w:hAnsi="宋体"/>
                <w:sz w:val="32"/>
                <w:szCs w:val="24"/>
              </w:rPr>
              <w:t>,日常工作经费专项支出155.00万元，主要用于</w:t>
            </w:r>
            <w:r>
              <w:rPr>
                <w:rFonts w:hint="eastAsia" w:ascii="宋体" w:hAnsi="宋体"/>
                <w:sz w:val="32"/>
                <w:szCs w:val="24"/>
                <w:lang w:val="en-US" w:eastAsia="zh-CN"/>
              </w:rPr>
              <w:t>保障全城路灯及公用亮化设施正常运行</w:t>
            </w:r>
            <w:r>
              <w:rPr>
                <w:rFonts w:hint="eastAsia" w:ascii="宋体" w:hAnsi="宋体"/>
                <w:sz w:val="32"/>
                <w:szCs w:val="24"/>
              </w:rPr>
              <w:t>。</w:t>
            </w:r>
          </w:p>
        </w:tc>
      </w:tr>
      <w:tr w14:paraId="553F3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538BCF5A">
            <w:pPr>
              <w:spacing w:beforeLines="0" w:afterLines="0" w:line="375" w:lineRule="exact"/>
              <w:ind w:left="20"/>
              <w:rPr>
                <w:rFonts w:hint="eastAsia" w:ascii="Dialog" w:hAnsi="Dialog"/>
                <w:sz w:val="32"/>
                <w:szCs w:val="24"/>
              </w:rPr>
            </w:pPr>
            <w:r>
              <w:rPr>
                <w:rFonts w:hint="eastAsia" w:ascii="Dialog" w:hAnsi="Dialog"/>
                <w:sz w:val="32"/>
                <w:szCs w:val="24"/>
              </w:rPr>
              <w:t xml:space="preserve">  五、政府性基金预算支出</w:t>
            </w:r>
          </w:p>
        </w:tc>
      </w:tr>
      <w:tr w14:paraId="6A072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06F9FD66">
            <w:pPr>
              <w:spacing w:beforeLines="0" w:afterLines="0" w:line="375" w:lineRule="exact"/>
              <w:ind w:left="20"/>
              <w:rPr>
                <w:rFonts w:hint="eastAsia" w:ascii="宋体" w:hAnsi="宋体"/>
                <w:sz w:val="32"/>
                <w:szCs w:val="24"/>
              </w:rPr>
            </w:pPr>
            <w:r>
              <w:rPr>
                <w:rFonts w:hint="eastAsia" w:ascii="宋体" w:hAnsi="宋体"/>
                <w:sz w:val="32"/>
                <w:szCs w:val="24"/>
              </w:rPr>
              <w:t xml:space="preserve">  2025年度本单位无政府性基金安排的支出，所以公开的附件15-17（政府性基金预算）为空。</w:t>
            </w:r>
          </w:p>
        </w:tc>
      </w:tr>
      <w:tr w14:paraId="49B7C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4734E324">
            <w:pPr>
              <w:spacing w:beforeLines="0" w:afterLines="0" w:line="375" w:lineRule="exact"/>
              <w:ind w:left="20"/>
              <w:rPr>
                <w:rFonts w:hint="eastAsia" w:ascii="Dialog" w:hAnsi="Dialog"/>
                <w:sz w:val="32"/>
                <w:szCs w:val="24"/>
              </w:rPr>
            </w:pPr>
            <w:r>
              <w:rPr>
                <w:rFonts w:hint="eastAsia" w:ascii="Dialog" w:hAnsi="Dialog"/>
                <w:sz w:val="32"/>
                <w:szCs w:val="24"/>
              </w:rPr>
              <w:t xml:space="preserve">  六、其他重要事项的情况说明</w:t>
            </w:r>
          </w:p>
        </w:tc>
      </w:tr>
      <w:tr w14:paraId="07F70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2CAE616E">
            <w:pPr>
              <w:spacing w:beforeLines="0" w:afterLines="0" w:line="375" w:lineRule="exact"/>
              <w:ind w:left="20"/>
              <w:rPr>
                <w:rFonts w:hint="eastAsia" w:ascii="Dialog" w:hAnsi="Dialog"/>
                <w:sz w:val="32"/>
                <w:szCs w:val="24"/>
              </w:rPr>
            </w:pPr>
            <w:r>
              <w:rPr>
                <w:rFonts w:hint="eastAsia" w:ascii="Dialog" w:hAnsi="Dialog"/>
                <w:sz w:val="32"/>
                <w:szCs w:val="24"/>
              </w:rPr>
              <w:t xml:space="preserve">  （一）机关运行经费</w:t>
            </w:r>
          </w:p>
        </w:tc>
      </w:tr>
      <w:tr w14:paraId="71EB4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7146FE73">
            <w:pPr>
              <w:spacing w:beforeLines="0" w:afterLines="0" w:line="375" w:lineRule="exact"/>
              <w:ind w:left="20"/>
              <w:rPr>
                <w:rFonts w:hint="eastAsia" w:ascii="宋体" w:hAnsi="宋体"/>
                <w:sz w:val="32"/>
                <w:szCs w:val="24"/>
              </w:rPr>
            </w:pPr>
            <w:r>
              <w:rPr>
                <w:rFonts w:hint="eastAsia" w:ascii="宋体" w:hAnsi="宋体"/>
                <w:sz w:val="32"/>
                <w:szCs w:val="24"/>
              </w:rPr>
              <w:t xml:space="preserve">  本单位2025无机关运行经费安排的支出，所以公开的附件表12为空。</w:t>
            </w:r>
          </w:p>
        </w:tc>
      </w:tr>
      <w:tr w14:paraId="5D7D7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561DF5FF">
            <w:pPr>
              <w:spacing w:beforeLines="0" w:afterLines="0" w:line="375" w:lineRule="exact"/>
              <w:ind w:left="20"/>
              <w:rPr>
                <w:rFonts w:hint="eastAsia" w:ascii="Dialog" w:hAnsi="Dialog"/>
                <w:sz w:val="32"/>
                <w:szCs w:val="24"/>
              </w:rPr>
            </w:pPr>
            <w:r>
              <w:rPr>
                <w:rFonts w:hint="eastAsia" w:ascii="Dialog" w:hAnsi="Dialog"/>
                <w:sz w:val="32"/>
                <w:szCs w:val="24"/>
              </w:rPr>
              <w:t xml:space="preserve">  （二）“三公”经费预算</w:t>
            </w:r>
          </w:p>
        </w:tc>
      </w:tr>
      <w:tr w14:paraId="1CF72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728"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539511CB">
            <w:pPr>
              <w:spacing w:beforeLines="0" w:afterLines="0" w:line="375" w:lineRule="exact"/>
              <w:ind w:left="20"/>
              <w:rPr>
                <w:rFonts w:hint="eastAsia" w:ascii="宋体" w:hAnsi="宋体"/>
                <w:sz w:val="32"/>
                <w:szCs w:val="24"/>
              </w:rPr>
            </w:pPr>
            <w:r>
              <w:rPr>
                <w:rFonts w:hint="eastAsia" w:ascii="宋体" w:hAnsi="宋体"/>
                <w:sz w:val="32"/>
                <w:szCs w:val="24"/>
              </w:rPr>
              <w:t xml:space="preserve">  本单位2025年“三公”经费预算数</w:t>
            </w:r>
            <w:r>
              <w:rPr>
                <w:rFonts w:hint="eastAsia" w:ascii="宋体" w:hAnsi="宋体"/>
                <w:sz w:val="32"/>
                <w:szCs w:val="24"/>
                <w:lang w:val="en-US" w:eastAsia="zh-CN"/>
              </w:rPr>
              <w:t>46</w:t>
            </w:r>
            <w:r>
              <w:rPr>
                <w:rFonts w:hint="eastAsia" w:ascii="宋体" w:hAnsi="宋体"/>
                <w:sz w:val="32"/>
                <w:szCs w:val="24"/>
              </w:rPr>
              <w:t>.00万元（数据来源见表14），其中，公务接待费1.00万元，因公出国（境）费0.00万元，公务用车购置及运行费</w:t>
            </w:r>
            <w:r>
              <w:rPr>
                <w:rFonts w:hint="eastAsia" w:ascii="宋体" w:hAnsi="宋体"/>
                <w:sz w:val="32"/>
                <w:szCs w:val="24"/>
                <w:lang w:val="en-US" w:eastAsia="zh-CN"/>
              </w:rPr>
              <w:t>45</w:t>
            </w:r>
            <w:r>
              <w:rPr>
                <w:rFonts w:hint="eastAsia" w:ascii="宋体" w:hAnsi="宋体"/>
                <w:sz w:val="32"/>
                <w:szCs w:val="24"/>
              </w:rPr>
              <w:t>.00万元（其中，公务用车购置费0.00万元，公务用车运行费</w:t>
            </w:r>
            <w:r>
              <w:rPr>
                <w:rFonts w:hint="eastAsia" w:ascii="宋体" w:hAnsi="宋体"/>
                <w:sz w:val="32"/>
                <w:szCs w:val="24"/>
                <w:lang w:val="en-US" w:eastAsia="zh-CN"/>
              </w:rPr>
              <w:t>45</w:t>
            </w:r>
            <w:r>
              <w:rPr>
                <w:rFonts w:hint="eastAsia" w:ascii="宋体" w:hAnsi="宋体"/>
                <w:sz w:val="32"/>
                <w:szCs w:val="24"/>
              </w:rPr>
              <w:t>.00万元）。2025年三公经费预算较上年</w:t>
            </w:r>
            <w:r>
              <w:rPr>
                <w:rFonts w:hint="eastAsia" w:ascii="宋体" w:hAnsi="宋体"/>
                <w:sz w:val="32"/>
                <w:szCs w:val="24"/>
                <w:lang w:eastAsia="zh-CN"/>
              </w:rPr>
              <w:t>增加</w:t>
            </w:r>
            <w:r>
              <w:rPr>
                <w:rFonts w:hint="eastAsia" w:ascii="宋体" w:hAnsi="宋体"/>
                <w:sz w:val="32"/>
                <w:szCs w:val="24"/>
                <w:lang w:val="en-US" w:eastAsia="zh-CN"/>
              </w:rPr>
              <w:t>15.00万元</w:t>
            </w:r>
            <w:r>
              <w:rPr>
                <w:rFonts w:hint="eastAsia" w:ascii="宋体" w:hAnsi="宋体"/>
                <w:sz w:val="32"/>
                <w:szCs w:val="24"/>
              </w:rPr>
              <w:t>，</w:t>
            </w:r>
            <w:r>
              <w:rPr>
                <w:rFonts w:hint="eastAsia" w:ascii="宋体" w:hAnsi="宋体"/>
                <w:sz w:val="32"/>
                <w:szCs w:val="24"/>
                <w:lang w:eastAsia="zh-CN"/>
              </w:rPr>
              <w:t>上升</w:t>
            </w:r>
            <w:r>
              <w:rPr>
                <w:rFonts w:hint="eastAsia" w:ascii="宋体" w:hAnsi="宋体"/>
                <w:sz w:val="32"/>
                <w:szCs w:val="24"/>
                <w:lang w:val="en-US" w:eastAsia="zh-CN"/>
              </w:rPr>
              <w:t>48.39%，</w:t>
            </w:r>
            <w:r>
              <w:rPr>
                <w:rFonts w:hint="eastAsia" w:ascii="宋体" w:hAnsi="宋体"/>
                <w:sz w:val="32"/>
                <w:szCs w:val="24"/>
              </w:rPr>
              <w:t>主要原因是</w:t>
            </w:r>
            <w:r>
              <w:rPr>
                <w:rFonts w:hint="eastAsia" w:ascii="宋体" w:hAnsi="Times New Roman" w:cs="宋体"/>
                <w:sz w:val="32"/>
                <w:szCs w:val="32"/>
                <w:lang w:eastAsia="zh-CN"/>
              </w:rPr>
              <w:t>因经开区转隶增加了公务用车数量。</w:t>
            </w:r>
          </w:p>
        </w:tc>
      </w:tr>
      <w:tr w14:paraId="56E0B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6450C972">
            <w:pPr>
              <w:spacing w:beforeLines="0" w:afterLines="0" w:line="375" w:lineRule="exact"/>
              <w:ind w:left="20"/>
              <w:rPr>
                <w:rFonts w:hint="eastAsia" w:ascii="Dialog" w:hAnsi="Dialog"/>
                <w:sz w:val="32"/>
                <w:szCs w:val="24"/>
              </w:rPr>
            </w:pPr>
            <w:r>
              <w:rPr>
                <w:rFonts w:hint="eastAsia" w:ascii="Dialog" w:hAnsi="Dialog"/>
                <w:sz w:val="32"/>
                <w:szCs w:val="24"/>
              </w:rPr>
              <w:t xml:space="preserve">  （三）一般性支出情况</w:t>
            </w:r>
          </w:p>
        </w:tc>
      </w:tr>
      <w:tr w14:paraId="2D301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975"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408FDE88">
            <w:pPr>
              <w:spacing w:beforeLines="0" w:afterLines="0" w:line="375" w:lineRule="exact"/>
              <w:ind w:left="20"/>
              <w:rPr>
                <w:rFonts w:hint="eastAsia" w:ascii="宋体" w:hAnsi="宋体"/>
                <w:sz w:val="32"/>
                <w:szCs w:val="24"/>
              </w:rPr>
            </w:pPr>
            <w:r>
              <w:rPr>
                <w:rFonts w:hint="eastAsia" w:ascii="宋体" w:hAnsi="宋体"/>
                <w:sz w:val="32"/>
                <w:szCs w:val="24"/>
              </w:rPr>
              <w:t xml:space="preserve">  2025年度本单位未计划安排会议、培训，未计划举办节庆、晚会、论坛、赛事活动。</w:t>
            </w:r>
          </w:p>
        </w:tc>
      </w:tr>
      <w:tr w14:paraId="7A5E1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26391FAB">
            <w:pPr>
              <w:spacing w:beforeLines="0" w:afterLines="0" w:line="375" w:lineRule="exact"/>
              <w:ind w:left="20"/>
              <w:rPr>
                <w:rFonts w:hint="eastAsia" w:ascii="宋体" w:hAnsi="宋体" w:cs="Times New Roman"/>
                <w:sz w:val="32"/>
                <w:szCs w:val="24"/>
              </w:rPr>
            </w:pPr>
            <w:r>
              <w:rPr>
                <w:rFonts w:hint="eastAsia" w:ascii="宋体" w:hAnsi="宋体" w:cs="Times New Roman"/>
                <w:sz w:val="32"/>
                <w:szCs w:val="24"/>
              </w:rPr>
              <w:t xml:space="preserve">  （四）委托业务费情况</w:t>
            </w:r>
          </w:p>
        </w:tc>
      </w:tr>
      <w:tr w14:paraId="0097E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728"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1CBDE225">
            <w:pPr>
              <w:spacing w:beforeLines="0" w:afterLines="0" w:line="375" w:lineRule="exact"/>
              <w:ind w:left="20"/>
              <w:rPr>
                <w:rFonts w:hint="eastAsia" w:ascii="宋体" w:hAnsi="宋体" w:cs="Times New Roman"/>
                <w:sz w:val="32"/>
                <w:szCs w:val="24"/>
                <w:lang w:eastAsia="zh-CN"/>
              </w:rPr>
            </w:pPr>
            <w:r>
              <w:rPr>
                <w:rFonts w:hint="eastAsia" w:ascii="宋体" w:hAnsi="宋体" w:cs="Times New Roman"/>
                <w:sz w:val="32"/>
                <w:szCs w:val="24"/>
              </w:rPr>
              <w:t xml:space="preserve">  </w:t>
            </w:r>
            <w:r>
              <w:rPr>
                <w:rFonts w:hint="eastAsia" w:ascii="宋体" w:hAnsi="宋体" w:cs="Times New Roman"/>
                <w:sz w:val="32"/>
                <w:szCs w:val="24"/>
                <w:lang w:val="en-US" w:eastAsia="zh-CN"/>
              </w:rPr>
              <w:t xml:space="preserve">  </w:t>
            </w:r>
            <w:r>
              <w:rPr>
                <w:rFonts w:hint="eastAsia" w:ascii="宋体" w:hAnsi="宋体" w:cs="Times New Roman"/>
                <w:sz w:val="32"/>
                <w:szCs w:val="24"/>
              </w:rPr>
              <w:t>本单位2025年本级委托业务费0万元，比上年预算增加0万元，无法计算比值，主要原因是近几年度无该费用发生</w:t>
            </w:r>
            <w:r>
              <w:rPr>
                <w:rFonts w:hint="eastAsia" w:ascii="宋体" w:hAnsi="宋体" w:cs="Times New Roman"/>
                <w:sz w:val="32"/>
                <w:szCs w:val="24"/>
                <w:lang w:eastAsia="zh-CN"/>
              </w:rPr>
              <w:t>。</w:t>
            </w:r>
          </w:p>
        </w:tc>
      </w:tr>
      <w:tr w14:paraId="2C4BC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4B2A8727">
            <w:pPr>
              <w:spacing w:beforeLines="0" w:afterLines="0" w:line="375" w:lineRule="exact"/>
              <w:ind w:left="20"/>
              <w:rPr>
                <w:rFonts w:hint="eastAsia" w:ascii="Dialog" w:hAnsi="Dialog"/>
                <w:sz w:val="32"/>
                <w:szCs w:val="24"/>
              </w:rPr>
            </w:pPr>
            <w:r>
              <w:rPr>
                <w:rFonts w:hint="eastAsia" w:ascii="Dialog" w:hAnsi="Dialog"/>
                <w:sz w:val="32"/>
                <w:szCs w:val="24"/>
              </w:rPr>
              <w:t xml:space="preserve">  （五）政府采购情况</w:t>
            </w:r>
          </w:p>
        </w:tc>
      </w:tr>
      <w:tr w14:paraId="26844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728"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4A7F417B">
            <w:pPr>
              <w:spacing w:beforeLines="0" w:afterLines="0" w:line="375" w:lineRule="exact"/>
              <w:ind w:left="20"/>
              <w:rPr>
                <w:rFonts w:hint="eastAsia" w:ascii="宋体" w:hAnsi="宋体"/>
                <w:sz w:val="32"/>
                <w:szCs w:val="24"/>
              </w:rPr>
            </w:pPr>
            <w:r>
              <w:rPr>
                <w:rFonts w:hint="eastAsia" w:ascii="宋体" w:hAnsi="宋体"/>
                <w:sz w:val="32"/>
                <w:szCs w:val="24"/>
              </w:rPr>
              <w:t xml:space="preserve">  本单位2025年政府采购预算总额</w:t>
            </w:r>
            <w:r>
              <w:rPr>
                <w:rFonts w:hint="eastAsia" w:ascii="宋体" w:hAnsi="宋体"/>
                <w:sz w:val="32"/>
                <w:szCs w:val="24"/>
                <w:lang w:val="en-US" w:eastAsia="zh-CN"/>
              </w:rPr>
              <w:t>0</w:t>
            </w:r>
            <w:r>
              <w:rPr>
                <w:rFonts w:hint="eastAsia" w:ascii="宋体" w:hAnsi="宋体"/>
                <w:sz w:val="32"/>
                <w:szCs w:val="24"/>
              </w:rPr>
              <w:t>万元，其中工程类</w:t>
            </w:r>
            <w:r>
              <w:rPr>
                <w:rFonts w:hint="eastAsia" w:ascii="宋体" w:hAnsi="宋体"/>
                <w:sz w:val="32"/>
                <w:szCs w:val="24"/>
                <w:lang w:val="en-US" w:eastAsia="zh-CN"/>
              </w:rPr>
              <w:t>0</w:t>
            </w:r>
            <w:r>
              <w:rPr>
                <w:rFonts w:hint="eastAsia" w:ascii="宋体" w:hAnsi="宋体"/>
                <w:sz w:val="32"/>
                <w:szCs w:val="24"/>
              </w:rPr>
              <w:t>万元，货物类</w:t>
            </w:r>
            <w:r>
              <w:rPr>
                <w:rFonts w:hint="eastAsia" w:ascii="宋体" w:hAnsi="宋体"/>
                <w:sz w:val="32"/>
                <w:szCs w:val="24"/>
                <w:lang w:val="en-US" w:eastAsia="zh-CN"/>
              </w:rPr>
              <w:t>0</w:t>
            </w:r>
            <w:r>
              <w:rPr>
                <w:rFonts w:hint="eastAsia" w:ascii="宋体" w:hAnsi="宋体"/>
                <w:sz w:val="32"/>
                <w:szCs w:val="24"/>
              </w:rPr>
              <w:t>万元，服务类</w:t>
            </w:r>
            <w:r>
              <w:rPr>
                <w:rFonts w:hint="eastAsia" w:ascii="宋体" w:hAnsi="宋体"/>
                <w:sz w:val="32"/>
                <w:szCs w:val="24"/>
                <w:lang w:val="en-US" w:eastAsia="zh-CN"/>
              </w:rPr>
              <w:t>0</w:t>
            </w:r>
            <w:r>
              <w:rPr>
                <w:rFonts w:hint="eastAsia" w:ascii="宋体" w:hAnsi="宋体"/>
                <w:sz w:val="32"/>
                <w:szCs w:val="24"/>
              </w:rPr>
              <w:t>万元。</w:t>
            </w:r>
          </w:p>
        </w:tc>
      </w:tr>
      <w:tr w14:paraId="24CFC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5BA7099E">
            <w:pPr>
              <w:spacing w:beforeLines="0" w:afterLines="0" w:line="375" w:lineRule="exact"/>
              <w:ind w:left="20"/>
              <w:rPr>
                <w:rFonts w:hint="eastAsia" w:ascii="Dialog" w:hAnsi="Dialog"/>
                <w:sz w:val="32"/>
                <w:szCs w:val="24"/>
              </w:rPr>
            </w:pPr>
            <w:r>
              <w:rPr>
                <w:rFonts w:hint="eastAsia" w:ascii="Dialog" w:hAnsi="Dialog"/>
                <w:sz w:val="32"/>
                <w:szCs w:val="24"/>
              </w:rPr>
              <w:t xml:space="preserve">  （六）国有资产占有使用及新增资产配置情况</w:t>
            </w:r>
          </w:p>
        </w:tc>
      </w:tr>
      <w:tr w14:paraId="27AA7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2210"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3606A714">
            <w:pPr>
              <w:spacing w:beforeLines="0" w:afterLines="0" w:line="375" w:lineRule="exact"/>
              <w:ind w:left="20"/>
              <w:rPr>
                <w:rFonts w:hint="eastAsia" w:ascii="宋体" w:hAnsi="宋体"/>
                <w:sz w:val="32"/>
                <w:szCs w:val="24"/>
              </w:rPr>
            </w:pPr>
            <w:r>
              <w:rPr>
                <w:rFonts w:hint="eastAsia" w:ascii="宋体" w:hAnsi="宋体"/>
                <w:sz w:val="32"/>
                <w:szCs w:val="24"/>
              </w:rPr>
              <w:t xml:space="preserve">  截至上年底，本单位共有车辆</w:t>
            </w:r>
            <w:r>
              <w:rPr>
                <w:rFonts w:hint="eastAsia" w:ascii="宋体" w:hAnsi="宋体"/>
                <w:sz w:val="32"/>
                <w:szCs w:val="24"/>
                <w:lang w:val="en-US" w:eastAsia="zh-CN"/>
              </w:rPr>
              <w:t>15</w:t>
            </w:r>
            <w:r>
              <w:rPr>
                <w:rFonts w:hint="eastAsia" w:ascii="宋体" w:hAnsi="宋体"/>
                <w:sz w:val="32"/>
                <w:szCs w:val="24"/>
              </w:rPr>
              <w:t>辆，其中领导干部用车</w:t>
            </w:r>
            <w:r>
              <w:rPr>
                <w:rFonts w:hint="eastAsia" w:ascii="宋体" w:hAnsi="宋体"/>
                <w:sz w:val="32"/>
                <w:szCs w:val="24"/>
                <w:lang w:val="en-US" w:eastAsia="zh-CN"/>
              </w:rPr>
              <w:t>0</w:t>
            </w:r>
            <w:r>
              <w:rPr>
                <w:rFonts w:hint="eastAsia" w:ascii="宋体" w:hAnsi="宋体"/>
                <w:sz w:val="32"/>
                <w:szCs w:val="24"/>
              </w:rPr>
              <w:t>辆，一般公务用车</w:t>
            </w:r>
            <w:r>
              <w:rPr>
                <w:rFonts w:hint="eastAsia" w:ascii="宋体" w:hAnsi="宋体"/>
                <w:sz w:val="32"/>
                <w:szCs w:val="24"/>
                <w:lang w:val="en-US" w:eastAsia="zh-CN"/>
              </w:rPr>
              <w:t>0</w:t>
            </w:r>
            <w:r>
              <w:rPr>
                <w:rFonts w:hint="eastAsia" w:ascii="宋体" w:hAnsi="宋体"/>
                <w:sz w:val="32"/>
                <w:szCs w:val="24"/>
              </w:rPr>
              <w:t>辆，其他用车</w:t>
            </w:r>
            <w:r>
              <w:rPr>
                <w:rFonts w:hint="eastAsia" w:ascii="宋体" w:hAnsi="宋体"/>
                <w:sz w:val="32"/>
                <w:szCs w:val="24"/>
                <w:lang w:val="en-US" w:eastAsia="zh-CN"/>
              </w:rPr>
              <w:t>15</w:t>
            </w:r>
            <w:r>
              <w:rPr>
                <w:rFonts w:hint="eastAsia" w:ascii="宋体" w:hAnsi="宋体"/>
                <w:sz w:val="32"/>
                <w:szCs w:val="24"/>
              </w:rPr>
              <w:t>辆。单位价值50万元以上通用设备</w:t>
            </w:r>
            <w:r>
              <w:rPr>
                <w:rFonts w:hint="eastAsia" w:ascii="宋体" w:hAnsi="宋体"/>
                <w:sz w:val="32"/>
                <w:szCs w:val="24"/>
                <w:lang w:val="en-US" w:eastAsia="zh-CN"/>
              </w:rPr>
              <w:t>0</w:t>
            </w:r>
            <w:r>
              <w:rPr>
                <w:rFonts w:hint="eastAsia" w:ascii="宋体" w:hAnsi="宋体"/>
                <w:sz w:val="32"/>
                <w:szCs w:val="24"/>
              </w:rPr>
              <w:t>台，单位价值100万元以上专用设备</w:t>
            </w:r>
            <w:r>
              <w:rPr>
                <w:rFonts w:hint="eastAsia" w:ascii="宋体" w:hAnsi="宋体"/>
                <w:sz w:val="32"/>
                <w:szCs w:val="24"/>
                <w:lang w:val="en-US" w:eastAsia="zh-CN"/>
              </w:rPr>
              <w:t>0</w:t>
            </w:r>
            <w:r>
              <w:rPr>
                <w:rFonts w:hint="eastAsia" w:ascii="宋体" w:hAnsi="宋体"/>
                <w:sz w:val="32"/>
                <w:szCs w:val="24"/>
              </w:rPr>
              <w:t xml:space="preserve">台。 </w:t>
            </w:r>
          </w:p>
          <w:p w14:paraId="40E7598C">
            <w:pPr>
              <w:spacing w:beforeLines="0" w:afterLines="0" w:line="375" w:lineRule="exact"/>
              <w:ind w:left="20"/>
              <w:rPr>
                <w:rFonts w:hint="eastAsia" w:ascii="宋体" w:hAnsi="宋体"/>
                <w:sz w:val="32"/>
                <w:szCs w:val="24"/>
              </w:rPr>
            </w:pPr>
            <w:r>
              <w:rPr>
                <w:rFonts w:hint="eastAsia" w:ascii="宋体" w:hAnsi="宋体"/>
                <w:sz w:val="32"/>
                <w:szCs w:val="24"/>
              </w:rPr>
              <w:t xml:space="preserve">  2025年拟报废处置车辆</w:t>
            </w:r>
            <w:r>
              <w:rPr>
                <w:rFonts w:hint="eastAsia" w:ascii="宋体" w:hAnsi="宋体"/>
                <w:sz w:val="32"/>
                <w:szCs w:val="24"/>
                <w:lang w:val="en-US" w:eastAsia="zh-CN"/>
              </w:rPr>
              <w:t>2</w:t>
            </w:r>
            <w:r>
              <w:rPr>
                <w:rFonts w:hint="eastAsia" w:ascii="宋体" w:hAnsi="宋体"/>
                <w:sz w:val="32"/>
                <w:szCs w:val="24"/>
              </w:rPr>
              <w:t>辆，其中：报废处置领导干部用车</w:t>
            </w:r>
            <w:r>
              <w:rPr>
                <w:rFonts w:hint="eastAsia" w:ascii="宋体" w:hAnsi="宋体"/>
                <w:sz w:val="32"/>
                <w:szCs w:val="24"/>
                <w:lang w:val="en-US" w:eastAsia="zh-CN"/>
              </w:rPr>
              <w:t>0</w:t>
            </w:r>
            <w:r>
              <w:rPr>
                <w:rFonts w:hint="eastAsia" w:ascii="宋体" w:hAnsi="宋体"/>
                <w:sz w:val="32"/>
                <w:szCs w:val="24"/>
              </w:rPr>
              <w:t>辆，报废处置一般公务用车</w:t>
            </w:r>
            <w:r>
              <w:rPr>
                <w:rFonts w:hint="eastAsia" w:ascii="宋体" w:hAnsi="宋体"/>
                <w:sz w:val="32"/>
                <w:szCs w:val="24"/>
                <w:lang w:val="en-US" w:eastAsia="zh-CN"/>
              </w:rPr>
              <w:t>0</w:t>
            </w:r>
            <w:r>
              <w:rPr>
                <w:rFonts w:hint="eastAsia" w:ascii="宋体" w:hAnsi="宋体"/>
                <w:sz w:val="32"/>
                <w:szCs w:val="24"/>
              </w:rPr>
              <w:t>辆，报废处置其他用车</w:t>
            </w:r>
            <w:r>
              <w:rPr>
                <w:rFonts w:hint="eastAsia" w:ascii="宋体" w:hAnsi="宋体"/>
                <w:sz w:val="32"/>
                <w:szCs w:val="24"/>
                <w:lang w:val="en-US" w:eastAsia="zh-CN"/>
              </w:rPr>
              <w:t>2</w:t>
            </w:r>
            <w:r>
              <w:rPr>
                <w:rFonts w:hint="eastAsia" w:ascii="宋体" w:hAnsi="宋体"/>
                <w:sz w:val="32"/>
                <w:szCs w:val="24"/>
              </w:rPr>
              <w:t>辆，报废处置单位价值50万元以上通用设备</w:t>
            </w:r>
            <w:r>
              <w:rPr>
                <w:rFonts w:hint="eastAsia" w:ascii="宋体" w:hAnsi="宋体"/>
                <w:sz w:val="32"/>
                <w:szCs w:val="24"/>
                <w:lang w:val="en-US" w:eastAsia="zh-CN"/>
              </w:rPr>
              <w:t>0</w:t>
            </w:r>
            <w:r>
              <w:rPr>
                <w:rFonts w:hint="eastAsia" w:ascii="宋体" w:hAnsi="宋体"/>
                <w:sz w:val="32"/>
                <w:szCs w:val="24"/>
              </w:rPr>
              <w:t>台，报废处置单位价值100万元以上通用设备</w:t>
            </w:r>
            <w:r>
              <w:rPr>
                <w:rFonts w:hint="eastAsia" w:ascii="宋体" w:hAnsi="宋体"/>
                <w:sz w:val="32"/>
                <w:szCs w:val="24"/>
                <w:lang w:val="en-US" w:eastAsia="zh-CN"/>
              </w:rPr>
              <w:t>0</w:t>
            </w:r>
            <w:r>
              <w:rPr>
                <w:rFonts w:hint="eastAsia" w:ascii="宋体" w:hAnsi="宋体"/>
                <w:sz w:val="32"/>
                <w:szCs w:val="24"/>
              </w:rPr>
              <w:t>台。拟新增配置车辆</w:t>
            </w:r>
            <w:r>
              <w:rPr>
                <w:rFonts w:hint="eastAsia" w:ascii="宋体" w:hAnsi="宋体"/>
                <w:sz w:val="32"/>
                <w:szCs w:val="24"/>
                <w:lang w:val="en-US" w:eastAsia="zh-CN"/>
              </w:rPr>
              <w:t>2</w:t>
            </w:r>
            <w:r>
              <w:rPr>
                <w:rFonts w:hint="eastAsia" w:ascii="宋体" w:hAnsi="宋体"/>
                <w:sz w:val="32"/>
                <w:szCs w:val="24"/>
              </w:rPr>
              <w:t>辆，其中领导干部用车</w:t>
            </w:r>
            <w:r>
              <w:rPr>
                <w:rFonts w:hint="eastAsia" w:ascii="宋体" w:hAnsi="宋体"/>
                <w:sz w:val="32"/>
                <w:szCs w:val="24"/>
                <w:lang w:val="en-US" w:eastAsia="zh-CN"/>
              </w:rPr>
              <w:t>0</w:t>
            </w:r>
            <w:r>
              <w:rPr>
                <w:rFonts w:hint="eastAsia" w:ascii="宋体" w:hAnsi="宋体"/>
                <w:sz w:val="32"/>
                <w:szCs w:val="24"/>
              </w:rPr>
              <w:t>辆，一般公务用车</w:t>
            </w:r>
            <w:r>
              <w:rPr>
                <w:rFonts w:hint="eastAsia" w:ascii="宋体" w:hAnsi="宋体"/>
                <w:sz w:val="32"/>
                <w:szCs w:val="24"/>
                <w:lang w:val="en-US" w:eastAsia="zh-CN"/>
              </w:rPr>
              <w:t>0</w:t>
            </w:r>
            <w:r>
              <w:rPr>
                <w:rFonts w:hint="eastAsia" w:ascii="宋体" w:hAnsi="宋体"/>
                <w:sz w:val="32"/>
                <w:szCs w:val="24"/>
              </w:rPr>
              <w:t>辆，其他用车</w:t>
            </w:r>
            <w:r>
              <w:rPr>
                <w:rFonts w:hint="eastAsia" w:ascii="宋体" w:hAnsi="宋体"/>
                <w:sz w:val="32"/>
                <w:szCs w:val="24"/>
                <w:lang w:val="en-US" w:eastAsia="zh-CN"/>
              </w:rPr>
              <w:t>2</w:t>
            </w:r>
            <w:r>
              <w:rPr>
                <w:rFonts w:hint="eastAsia" w:ascii="宋体" w:hAnsi="宋体"/>
                <w:sz w:val="32"/>
                <w:szCs w:val="24"/>
              </w:rPr>
              <w:t>辆，主要用于</w:t>
            </w:r>
            <w:r>
              <w:rPr>
                <w:rFonts w:hint="eastAsia" w:ascii="宋体" w:hAnsi="宋体"/>
                <w:sz w:val="32"/>
                <w:szCs w:val="24"/>
                <w:lang w:val="en-US" w:eastAsia="zh-CN"/>
              </w:rPr>
              <w:t>照明设施维护管理</w:t>
            </w:r>
            <w:r>
              <w:rPr>
                <w:rFonts w:hint="eastAsia" w:ascii="宋体" w:hAnsi="宋体"/>
                <w:sz w:val="32"/>
                <w:szCs w:val="24"/>
              </w:rPr>
              <w:t>，资金来源为</w:t>
            </w:r>
            <w:r>
              <w:rPr>
                <w:rFonts w:hint="eastAsia" w:ascii="宋体" w:hAnsi="宋体"/>
                <w:sz w:val="32"/>
                <w:szCs w:val="24"/>
                <w:lang w:val="en-US" w:eastAsia="zh-CN"/>
              </w:rPr>
              <w:t>自筹资金</w:t>
            </w:r>
            <w:r>
              <w:rPr>
                <w:rFonts w:hint="eastAsia" w:ascii="宋体" w:hAnsi="宋体"/>
                <w:sz w:val="32"/>
                <w:szCs w:val="24"/>
              </w:rPr>
              <w:t>。</w:t>
            </w:r>
          </w:p>
          <w:p w14:paraId="76C879A0">
            <w:pPr>
              <w:spacing w:beforeLines="0" w:afterLines="0" w:line="375" w:lineRule="exact"/>
              <w:ind w:left="20"/>
              <w:rPr>
                <w:rFonts w:hint="eastAsia" w:ascii="宋体" w:hAnsi="宋体"/>
                <w:sz w:val="32"/>
                <w:szCs w:val="24"/>
              </w:rPr>
            </w:pPr>
            <w:r>
              <w:rPr>
                <w:rFonts w:hint="eastAsia" w:ascii="宋体" w:hAnsi="宋体"/>
                <w:sz w:val="32"/>
                <w:szCs w:val="24"/>
              </w:rPr>
              <w:t xml:space="preserve">  2025年拟新增配备领导干部用车</w:t>
            </w:r>
            <w:r>
              <w:rPr>
                <w:rFonts w:hint="eastAsia" w:ascii="宋体" w:hAnsi="宋体"/>
                <w:sz w:val="32"/>
                <w:szCs w:val="24"/>
                <w:lang w:val="en-US" w:eastAsia="zh-CN"/>
              </w:rPr>
              <w:t>0</w:t>
            </w:r>
            <w:r>
              <w:rPr>
                <w:rFonts w:hint="eastAsia" w:ascii="宋体" w:hAnsi="宋体"/>
                <w:sz w:val="32"/>
                <w:szCs w:val="24"/>
              </w:rPr>
              <w:t>辆，一般公务用车</w:t>
            </w:r>
            <w:r>
              <w:rPr>
                <w:rFonts w:hint="eastAsia" w:ascii="宋体" w:hAnsi="宋体"/>
                <w:sz w:val="32"/>
                <w:szCs w:val="24"/>
                <w:lang w:val="en-US" w:eastAsia="zh-CN"/>
              </w:rPr>
              <w:t>0</w:t>
            </w:r>
            <w:r>
              <w:rPr>
                <w:rFonts w:hint="eastAsia" w:ascii="宋体" w:hAnsi="宋体"/>
                <w:sz w:val="32"/>
                <w:szCs w:val="24"/>
              </w:rPr>
              <w:t>辆，其他用车</w:t>
            </w:r>
            <w:r>
              <w:rPr>
                <w:rFonts w:hint="eastAsia" w:ascii="宋体" w:hAnsi="宋体"/>
                <w:sz w:val="32"/>
                <w:szCs w:val="24"/>
                <w:lang w:val="en-US" w:eastAsia="zh-CN"/>
              </w:rPr>
              <w:t>2</w:t>
            </w:r>
            <w:r>
              <w:rPr>
                <w:rFonts w:hint="eastAsia" w:ascii="宋体" w:hAnsi="宋体"/>
                <w:sz w:val="32"/>
                <w:szCs w:val="24"/>
              </w:rPr>
              <w:t>辆，新增配备单位价值50万元以上通用设备</w:t>
            </w:r>
            <w:r>
              <w:rPr>
                <w:rFonts w:hint="eastAsia" w:ascii="宋体" w:hAnsi="宋体"/>
                <w:sz w:val="32"/>
                <w:szCs w:val="24"/>
                <w:lang w:val="en-US" w:eastAsia="zh-CN"/>
              </w:rPr>
              <w:t>0</w:t>
            </w:r>
            <w:r>
              <w:rPr>
                <w:rFonts w:hint="eastAsia" w:ascii="宋体" w:hAnsi="宋体"/>
                <w:sz w:val="32"/>
                <w:szCs w:val="24"/>
              </w:rPr>
              <w:t>台，单位价值100万元以上专用设备</w:t>
            </w:r>
            <w:r>
              <w:rPr>
                <w:rFonts w:hint="eastAsia" w:ascii="宋体" w:hAnsi="宋体"/>
                <w:sz w:val="32"/>
                <w:szCs w:val="24"/>
                <w:lang w:val="en-US" w:eastAsia="zh-CN"/>
              </w:rPr>
              <w:t>0</w:t>
            </w:r>
            <w:r>
              <w:rPr>
                <w:rFonts w:hint="eastAsia" w:ascii="宋体" w:hAnsi="宋体"/>
                <w:sz w:val="32"/>
                <w:szCs w:val="24"/>
              </w:rPr>
              <w:t>台。</w:t>
            </w:r>
          </w:p>
        </w:tc>
      </w:tr>
      <w:tr w14:paraId="01C93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33026E1C">
            <w:pPr>
              <w:spacing w:beforeLines="0" w:afterLines="0" w:line="375" w:lineRule="exact"/>
              <w:ind w:left="20"/>
              <w:rPr>
                <w:rFonts w:hint="eastAsia" w:ascii="Dialog" w:hAnsi="Dialog"/>
                <w:sz w:val="32"/>
                <w:szCs w:val="24"/>
              </w:rPr>
            </w:pPr>
            <w:r>
              <w:rPr>
                <w:rFonts w:hint="eastAsia" w:ascii="Dialog" w:hAnsi="Dialog"/>
                <w:sz w:val="32"/>
                <w:szCs w:val="24"/>
              </w:rPr>
              <w:t xml:space="preserve">  （七）预算绩效目标说明</w:t>
            </w:r>
          </w:p>
        </w:tc>
      </w:tr>
      <w:tr w14:paraId="132D8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481"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586D52DE">
            <w:pPr>
              <w:spacing w:beforeLines="0" w:afterLines="0" w:line="375" w:lineRule="exact"/>
              <w:ind w:left="20"/>
              <w:rPr>
                <w:rFonts w:hint="eastAsia" w:ascii="宋体" w:hAnsi="宋体"/>
                <w:sz w:val="32"/>
                <w:szCs w:val="24"/>
              </w:rPr>
            </w:pPr>
            <w:r>
              <w:rPr>
                <w:rFonts w:hint="eastAsia" w:ascii="宋体" w:hAnsi="宋体"/>
                <w:sz w:val="32"/>
                <w:szCs w:val="24"/>
              </w:rPr>
              <w:t xml:space="preserve">    本单位所有支出实行绩效目标管理。纳入2025年单位整体支出绩效目标的金额为1312.80万元，其中，基本支出1122.80万元，项目支出190.00万元，详见文尾附表中单位预算公开表格的表21-22。</w:t>
            </w:r>
          </w:p>
        </w:tc>
      </w:tr>
      <w:tr w14:paraId="3DE1C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4B3165D4">
            <w:pPr>
              <w:spacing w:beforeLines="0" w:afterLines="0" w:line="375" w:lineRule="exact"/>
              <w:ind w:left="20"/>
              <w:rPr>
                <w:rFonts w:hint="eastAsia" w:ascii="Dialog" w:hAnsi="Dialog"/>
                <w:sz w:val="32"/>
                <w:szCs w:val="24"/>
              </w:rPr>
            </w:pPr>
            <w:r>
              <w:rPr>
                <w:rFonts w:hint="eastAsia" w:ascii="Dialog" w:hAnsi="Dialog"/>
                <w:sz w:val="32"/>
                <w:szCs w:val="24"/>
              </w:rPr>
              <w:t xml:space="preserve">  七、名词解释</w:t>
            </w:r>
          </w:p>
        </w:tc>
      </w:tr>
      <w:tr w14:paraId="4EB2A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1105"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562492AD">
            <w:pPr>
              <w:spacing w:beforeLines="0" w:afterLines="0" w:line="375" w:lineRule="exact"/>
              <w:ind w:left="20"/>
              <w:rPr>
                <w:rFonts w:hint="eastAsia" w:ascii="宋体" w:hAnsi="宋体"/>
                <w:sz w:val="32"/>
                <w:szCs w:val="24"/>
              </w:rPr>
            </w:pPr>
            <w:r>
              <w:rPr>
                <w:rFonts w:hint="eastAsia" w:ascii="宋体" w:hAnsi="宋体"/>
                <w:sz w:val="32"/>
                <w:szCs w:val="24"/>
              </w:rPr>
              <w:t xml:space="preserve">  1、机关运行经费：是指各单位的公用经费，包括办公及印刷费、邮电费、差旅费、会议费、福利费、日常维修费、专用资料及一般设备购置费、办公用房水电费、办公用房取暖费、办公用房物业管理费、公务用车运行维护费以及其他费用。</w:t>
            </w:r>
          </w:p>
        </w:tc>
      </w:tr>
      <w:tr w14:paraId="16BE8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1105"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4FE6A06B">
            <w:pPr>
              <w:spacing w:beforeLines="0" w:afterLines="0" w:line="375" w:lineRule="exact"/>
              <w:ind w:left="20"/>
              <w:rPr>
                <w:rFonts w:hint="eastAsia" w:ascii="宋体" w:hAnsi="宋体"/>
                <w:sz w:val="32"/>
                <w:szCs w:val="24"/>
              </w:rPr>
            </w:pPr>
            <w:r>
              <w:rPr>
                <w:rFonts w:hint="eastAsia" w:ascii="宋体" w:hAnsi="宋体"/>
                <w:sz w:val="32"/>
                <w:szCs w:val="24"/>
              </w:rPr>
              <w:t xml:space="preserve">  2、“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tc>
      </w:tr>
      <w:tr w14:paraId="3E6CE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182" w:hRule="atLeast"/>
        </w:trPr>
        <w:tc>
          <w:tcPr>
            <w:tcW w:w="15306" w:type="dxa"/>
            <w:tcBorders>
              <w:top w:val="single" w:color="FFFFFF" w:sz="8" w:space="0"/>
              <w:left w:val="single" w:color="FFFFFF" w:sz="8" w:space="0"/>
              <w:bottom w:val="single" w:color="FFFFFF" w:sz="8" w:space="0"/>
              <w:right w:val="single" w:color="FFFFFF" w:sz="8" w:space="0"/>
              <w:tl2br w:val="nil"/>
              <w:tr2bl w:val="nil"/>
            </w:tcBorders>
            <w:shd w:val="clear" w:color="auto" w:fill="FFFFFF"/>
            <w:noWrap w:val="0"/>
            <w:vAlign w:val="center"/>
          </w:tcPr>
          <w:p w14:paraId="38C5AEB8">
            <w:pPr>
              <w:spacing w:beforeLines="0" w:afterLines="0"/>
              <w:rPr>
                <w:rFonts w:hint="default"/>
                <w:sz w:val="24"/>
                <w:szCs w:val="24"/>
              </w:rPr>
            </w:pPr>
          </w:p>
        </w:tc>
      </w:tr>
      <w:tr w14:paraId="53AEB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182" w:hRule="atLeast"/>
        </w:trPr>
        <w:tc>
          <w:tcPr>
            <w:tcW w:w="15306" w:type="dxa"/>
            <w:tcBorders>
              <w:top w:val="single" w:color="FFFFFF" w:sz="8" w:space="0"/>
              <w:left w:val="single" w:color="FFFFFF" w:sz="8" w:space="0"/>
              <w:bottom w:val="single" w:color="FFFFFF" w:sz="8" w:space="0"/>
              <w:right w:val="single" w:color="FFFFFF" w:sz="8" w:space="0"/>
              <w:tl2br w:val="nil"/>
              <w:tr2bl w:val="nil"/>
            </w:tcBorders>
            <w:shd w:val="clear" w:color="auto" w:fill="FFFFFF"/>
            <w:noWrap w:val="0"/>
            <w:vAlign w:val="center"/>
          </w:tcPr>
          <w:p w14:paraId="1256C505">
            <w:pPr>
              <w:spacing w:beforeLines="0" w:afterLines="0"/>
              <w:rPr>
                <w:rFonts w:hint="default"/>
                <w:sz w:val="24"/>
                <w:szCs w:val="24"/>
              </w:rPr>
            </w:pPr>
          </w:p>
        </w:tc>
      </w:tr>
      <w:tr w14:paraId="33E0B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182" w:hRule="atLeast"/>
        </w:trPr>
        <w:tc>
          <w:tcPr>
            <w:tcW w:w="15306" w:type="dxa"/>
            <w:tcBorders>
              <w:top w:val="single" w:color="FFFFFF" w:sz="8" w:space="0"/>
              <w:left w:val="single" w:color="FFFFFF" w:sz="8" w:space="0"/>
              <w:bottom w:val="single" w:color="FFFFFF" w:sz="8" w:space="0"/>
              <w:right w:val="single" w:color="FFFFFF" w:sz="8" w:space="0"/>
              <w:tl2br w:val="nil"/>
              <w:tr2bl w:val="nil"/>
            </w:tcBorders>
            <w:shd w:val="clear" w:color="auto" w:fill="FFFFFF"/>
            <w:noWrap w:val="0"/>
            <w:vAlign w:val="center"/>
          </w:tcPr>
          <w:p w14:paraId="0C43416D">
            <w:pPr>
              <w:spacing w:beforeLines="0" w:afterLines="0"/>
              <w:rPr>
                <w:rFonts w:hint="default"/>
                <w:sz w:val="24"/>
                <w:szCs w:val="24"/>
              </w:rPr>
            </w:pPr>
          </w:p>
        </w:tc>
      </w:tr>
      <w:tr w14:paraId="41139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07196E1D">
            <w:pPr>
              <w:spacing w:beforeLines="0" w:afterLines="0" w:line="375" w:lineRule="exact"/>
              <w:ind w:left="20"/>
              <w:jc w:val="center"/>
              <w:rPr>
                <w:rFonts w:hint="eastAsia" w:ascii="Dialog" w:hAnsi="Dialog"/>
                <w:sz w:val="32"/>
                <w:szCs w:val="24"/>
              </w:rPr>
            </w:pPr>
            <w:r>
              <w:rPr>
                <w:rFonts w:hint="eastAsia" w:ascii="Dialog" w:hAnsi="Dialog"/>
                <w:sz w:val="32"/>
                <w:szCs w:val="24"/>
              </w:rPr>
              <w:t>第二部分  2025年单位预算公开表格</w:t>
            </w:r>
          </w:p>
        </w:tc>
      </w:tr>
      <w:tr w14:paraId="545BE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3736621B">
            <w:pPr>
              <w:spacing w:beforeLines="0" w:afterLines="0" w:line="375" w:lineRule="exact"/>
              <w:ind w:left="20"/>
              <w:rPr>
                <w:rFonts w:hint="eastAsia" w:ascii="宋体" w:hAnsi="宋体"/>
                <w:sz w:val="32"/>
                <w:szCs w:val="24"/>
              </w:rPr>
            </w:pPr>
            <w:r>
              <w:rPr>
                <w:rFonts w:hint="eastAsia" w:ascii="宋体" w:hAnsi="宋体"/>
                <w:sz w:val="32"/>
                <w:szCs w:val="24"/>
              </w:rPr>
              <w:t>1、收支总表</w:t>
            </w:r>
          </w:p>
        </w:tc>
      </w:tr>
      <w:tr w14:paraId="1E766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654605C6">
            <w:pPr>
              <w:spacing w:beforeLines="0" w:afterLines="0" w:line="375" w:lineRule="exact"/>
              <w:ind w:left="20"/>
              <w:rPr>
                <w:rFonts w:hint="eastAsia" w:ascii="宋体" w:hAnsi="宋体"/>
                <w:sz w:val="32"/>
                <w:szCs w:val="24"/>
              </w:rPr>
            </w:pPr>
            <w:r>
              <w:rPr>
                <w:rFonts w:hint="eastAsia" w:ascii="宋体" w:hAnsi="宋体"/>
                <w:sz w:val="32"/>
                <w:szCs w:val="24"/>
              </w:rPr>
              <w:t>2、收入总表</w:t>
            </w:r>
          </w:p>
        </w:tc>
      </w:tr>
      <w:tr w14:paraId="13199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24E9916C">
            <w:pPr>
              <w:spacing w:beforeLines="0" w:afterLines="0" w:line="375" w:lineRule="exact"/>
              <w:ind w:left="20"/>
              <w:rPr>
                <w:rFonts w:hint="eastAsia" w:ascii="宋体" w:hAnsi="宋体"/>
                <w:sz w:val="32"/>
                <w:szCs w:val="24"/>
              </w:rPr>
            </w:pPr>
            <w:r>
              <w:rPr>
                <w:rFonts w:hint="eastAsia" w:ascii="宋体" w:hAnsi="宋体"/>
                <w:sz w:val="32"/>
                <w:szCs w:val="24"/>
              </w:rPr>
              <w:t>3、支出总表</w:t>
            </w:r>
          </w:p>
        </w:tc>
      </w:tr>
      <w:tr w14:paraId="22ABB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1E85CA49">
            <w:pPr>
              <w:spacing w:beforeLines="0" w:afterLines="0" w:line="375" w:lineRule="exact"/>
              <w:ind w:left="20"/>
              <w:rPr>
                <w:rFonts w:hint="eastAsia" w:ascii="宋体" w:hAnsi="宋体"/>
                <w:sz w:val="32"/>
                <w:szCs w:val="24"/>
              </w:rPr>
            </w:pPr>
            <w:r>
              <w:rPr>
                <w:rFonts w:hint="eastAsia" w:ascii="宋体" w:hAnsi="宋体"/>
                <w:sz w:val="32"/>
                <w:szCs w:val="24"/>
              </w:rPr>
              <w:t>4、支出预算分类汇总表（按政府预算经济分类）</w:t>
            </w:r>
          </w:p>
        </w:tc>
      </w:tr>
      <w:tr w14:paraId="5E217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32163AB0">
            <w:pPr>
              <w:spacing w:beforeLines="0" w:afterLines="0" w:line="375" w:lineRule="exact"/>
              <w:ind w:left="20"/>
              <w:rPr>
                <w:rFonts w:hint="eastAsia" w:ascii="宋体" w:hAnsi="宋体"/>
                <w:sz w:val="32"/>
                <w:szCs w:val="24"/>
              </w:rPr>
            </w:pPr>
            <w:r>
              <w:rPr>
                <w:rFonts w:hint="eastAsia" w:ascii="宋体" w:hAnsi="宋体"/>
                <w:sz w:val="32"/>
                <w:szCs w:val="24"/>
              </w:rPr>
              <w:t>5、支出预算分类汇总表（按部门预算经济分类）</w:t>
            </w:r>
          </w:p>
        </w:tc>
      </w:tr>
      <w:tr w14:paraId="33F83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4BC97508">
            <w:pPr>
              <w:spacing w:beforeLines="0" w:afterLines="0" w:line="375" w:lineRule="exact"/>
              <w:ind w:left="20"/>
              <w:rPr>
                <w:rFonts w:hint="eastAsia" w:ascii="宋体" w:hAnsi="宋体"/>
                <w:sz w:val="32"/>
                <w:szCs w:val="24"/>
              </w:rPr>
            </w:pPr>
            <w:r>
              <w:rPr>
                <w:rFonts w:hint="eastAsia" w:ascii="宋体" w:hAnsi="宋体"/>
                <w:sz w:val="32"/>
                <w:szCs w:val="24"/>
              </w:rPr>
              <w:t>6、财政拨款收支总表</w:t>
            </w:r>
          </w:p>
        </w:tc>
      </w:tr>
      <w:tr w14:paraId="00C70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1173211C">
            <w:pPr>
              <w:spacing w:beforeLines="0" w:afterLines="0" w:line="375" w:lineRule="exact"/>
              <w:ind w:left="20"/>
              <w:rPr>
                <w:rFonts w:hint="eastAsia" w:ascii="宋体" w:hAnsi="宋体"/>
                <w:sz w:val="32"/>
                <w:szCs w:val="24"/>
              </w:rPr>
            </w:pPr>
            <w:r>
              <w:rPr>
                <w:rFonts w:hint="eastAsia" w:ascii="宋体" w:hAnsi="宋体"/>
                <w:sz w:val="32"/>
                <w:szCs w:val="24"/>
              </w:rPr>
              <w:t>7、一般公共预算支出表</w:t>
            </w:r>
          </w:p>
        </w:tc>
      </w:tr>
      <w:tr w14:paraId="54806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2A5EB733">
            <w:pPr>
              <w:spacing w:beforeLines="0" w:afterLines="0" w:line="375" w:lineRule="exact"/>
              <w:ind w:left="20"/>
              <w:rPr>
                <w:rFonts w:hint="eastAsia" w:ascii="宋体" w:hAnsi="宋体"/>
                <w:sz w:val="32"/>
                <w:szCs w:val="24"/>
              </w:rPr>
            </w:pPr>
            <w:r>
              <w:rPr>
                <w:rFonts w:hint="eastAsia" w:ascii="宋体" w:hAnsi="宋体"/>
                <w:sz w:val="32"/>
                <w:szCs w:val="24"/>
              </w:rPr>
              <w:t>8、一般公共预算基本支出表-人员经费（工资福利支出）（按政府预算经济分类）</w:t>
            </w:r>
          </w:p>
        </w:tc>
      </w:tr>
      <w:tr w14:paraId="048D9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523F01CA">
            <w:pPr>
              <w:spacing w:beforeLines="0" w:afterLines="0" w:line="375" w:lineRule="exact"/>
              <w:ind w:left="20"/>
              <w:rPr>
                <w:rFonts w:hint="eastAsia" w:ascii="宋体" w:hAnsi="宋体"/>
                <w:sz w:val="32"/>
                <w:szCs w:val="24"/>
              </w:rPr>
            </w:pPr>
            <w:r>
              <w:rPr>
                <w:rFonts w:hint="eastAsia" w:ascii="宋体" w:hAnsi="宋体"/>
                <w:sz w:val="32"/>
                <w:szCs w:val="24"/>
              </w:rPr>
              <w:t>9、一般公共预算基本支出表-人员经费（工资福利支出）（按部门预算经济分类）</w:t>
            </w:r>
          </w:p>
        </w:tc>
      </w:tr>
      <w:tr w14:paraId="64143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0EE9AB57">
            <w:pPr>
              <w:spacing w:beforeLines="0" w:afterLines="0" w:line="375" w:lineRule="exact"/>
              <w:ind w:left="20"/>
              <w:rPr>
                <w:rFonts w:hint="eastAsia" w:ascii="宋体" w:hAnsi="宋体"/>
                <w:sz w:val="32"/>
                <w:szCs w:val="24"/>
              </w:rPr>
            </w:pPr>
            <w:r>
              <w:rPr>
                <w:rFonts w:hint="eastAsia" w:ascii="宋体" w:hAnsi="宋体"/>
                <w:sz w:val="32"/>
                <w:szCs w:val="24"/>
              </w:rPr>
              <w:t>10、一般公共预算基本支出表-人员经费（对个人和家庭的补助）（按政府预算经济分类）</w:t>
            </w:r>
          </w:p>
        </w:tc>
      </w:tr>
      <w:tr w14:paraId="03761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10B49822">
            <w:pPr>
              <w:spacing w:beforeLines="0" w:afterLines="0" w:line="375" w:lineRule="exact"/>
              <w:ind w:left="20"/>
              <w:rPr>
                <w:rFonts w:hint="eastAsia" w:ascii="宋体" w:hAnsi="宋体"/>
                <w:sz w:val="32"/>
                <w:szCs w:val="24"/>
              </w:rPr>
            </w:pPr>
            <w:r>
              <w:rPr>
                <w:rFonts w:hint="eastAsia" w:ascii="宋体" w:hAnsi="宋体"/>
                <w:sz w:val="32"/>
                <w:szCs w:val="24"/>
              </w:rPr>
              <w:t>11、一般公共预算基本支出表-人员经费（对个人和家庭的补助）（按部门预算经济分类）</w:t>
            </w:r>
          </w:p>
        </w:tc>
      </w:tr>
      <w:tr w14:paraId="0010E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53FBA88D">
            <w:pPr>
              <w:spacing w:beforeLines="0" w:afterLines="0" w:line="375" w:lineRule="exact"/>
              <w:ind w:left="20"/>
              <w:rPr>
                <w:rFonts w:hint="eastAsia" w:ascii="宋体" w:hAnsi="宋体"/>
                <w:sz w:val="32"/>
                <w:szCs w:val="24"/>
              </w:rPr>
            </w:pPr>
            <w:r>
              <w:rPr>
                <w:rFonts w:hint="eastAsia" w:ascii="宋体" w:hAnsi="宋体"/>
                <w:sz w:val="32"/>
                <w:szCs w:val="24"/>
              </w:rPr>
              <w:t>12、一般公共预算基本支出表-公用经费（商品和服务支出）（按政府预算经济分类）</w:t>
            </w:r>
          </w:p>
        </w:tc>
      </w:tr>
      <w:tr w14:paraId="3EC34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3C839C31">
            <w:pPr>
              <w:spacing w:beforeLines="0" w:afterLines="0" w:line="375" w:lineRule="exact"/>
              <w:ind w:left="20"/>
              <w:rPr>
                <w:rFonts w:hint="eastAsia" w:ascii="宋体" w:hAnsi="宋体"/>
                <w:sz w:val="32"/>
                <w:szCs w:val="24"/>
              </w:rPr>
            </w:pPr>
            <w:r>
              <w:rPr>
                <w:rFonts w:hint="eastAsia" w:ascii="宋体" w:hAnsi="宋体"/>
                <w:sz w:val="32"/>
                <w:szCs w:val="24"/>
              </w:rPr>
              <w:t>13、一般公共预算基本支出表-公用经费（商品和服务支出）（按部门预算经济分类）</w:t>
            </w:r>
          </w:p>
        </w:tc>
      </w:tr>
      <w:tr w14:paraId="1C2FF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20660779">
            <w:pPr>
              <w:spacing w:beforeLines="0" w:afterLines="0" w:line="375" w:lineRule="exact"/>
              <w:ind w:left="20"/>
              <w:rPr>
                <w:rFonts w:hint="eastAsia" w:ascii="宋体" w:hAnsi="宋体"/>
                <w:sz w:val="32"/>
                <w:szCs w:val="24"/>
              </w:rPr>
            </w:pPr>
            <w:r>
              <w:rPr>
                <w:rFonts w:hint="eastAsia" w:ascii="宋体" w:hAnsi="宋体"/>
                <w:sz w:val="32"/>
                <w:szCs w:val="24"/>
              </w:rPr>
              <w:t>14、一般公共预算“三公”经费支出表</w:t>
            </w:r>
          </w:p>
        </w:tc>
      </w:tr>
      <w:tr w14:paraId="58A32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121F85CE">
            <w:pPr>
              <w:spacing w:beforeLines="0" w:afterLines="0" w:line="375" w:lineRule="exact"/>
              <w:ind w:left="20"/>
              <w:rPr>
                <w:rFonts w:hint="eastAsia" w:ascii="宋体" w:hAnsi="宋体"/>
                <w:sz w:val="32"/>
                <w:szCs w:val="24"/>
              </w:rPr>
            </w:pPr>
            <w:r>
              <w:rPr>
                <w:rFonts w:hint="eastAsia" w:ascii="宋体" w:hAnsi="宋体"/>
                <w:sz w:val="32"/>
                <w:szCs w:val="24"/>
              </w:rPr>
              <w:t>15、政府性基金预算支出表</w:t>
            </w:r>
          </w:p>
        </w:tc>
      </w:tr>
      <w:tr w14:paraId="0D76D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041E382C">
            <w:pPr>
              <w:spacing w:beforeLines="0" w:afterLines="0" w:line="375" w:lineRule="exact"/>
              <w:ind w:left="20"/>
              <w:rPr>
                <w:rFonts w:hint="eastAsia" w:ascii="宋体" w:hAnsi="宋体"/>
                <w:sz w:val="32"/>
                <w:szCs w:val="24"/>
              </w:rPr>
            </w:pPr>
            <w:r>
              <w:rPr>
                <w:rFonts w:hint="eastAsia" w:ascii="宋体" w:hAnsi="宋体"/>
                <w:sz w:val="32"/>
                <w:szCs w:val="24"/>
              </w:rPr>
              <w:t>16、政府性基金预算支出分类汇总表（按政府预算经济分类）</w:t>
            </w:r>
          </w:p>
        </w:tc>
      </w:tr>
      <w:tr w14:paraId="55510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54B3E918">
            <w:pPr>
              <w:spacing w:beforeLines="0" w:afterLines="0" w:line="375" w:lineRule="exact"/>
              <w:ind w:left="20"/>
              <w:rPr>
                <w:rFonts w:hint="eastAsia" w:ascii="宋体" w:hAnsi="宋体"/>
                <w:sz w:val="32"/>
                <w:szCs w:val="24"/>
              </w:rPr>
            </w:pPr>
            <w:r>
              <w:rPr>
                <w:rFonts w:hint="eastAsia" w:ascii="宋体" w:hAnsi="宋体"/>
                <w:sz w:val="32"/>
                <w:szCs w:val="24"/>
              </w:rPr>
              <w:t>17、政府性基金预算支出分类汇总表（按部门预算经济分类）</w:t>
            </w:r>
          </w:p>
        </w:tc>
      </w:tr>
      <w:tr w14:paraId="421AC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4C75C65C">
            <w:pPr>
              <w:spacing w:beforeLines="0" w:afterLines="0" w:line="375" w:lineRule="exact"/>
              <w:ind w:left="20"/>
              <w:rPr>
                <w:rFonts w:hint="eastAsia" w:ascii="宋体" w:hAnsi="宋体"/>
                <w:sz w:val="32"/>
                <w:szCs w:val="24"/>
              </w:rPr>
            </w:pPr>
            <w:r>
              <w:rPr>
                <w:rFonts w:hint="eastAsia" w:ascii="宋体" w:hAnsi="宋体"/>
                <w:sz w:val="32"/>
                <w:szCs w:val="24"/>
              </w:rPr>
              <w:t>18、国有资本经营预算支出表</w:t>
            </w:r>
          </w:p>
        </w:tc>
      </w:tr>
      <w:tr w14:paraId="70AA6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20F129B5">
            <w:pPr>
              <w:spacing w:beforeLines="0" w:afterLines="0" w:line="375" w:lineRule="exact"/>
              <w:ind w:left="20"/>
              <w:rPr>
                <w:rFonts w:hint="eastAsia" w:ascii="宋体" w:hAnsi="宋体"/>
                <w:sz w:val="32"/>
                <w:szCs w:val="24"/>
              </w:rPr>
            </w:pPr>
            <w:r>
              <w:rPr>
                <w:rFonts w:hint="eastAsia" w:ascii="宋体" w:hAnsi="宋体"/>
                <w:sz w:val="32"/>
                <w:szCs w:val="24"/>
              </w:rPr>
              <w:t>19、财政专户管理资金预算支出表</w:t>
            </w:r>
          </w:p>
        </w:tc>
      </w:tr>
      <w:tr w14:paraId="60DCD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51F2BCC9">
            <w:pPr>
              <w:spacing w:beforeLines="0" w:afterLines="0" w:line="375" w:lineRule="exact"/>
              <w:ind w:left="20"/>
              <w:rPr>
                <w:rFonts w:hint="eastAsia" w:ascii="宋体" w:hAnsi="宋体"/>
                <w:sz w:val="32"/>
                <w:szCs w:val="24"/>
              </w:rPr>
            </w:pPr>
            <w:r>
              <w:rPr>
                <w:rFonts w:hint="eastAsia" w:ascii="宋体" w:hAnsi="宋体"/>
                <w:sz w:val="32"/>
                <w:szCs w:val="24"/>
              </w:rPr>
              <w:t>20、专项资金预算汇总表</w:t>
            </w:r>
          </w:p>
        </w:tc>
      </w:tr>
      <w:tr w14:paraId="2A36C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77CDCC2B">
            <w:pPr>
              <w:spacing w:beforeLines="0" w:afterLines="0" w:line="375" w:lineRule="exact"/>
              <w:ind w:left="20"/>
              <w:rPr>
                <w:rFonts w:hint="eastAsia" w:ascii="宋体" w:hAnsi="宋体"/>
                <w:sz w:val="32"/>
                <w:szCs w:val="24"/>
              </w:rPr>
            </w:pPr>
            <w:r>
              <w:rPr>
                <w:rFonts w:hint="eastAsia" w:ascii="宋体" w:hAnsi="宋体"/>
                <w:sz w:val="32"/>
                <w:szCs w:val="24"/>
              </w:rPr>
              <w:t>21、项目支出绩效目标表</w:t>
            </w:r>
          </w:p>
        </w:tc>
      </w:tr>
      <w:tr w14:paraId="57BEC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601E2123">
            <w:pPr>
              <w:spacing w:beforeLines="0" w:afterLines="0" w:line="375" w:lineRule="exact"/>
              <w:ind w:left="20"/>
              <w:rPr>
                <w:rFonts w:hint="eastAsia" w:ascii="宋体" w:hAnsi="宋体"/>
                <w:sz w:val="32"/>
                <w:szCs w:val="24"/>
              </w:rPr>
            </w:pPr>
            <w:r>
              <w:rPr>
                <w:rFonts w:hint="eastAsia" w:ascii="宋体" w:hAnsi="宋体"/>
                <w:sz w:val="32"/>
                <w:szCs w:val="24"/>
              </w:rPr>
              <w:t>22、单位整体支出绩效目标表</w:t>
            </w:r>
          </w:p>
        </w:tc>
      </w:tr>
      <w:tr w14:paraId="71B45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7E02E50C">
            <w:pPr>
              <w:spacing w:beforeLines="0" w:afterLines="0" w:line="375" w:lineRule="exact"/>
              <w:ind w:left="20"/>
              <w:rPr>
                <w:rFonts w:hint="eastAsia" w:ascii="宋体" w:hAnsi="宋体"/>
                <w:sz w:val="32"/>
                <w:szCs w:val="24"/>
              </w:rPr>
            </w:pPr>
            <w:r>
              <w:rPr>
                <w:rFonts w:hint="eastAsia" w:ascii="宋体" w:hAnsi="宋体"/>
                <w:sz w:val="32"/>
                <w:szCs w:val="24"/>
              </w:rPr>
              <w:t>23、一般公共预算基本支出表</w:t>
            </w:r>
          </w:p>
        </w:tc>
      </w:tr>
      <w:tr w14:paraId="30303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wBefore w:w="0" w:type="dxa"/>
          <w:wAfter w:w="0" w:type="dxa"/>
          <w:trHeight w:val="364" w:hRule="atLeast"/>
        </w:trPr>
        <w:tc>
          <w:tcPr>
            <w:tcW w:w="1530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14:paraId="274E8B54">
            <w:pPr>
              <w:spacing w:beforeLines="0" w:afterLines="0" w:line="375" w:lineRule="exact"/>
              <w:ind w:left="20"/>
              <w:rPr>
                <w:rFonts w:hint="eastAsia" w:ascii="宋体" w:hAnsi="宋体"/>
                <w:color w:val="FF0000"/>
                <w:sz w:val="32"/>
                <w:szCs w:val="24"/>
              </w:rPr>
            </w:pPr>
            <w:r>
              <w:rPr>
                <w:rFonts w:hint="eastAsia" w:ascii="宋体" w:hAnsi="宋体"/>
                <w:b/>
                <w:color w:val="FF0000"/>
                <w:sz w:val="32"/>
                <w:szCs w:val="24"/>
              </w:rPr>
              <w:t>注：以上单位预算公开报表中，空表表示本单位无相关收支情况。</w:t>
            </w:r>
          </w:p>
        </w:tc>
      </w:tr>
    </w:tbl>
    <w:p w14:paraId="2288237C">
      <w:pPr>
        <w:spacing w:beforeLines="0" w:afterLines="0"/>
        <w:rPr>
          <w:rFonts w:hint="default"/>
          <w:sz w:val="24"/>
          <w:szCs w:val="24"/>
        </w:rPr>
      </w:pPr>
    </w:p>
    <w:sectPr>
      <w:pgSz w:w="18708" w:h="15840"/>
      <w:pgMar w:top="388" w:right="1080" w:bottom="388" w:left="1080" w:header="720" w:footer="720" w:gutter="0"/>
      <w:lnNumType w:countBy="0" w:distance="36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0" w:usb1="00000000" w:usb2="00000000"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Arial">
    <w:altName w:val="DejaVu Sans"/>
    <w:panose1 w:val="020B0604020202020204"/>
    <w:charset w:val="00"/>
    <w:family w:val="roman"/>
    <w:pitch w:val="default"/>
    <w:sig w:usb0="00000000" w:usb1="00000000" w:usb2="00000000" w:usb3="00000000" w:csb0="00040001" w:csb1="00000000"/>
  </w:font>
  <w:font w:name="微软雅黑">
    <w:altName w:val="方正黑体_GBK"/>
    <w:panose1 w:val="020B0503020204020204"/>
    <w:charset w:val="00"/>
    <w:family w:val="roman"/>
    <w:pitch w:val="default"/>
    <w:sig w:usb0="00000000" w:usb1="00000000" w:usb2="00000000" w:usb3="00000000" w:csb0="00040001" w:csb1="00000000"/>
  </w:font>
  <w:font w:name="Dialog">
    <w:altName w:val="DejaVu Sans"/>
    <w:panose1 w:val="00000000000000000000"/>
    <w:charset w:val="00"/>
    <w:family w:val="roman"/>
    <w:pitch w:val="default"/>
    <w:sig w:usb0="00000000" w:usb1="00000000" w:usb2="00000000" w:usb3="00000000" w:csb0="00040001"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HorizontalSpacing w:val="120"/>
  <w:drawingGridVerticalSpacing w:val="120"/>
  <w:displayHorizontalDrawingGridEvery w:val="3"/>
  <w:displayVerticalDrawingGridEvery w:val="3"/>
  <w:doNotUseMarginsForDrawingGridOrigin w:val="1"/>
  <w:drawingGridHorizontalOrigin w:val="1701"/>
  <w:drawingGridVerticalOrigin w:val="1984"/>
  <w:doNotShadeFormData w:val="1"/>
  <w:characterSpacingControl w:val="compressPunctuation"/>
  <w:doNotValidateAgainstSchema/>
  <w:doNotDemarcateInvalidXml/>
  <w:footnotePr>
    <w:footnote w:id="0"/>
    <w:footnote w:id="1"/>
  </w:footnotePr>
  <w:compat>
    <w:spaceForUL/>
    <w:balanceSingleByteDoubleByteWidth/>
    <w:doNotLeaveBackslashAlone/>
    <w:ulTrailSpace/>
    <w:doNotExpandShiftReturn/>
    <w:adjustLineHeightInTable/>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9EBBBE30"/>
    <w:rsid w:val="DDDEBD7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iPriority="99" w:semiHidden="0" w:name="Normal"/>
    <w:lsdException w:uiPriority="99" w:semiHidden="0" w:name="heading 1"/>
    <w:lsdException w:uiPriority="99" w:semiHidden="0" w:name="heading 2"/>
    <w:lsdException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semiHidden="0" w:name="index 1"/>
    <w:lsdException w:qFormat="1" w:unhideWhenUsed="0" w:uiPriority="99" w:semiHidden="0" w:name="index 2"/>
    <w:lsdException w:qFormat="1" w:unhideWhenUsed="0" w:uiPriority="99" w:semiHidden="0" w:name="index 3"/>
    <w:lsdException w:qFormat="1" w:unhideWhenUsed="0" w:uiPriority="99"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99" w:semiHidden="0" w:name="index heading"/>
    <w:lsdException w:qFormat="1" w:unhideWhenUsed="0" w:uiPriority="99" w:semiHidden="0" w:name="caption"/>
    <w:lsdException w:qFormat="1" w:unhideWhenUsed="0" w:uiPriority="99" w:semiHidden="0" w:name="table of figures"/>
    <w:lsdException w:qFormat="1" w:unhideWhenUsed="0" w:uiPriority="99" w:semiHidden="0" w:name="envelope address"/>
    <w:lsdException w:qFormat="1" w:unhideWhenUsed="0" w:uiPriority="99" w:semiHidden="0" w:name="envelope return"/>
    <w:lsdException w:qFormat="1" w:unhideWhenUsed="0" w:uiPriority="99" w:semiHidden="0" w:name="footnote reference"/>
    <w:lsdException w:qFormat="1" w:unhideWhenUsed="0" w:uiPriority="99" w:semiHidden="0" w:name="annotation reference"/>
    <w:lsdException w:qFormat="1" w:unhideWhenUsed="0" w:uiPriority="99" w:semiHidden="0" w:name="line number"/>
    <w:lsdException w:qFormat="1" w:unhideWhenUsed="0" w:uiPriority="99" w:semiHidden="0" w:name="page number"/>
    <w:lsdException w:qFormat="1" w:unhideWhenUsed="0" w:uiPriority="99" w:semiHidden="0" w:name="endnote reference"/>
    <w:lsdException w:qFormat="1" w:unhideWhenUsed="0" w:uiPriority="99" w:semiHidden="0" w:name="endnote text"/>
    <w:lsdException w:qFormat="1" w:unhideWhenUsed="0" w:uiPriority="99" w:semiHidden="0" w:name="table of authorities"/>
    <w:lsdException w:qFormat="1" w:unhideWhenUsed="0" w:uiPriority="99" w:semiHidden="0" w:name="macro"/>
    <w:lsdException w:qFormat="1" w:unhideWhenUsed="0" w:uiPriority="99" w:semiHidden="0" w:name="toa heading"/>
    <w:lsdException w:qFormat="1" w:unhideWhenUsed="0" w:uiPriority="99" w:semiHidden="0" w:name="List"/>
    <w:lsdException w:qFormat="1" w:unhideWhenUsed="0" w:uiPriority="99" w:semiHidden="0" w:name="List Bullet"/>
    <w:lsdException w:qFormat="1" w:unhideWhenUsed="0" w:uiPriority="99" w:semiHidden="0" w:name="List Number"/>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qFormat="1" w:unhideWhenUsed="0" w:uiPriority="99" w:semiHidden="0" w:name="List Bullet 2"/>
    <w:lsdException w:qFormat="1" w:unhideWhenUsed="0" w:uiPriority="99" w:semiHidden="0" w:name="List Bullet 3"/>
    <w:lsdException w:qFormat="1" w:unhideWhenUsed="0" w:uiPriority="99" w:semiHidden="0" w:name="List Bullet 4"/>
    <w:lsdException w:qFormat="1" w:unhideWhenUsed="0" w:uiPriority="99" w:semiHidden="0" w:name="List Bullet 5"/>
    <w:lsdException w:qFormat="1" w:unhideWhenUsed="0" w:uiPriority="99" w:semiHidden="0" w:name="List Number 2"/>
    <w:lsdException w:qFormat="1" w:unhideWhenUsed="0" w:uiPriority="99" w:semiHidden="0" w:name="List Number 3"/>
    <w:lsdException w:qFormat="1" w:unhideWhenUsed="0" w:uiPriority="99" w:semiHidden="0" w:name="List Number 4"/>
    <w:lsdException w:qFormat="1" w:unhideWhenUsed="0" w:uiPriority="99" w:semiHidden="0" w:name="List Number 5"/>
    <w:lsdException w:qFormat="1" w:unhideWhenUsed="0" w:uiPriority="99" w:semiHidden="0" w:name="Title"/>
    <w:lsdException w:qFormat="1" w:unhideWhenUsed="0" w:uiPriority="99" w:semiHidden="0" w:name="Closing"/>
    <w:lsdException w:qFormat="1" w:unhideWhenUsed="0" w:uiPriority="99" w:semiHidden="0" w:name="Signature"/>
    <w:lsdException w:uiPriority="99" w:semiHidden="0" w:name="Default Paragraph Font"/>
    <w:lsdException w:qFormat="1" w:unhideWhenUsed="0" w:uiPriority="99" w:semiHidden="0" w:name="Body Text"/>
    <w:lsdException w:qFormat="1" w:unhideWhenUsed="0" w:uiPriority="99" w:semiHidden="0" w:name="Body Text Indent"/>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qFormat="1" w:unhideWhenUsed="0" w:uiPriority="99" w:semiHidden="0" w:name="List Continue 4"/>
    <w:lsdException w:qFormat="1" w:unhideWhenUsed="0" w:uiPriority="99" w:semiHidden="0" w:name="List Continue 5"/>
    <w:lsdException w:qFormat="1" w:unhideWhenUsed="0" w:uiPriority="99" w:semiHidden="0" w:name="Message Header"/>
    <w:lsdException w:qFormat="1" w:unhideWhenUsed="0" w:uiPriority="99" w:semiHidden="0" w:name="Subtitle"/>
    <w:lsdException w:qFormat="1" w:unhideWhenUsed="0" w:uiPriority="99"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qFormat="1" w:unhideWhenUsed="0" w:uiPriority="99" w:semiHidden="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qFormat="1" w:unhideWhenUsed="0" w:uiPriority="99" w:semiHidden="0" w:name="E-mail Signature"/>
    <w:lsdException w:qFormat="1" w:unhideWhenUsed="0" w:uiPriority="99" w:semiHidden="0" w:name="Normal (Web)"/>
    <w:lsdException w:qFormat="1" w:unhideWhenUsed="0" w:uiPriority="99" w:semiHidden="0" w:name="HTML Acronym"/>
    <w:lsdException w:qFormat="1" w:unhideWhenUsed="0" w:uiPriority="99" w:semiHidden="0"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nhideWhenUsed="0" w:uiPriority="99" w:semiHidden="0" w:name="Normal Table"/>
    <w:lsdException w:qFormat="1" w:unhideWhenUsed="0" w:uiPriority="99" w:semiHidden="0" w:name="annotation subject"/>
    <w:lsdException w:qFormat="1" w:unhideWhenUsed="0" w:uiPriority="99" w:semiHidden="0" w:name="Table Simple 1"/>
    <w:lsdException w:qFormat="1" w:unhideWhenUsed="0" w:uiPriority="99" w:semiHidden="0" w:name="Table Simple 2"/>
    <w:lsdException w:qFormat="1" w:unhideWhenUsed="0" w:uiPriority="99" w:semiHidden="0" w:name="Table Simple 3"/>
    <w:lsdException w:qFormat="1" w:unhideWhenUsed="0" w:uiPriority="99" w:semiHidden="0" w:name="Table Classic 1"/>
    <w:lsdException w:qFormat="1" w:unhideWhenUsed="0" w:uiPriority="99" w:semiHidden="0" w:name="Table Classic 2"/>
    <w:lsdException w:qFormat="1" w:unhideWhenUsed="0" w:uiPriority="99" w:semiHidden="0" w:name="Table Classic 3"/>
    <w:lsdException w:qFormat="1" w:unhideWhenUsed="0" w:uiPriority="99" w:semiHidden="0" w:name="Table Classic 4"/>
    <w:lsdException w:qFormat="1" w:unhideWhenUsed="0" w:uiPriority="99" w:semiHidden="0" w:name="Table Colorful 1"/>
    <w:lsdException w:qFormat="1" w:unhideWhenUsed="0" w:uiPriority="99" w:semiHidden="0" w:name="Table Colorful 2"/>
    <w:lsdException w:qFormat="1" w:unhideWhenUsed="0" w:uiPriority="99" w:semiHidden="0" w:name="Table Colorful 3"/>
    <w:lsdException w:qFormat="1" w:unhideWhenUsed="0" w:uiPriority="99" w:semiHidden="0" w:name="Table Columns 1"/>
    <w:lsdException w:qFormat="1" w:unhideWhenUsed="0" w:uiPriority="99" w:semiHidden="0" w:name="Table Columns 2"/>
    <w:lsdException w:qFormat="1" w:unhideWhenUsed="0" w:uiPriority="99" w:semiHidden="0" w:name="Table Columns 3"/>
    <w:lsdException w:qFormat="1" w:unhideWhenUsed="0" w:uiPriority="99" w:semiHidden="0" w:name="Table Columns 4"/>
    <w:lsdException w:qFormat="1" w:unhideWhenUsed="0" w:uiPriority="99" w:semiHidden="0" w:name="Table Columns 5"/>
    <w:lsdException w:qFormat="1" w:unhideWhenUsed="0" w:uiPriority="99" w:semiHidden="0" w:name="Table Grid 1"/>
    <w:lsdException w:qFormat="1" w:unhideWhenUsed="0" w:uiPriority="99" w:semiHidden="0" w:name="Table Grid 2"/>
    <w:lsdException w:qFormat="1" w:unhideWhenUsed="0" w:uiPriority="99" w:semiHidden="0" w:name="Table Grid 3"/>
    <w:lsdException w:qFormat="1" w:unhideWhenUsed="0" w:uiPriority="99" w:semiHidden="0" w:name="Table Grid 4"/>
    <w:lsdException w:qFormat="1" w:unhideWhenUsed="0" w:uiPriority="99" w:semiHidden="0" w:name="Table Grid 5"/>
    <w:lsdException w:qFormat="1" w:unhideWhenUsed="0" w:uiPriority="99" w:semiHidden="0" w:name="Table Grid 6"/>
    <w:lsdException w:qFormat="1" w:unhideWhenUsed="0" w:uiPriority="99" w:semiHidden="0" w:name="Table Grid 7"/>
    <w:lsdException w:qFormat="1" w:unhideWhenUsed="0" w:uiPriority="99" w:semiHidden="0" w:name="Table Grid 8"/>
    <w:lsdException w:qFormat="1" w:unhideWhenUsed="0" w:uiPriority="99" w:semiHidden="0" w:name="Table List 1"/>
    <w:lsdException w:qFormat="1" w:unhideWhenUsed="0" w:uiPriority="99" w:semiHidden="0" w:name="Table List 2"/>
    <w:lsdException w:qFormat="1" w:unhideWhenUsed="0" w:uiPriority="99" w:semiHidden="0" w:name="Table List 3"/>
    <w:lsdException w:qFormat="1" w:unhideWhenUsed="0" w:uiPriority="99" w:semiHidden="0" w:name="Table List 4"/>
    <w:lsdException w:qFormat="1" w:unhideWhenUsed="0" w:uiPriority="99" w:semiHidden="0" w:name="Table List 5"/>
    <w:lsdException w:qFormat="1" w:unhideWhenUsed="0" w:uiPriority="99" w:semiHidden="0" w:name="Table List 6"/>
    <w:lsdException w:qFormat="1" w:unhideWhenUsed="0" w:uiPriority="99" w:semiHidden="0" w:name="Table List 7"/>
    <w:lsdException w:qFormat="1" w:unhideWhenUsed="0" w:uiPriority="99" w:semiHidden="0" w:name="Table List 8"/>
    <w:lsdException w:qFormat="1" w:unhideWhenUsed="0" w:uiPriority="99" w:semiHidden="0" w:name="Table 3D effects 1"/>
    <w:lsdException w:qFormat="1" w:unhideWhenUsed="0" w:uiPriority="99" w:semiHidden="0" w:name="Table 3D effects 2"/>
    <w:lsdException w:qFormat="1" w:unhideWhenUsed="0" w:uiPriority="99" w:semiHidden="0" w:name="Table 3D effects 3"/>
    <w:lsdException w:qFormat="1" w:unhideWhenUsed="0" w:uiPriority="99" w:semiHidden="0" w:name="Table Contemporary"/>
    <w:lsdException w:qFormat="1" w:unhideWhenUsed="0" w:uiPriority="99" w:semiHidden="0" w:name="Table Elegant"/>
    <w:lsdException w:qFormat="1" w:unhideWhenUsed="0" w:uiPriority="99" w:semiHidden="0" w:name="Table Professional"/>
    <w:lsdException w:qFormat="1" w:unhideWhenUsed="0" w:uiPriority="99" w:semiHidden="0" w:name="Table Subtle 1"/>
    <w:lsdException w:qFormat="1" w:unhideWhenUsed="0" w:uiPriority="99" w:semiHidden="0" w:name="Table Subtle 2"/>
    <w:lsdException w:qFormat="1" w:unhideWhenUsed="0" w:uiPriority="99" w:semiHidden="0" w:name="Table Web 1"/>
    <w:lsdException w:qFormat="1" w:unhideWhenUsed="0" w:uiPriority="99" w:semiHidden="0" w:name="Table Web 2"/>
    <w:lsdException w:qFormat="1" w:unhideWhenUsed="0" w:uiPriority="99" w:semiHidden="0" w:name="Table Web 3"/>
    <w:lsdException w:qFormat="1" w:unhideWhenUsed="0" w:uiPriority="99" w:semiHidden="0" w:name="Balloon Text"/>
    <w:lsdException w:qFormat="1" w:unhideWhenUsed="0" w:uiPriority="99" w:semiHidden="0" w:name="Table Grid"/>
    <w:lsdException w:qFormat="1" w:unhideWhenUsed="0" w:uiPriority="99" w:semiHidden="0" w:name="Table Theme"/>
    <w:lsdException w:qFormat="1" w:unhideWhenUsed="0" w:uiPriority="99" w:semiHidden="0" w:name="Light Shading"/>
    <w:lsdException w:qFormat="1" w:unhideWhenUsed="0" w:uiPriority="99" w:semiHidden="0" w:name="Light List"/>
    <w:lsdException w:qFormat="1" w:unhideWhenUsed="0" w:uiPriority="99" w:semiHidden="0" w:name="Light Grid"/>
    <w:lsdException w:qFormat="1" w:unhideWhenUsed="0" w:uiPriority="99" w:semiHidden="0" w:name="Medium Shading 1"/>
    <w:lsdException w:qFormat="1" w:unhideWhenUsed="0" w:uiPriority="99" w:semiHidden="0" w:name="Medium Shading 2"/>
    <w:lsdException w:qFormat="1" w:unhideWhenUsed="0" w:uiPriority="99" w:semiHidden="0" w:name="Medium List 1"/>
    <w:lsdException w:qFormat="1" w:unhideWhenUsed="0" w:uiPriority="99" w:semiHidden="0" w:name="Medium List 2"/>
    <w:lsdException w:qFormat="1" w:unhideWhenUsed="0" w:uiPriority="99" w:semiHidden="0" w:name="Medium Grid 1"/>
    <w:lsdException w:qFormat="1" w:unhideWhenUsed="0" w:uiPriority="99" w:semiHidden="0" w:name="Medium Grid 2"/>
    <w:lsdException w:qFormat="1" w:unhideWhenUsed="0" w:uiPriority="99" w:semiHidden="0" w:name="Medium Grid 3"/>
    <w:lsdException w:qFormat="1" w:unhideWhenUsed="0" w:uiPriority="99" w:semiHidden="0" w:name="Dark List"/>
    <w:lsdException w:qFormat="1" w:unhideWhenUsed="0" w:uiPriority="99" w:semiHidden="0" w:name="Colorful Shading"/>
    <w:lsdException w:qFormat="1" w:unhideWhenUsed="0" w:uiPriority="99" w:semiHidden="0" w:name="Colorful List"/>
    <w:lsdException w:qFormat="1" w:unhideWhenUsed="0" w:uiPriority="99" w:semiHidden="0" w:name="Colorful Grid"/>
    <w:lsdException w:qFormat="1" w:unhideWhenUsed="0" w:uiPriority="99" w:semiHidden="0" w:name="Light Shading Accent 1"/>
    <w:lsdException w:qFormat="1" w:unhideWhenUsed="0" w:uiPriority="99" w:semiHidden="0" w:name="Light List Accent 1"/>
    <w:lsdException w:qFormat="1" w:unhideWhenUsed="0" w:uiPriority="99" w:semiHidden="0" w:name="Light Grid Accent 1"/>
    <w:lsdException w:qFormat="1" w:unhideWhenUsed="0" w:uiPriority="99" w:semiHidden="0" w:name="Medium Shading 1 Accent 1"/>
    <w:lsdException w:qFormat="1" w:unhideWhenUsed="0" w:uiPriority="99" w:semiHidden="0" w:name="Medium Shading 2 Accent 1"/>
    <w:lsdException w:qFormat="1" w:unhideWhenUsed="0" w:uiPriority="99" w:semiHidden="0" w:name="Medium List 1 Accent 1"/>
    <w:lsdException w:qFormat="1" w:unhideWhenUsed="0" w:uiPriority="99" w:semiHidden="0" w:name="Medium List 2 Accent 1"/>
    <w:lsdException w:qFormat="1" w:unhideWhenUsed="0" w:uiPriority="99" w:semiHidden="0" w:name="Medium Grid 1 Accent 1"/>
    <w:lsdException w:qFormat="1" w:unhideWhenUsed="0" w:uiPriority="99" w:semiHidden="0" w:name="Medium Grid 2 Accent 1"/>
    <w:lsdException w:qFormat="1" w:unhideWhenUsed="0" w:uiPriority="99" w:semiHidden="0" w:name="Medium Grid 3 Accent 1"/>
    <w:lsdException w:qFormat="1" w:unhideWhenUsed="0" w:uiPriority="99" w:semiHidden="0" w:name="Dark List Accent 1"/>
    <w:lsdException w:qFormat="1" w:unhideWhenUsed="0" w:uiPriority="99" w:semiHidden="0" w:name="Colorful Shading Accent 1"/>
    <w:lsdException w:qFormat="1" w:unhideWhenUsed="0" w:uiPriority="99" w:semiHidden="0" w:name="Colorful List Accent 1"/>
    <w:lsdException w:qFormat="1" w:unhideWhenUsed="0" w:uiPriority="99" w:semiHidden="0" w:name="Colorful Grid Accent 1"/>
    <w:lsdException w:qFormat="1" w:unhideWhenUsed="0" w:uiPriority="99" w:semiHidden="0" w:name="Light Shading Accent 2"/>
    <w:lsdException w:qFormat="1" w:unhideWhenUsed="0" w:uiPriority="99" w:semiHidden="0" w:name="Light List Accent 2"/>
    <w:lsdException w:qFormat="1" w:unhideWhenUsed="0" w:uiPriority="99" w:semiHidden="0" w:name="Light Grid Accent 2"/>
    <w:lsdException w:qFormat="1" w:unhideWhenUsed="0" w:uiPriority="99" w:semiHidden="0" w:name="Medium Shading 1 Accent 2"/>
    <w:lsdException w:qFormat="1" w:unhideWhenUsed="0" w:uiPriority="99" w:semiHidden="0" w:name="Medium Shading 2 Accent 2"/>
    <w:lsdException w:qFormat="1" w:unhideWhenUsed="0" w:uiPriority="99" w:semiHidden="0" w:name="Medium List 1 Accent 2"/>
    <w:lsdException w:qFormat="1" w:unhideWhenUsed="0" w:uiPriority="99" w:semiHidden="0" w:name="Medium List 2 Accent 2"/>
    <w:lsdException w:qFormat="1" w:unhideWhenUsed="0" w:uiPriority="99" w:semiHidden="0" w:name="Medium Grid 1 Accent 2"/>
    <w:lsdException w:qFormat="1" w:unhideWhenUsed="0" w:uiPriority="99" w:semiHidden="0" w:name="Medium Grid 2 Accent 2"/>
    <w:lsdException w:qFormat="1" w:unhideWhenUsed="0" w:uiPriority="99" w:semiHidden="0" w:name="Medium Grid 3 Accent 2"/>
    <w:lsdException w:qFormat="1" w:unhideWhenUsed="0" w:uiPriority="99" w:semiHidden="0" w:name="Dark List Accent 2"/>
    <w:lsdException w:qFormat="1" w:unhideWhenUsed="0" w:uiPriority="99" w:semiHidden="0" w:name="Colorful Shading Accent 2"/>
    <w:lsdException w:qFormat="1" w:unhideWhenUsed="0" w:uiPriority="99" w:semiHidden="0" w:name="Colorful List Accent 2"/>
    <w:lsdException w:qFormat="1" w:unhideWhenUsed="0" w:uiPriority="99" w:semiHidden="0" w:name="Colorful Grid Accent 2"/>
    <w:lsdException w:qFormat="1" w:unhideWhenUsed="0" w:uiPriority="99" w:semiHidden="0" w:name="Light Shading Accent 3"/>
    <w:lsdException w:qFormat="1" w:unhideWhenUsed="0" w:uiPriority="99" w:semiHidden="0" w:name="Light List Accent 3"/>
    <w:lsdException w:qFormat="1" w:unhideWhenUsed="0" w:uiPriority="99" w:semiHidden="0" w:name="Light Grid Accent 3"/>
    <w:lsdException w:qFormat="1" w:unhideWhenUsed="0" w:uiPriority="99" w:semiHidden="0" w:name="Medium Shading 1 Accent 3"/>
    <w:lsdException w:qFormat="1" w:unhideWhenUsed="0" w:uiPriority="99" w:semiHidden="0" w:name="Medium Shading 2 Accent 3"/>
    <w:lsdException w:qFormat="1" w:unhideWhenUsed="0" w:uiPriority="99" w:semiHidden="0" w:name="Medium List 1 Accent 3"/>
    <w:lsdException w:qFormat="1" w:unhideWhenUsed="0" w:uiPriority="99" w:semiHidden="0" w:name="Medium List 2 Accent 3"/>
    <w:lsdException w:qFormat="1" w:unhideWhenUsed="0" w:uiPriority="99" w:semiHidden="0" w:name="Medium Grid 1 Accent 3"/>
    <w:lsdException w:qFormat="1" w:unhideWhenUsed="0" w:uiPriority="99" w:semiHidden="0" w:name="Medium Grid 2 Accent 3"/>
    <w:lsdException w:qFormat="1" w:unhideWhenUsed="0" w:uiPriority="99" w:semiHidden="0" w:name="Medium Grid 3 Accent 3"/>
    <w:lsdException w:qFormat="1" w:unhideWhenUsed="0" w:uiPriority="99" w:semiHidden="0" w:name="Dark List Accent 3"/>
    <w:lsdException w:qFormat="1" w:unhideWhenUsed="0" w:uiPriority="99" w:semiHidden="0" w:name="Colorful Shading Accent 3"/>
    <w:lsdException w:qFormat="1" w:unhideWhenUsed="0" w:uiPriority="99" w:semiHidden="0" w:name="Colorful List Accent 3"/>
    <w:lsdException w:qFormat="1" w:unhideWhenUsed="0" w:uiPriority="99" w:semiHidden="0" w:name="Colorful Grid Accent 3"/>
    <w:lsdException w:qFormat="1" w:unhideWhenUsed="0" w:uiPriority="99" w:semiHidden="0" w:name="Light Shading Accent 4"/>
    <w:lsdException w:qFormat="1" w:unhideWhenUsed="0" w:uiPriority="99" w:semiHidden="0" w:name="Light List Accent 4"/>
    <w:lsdException w:qFormat="1" w:unhideWhenUsed="0" w:uiPriority="99" w:semiHidden="0" w:name="Light Grid Accent 4"/>
    <w:lsdException w:qFormat="1" w:unhideWhenUsed="0" w:uiPriority="99" w:semiHidden="0" w:name="Medium Shading 1 Accent 4"/>
    <w:lsdException w:qFormat="1" w:unhideWhenUsed="0" w:uiPriority="99" w:semiHidden="0" w:name="Medium Shading 2 Accent 4"/>
    <w:lsdException w:qFormat="1" w:unhideWhenUsed="0" w:uiPriority="99" w:semiHidden="0" w:name="Medium List 1 Accent 4"/>
    <w:lsdException w:qFormat="1" w:unhideWhenUsed="0" w:uiPriority="99" w:semiHidden="0" w:name="Medium List 2 Accent 4"/>
    <w:lsdException w:qFormat="1" w:unhideWhenUsed="0" w:uiPriority="99" w:semiHidden="0" w:name="Medium Grid 1 Accent 4"/>
    <w:lsdException w:qFormat="1" w:unhideWhenUsed="0" w:uiPriority="99" w:semiHidden="0" w:name="Medium Grid 2 Accent 4"/>
    <w:lsdException w:qFormat="1" w:unhideWhenUsed="0" w:uiPriority="99" w:semiHidden="0" w:name="Medium Grid 3 Accent 4"/>
    <w:lsdException w:qFormat="1" w:unhideWhenUsed="0" w:uiPriority="99" w:semiHidden="0" w:name="Dark List Accent 4"/>
    <w:lsdException w:qFormat="1" w:unhideWhenUsed="0" w:uiPriority="99" w:semiHidden="0" w:name="Colorful Shading Accent 4"/>
    <w:lsdException w:qFormat="1" w:unhideWhenUsed="0" w:uiPriority="99" w:semiHidden="0" w:name="Colorful List Accent 4"/>
    <w:lsdException w:qFormat="1" w:unhideWhenUsed="0" w:uiPriority="99" w:semiHidden="0" w:name="Colorful Grid Accent 4"/>
    <w:lsdException w:qFormat="1" w:unhideWhenUsed="0" w:uiPriority="99" w:semiHidden="0" w:name="Light Shading Accent 5"/>
    <w:lsdException w:qFormat="1" w:unhideWhenUsed="0" w:uiPriority="99" w:semiHidden="0" w:name="Light List Accent 5"/>
    <w:lsdException w:qFormat="1" w:unhideWhenUsed="0" w:uiPriority="99" w:semiHidden="0" w:name="Light Grid Accent 5"/>
    <w:lsdException w:qFormat="1" w:unhideWhenUsed="0" w:uiPriority="99" w:semiHidden="0" w:name="Medium Shading 1 Accent 5"/>
    <w:lsdException w:qFormat="1" w:unhideWhenUsed="0" w:uiPriority="99" w:semiHidden="0" w:name="Medium Shading 2 Accent 5"/>
    <w:lsdException w:qFormat="1" w:unhideWhenUsed="0" w:uiPriority="99" w:semiHidden="0" w:name="Medium List 1 Accent 5"/>
    <w:lsdException w:qFormat="1" w:unhideWhenUsed="0" w:uiPriority="99" w:semiHidden="0" w:name="Medium List 2 Accent 5"/>
    <w:lsdException w:qFormat="1" w:unhideWhenUsed="0" w:uiPriority="99" w:semiHidden="0" w:name="Medium Grid 1 Accent 5"/>
    <w:lsdException w:qFormat="1" w:unhideWhenUsed="0" w:uiPriority="99" w:semiHidden="0" w:name="Medium Grid 2 Accent 5"/>
    <w:lsdException w:qFormat="1" w:unhideWhenUsed="0" w:uiPriority="99" w:semiHidden="0" w:name="Medium Grid 3 Accent 5"/>
    <w:lsdException w:qFormat="1" w:unhideWhenUsed="0" w:uiPriority="99" w:semiHidden="0" w:name="Dark List Accent 5"/>
    <w:lsdException w:qFormat="1" w:unhideWhenUsed="0" w:uiPriority="99" w:semiHidden="0" w:name="Colorful Shading Accent 5"/>
    <w:lsdException w:qFormat="1" w:unhideWhenUsed="0" w:uiPriority="99" w:semiHidden="0" w:name="Colorful List Accent 5"/>
    <w:lsdException w:qFormat="1" w:unhideWhenUsed="0" w:uiPriority="99" w:semiHidden="0" w:name="Colorful Grid Accent 5"/>
    <w:lsdException w:qFormat="1" w:unhideWhenUsed="0" w:uiPriority="99" w:semiHidden="0" w:name="Light Shading Accent 6"/>
    <w:lsdException w:qFormat="1" w:unhideWhenUsed="0" w:uiPriority="99" w:semiHidden="0" w:name="Light List Accent 6"/>
    <w:lsdException w:qFormat="1" w:unhideWhenUsed="0" w:uiPriority="99" w:semiHidden="0" w:name="Light Grid Accent 6"/>
    <w:lsdException w:qFormat="1" w:unhideWhenUsed="0" w:uiPriority="99" w:semiHidden="0" w:name="Medium Shading 1 Accent 6"/>
    <w:lsdException w:qFormat="1" w:unhideWhenUsed="0" w:uiPriority="99" w:semiHidden="0" w:name="Medium Shading 2 Accent 6"/>
    <w:lsdException w:qFormat="1" w:unhideWhenUsed="0" w:uiPriority="99" w:semiHidden="0" w:name="Medium List 1 Accent 6"/>
    <w:lsdException w:qFormat="1" w:unhideWhenUsed="0" w:uiPriority="99" w:semiHidden="0" w:name="Medium List 2 Accent 6"/>
    <w:lsdException w:qFormat="1" w:unhideWhenUsed="0" w:uiPriority="99" w:semiHidden="0" w:name="Medium Grid 1 Accent 6"/>
    <w:lsdException w:qFormat="1" w:unhideWhenUsed="0" w:uiPriority="99" w:semiHidden="0" w:name="Medium Grid 2 Accent 6"/>
    <w:lsdException w:qFormat="1" w:unhideWhenUsed="0" w:uiPriority="99" w:semiHidden="0" w:name="Medium Grid 3 Accent 6"/>
    <w:lsdException w:qFormat="1" w:unhideWhenUsed="0" w:uiPriority="99" w:semiHidden="0" w:name="Dark List Accent 6"/>
    <w:lsdException w:qFormat="1" w:unhideWhenUsed="0" w:uiPriority="99" w:semiHidden="0" w:name="Colorful Shading Accent 6"/>
    <w:lsdException w:qFormat="1" w:unhideWhenUsed="0" w:uiPriority="99" w:semiHidden="0" w:name="Colorful List Accent 6"/>
    <w:lsdException w:qFormat="1" w:unhideWhenUsed="0" w:uiPriority="99" w:semiHidden="0" w:name="Colorful Grid Accent 6"/>
  </w:latentStyles>
  <w:style w:type="paragraph" w:default="1" w:styleId="1">
    <w:name w:val="Normal"/>
    <w:unhideWhenUsed/>
    <w:uiPriority w:val="99"/>
    <w:pPr>
      <w:widowControl w:val="0"/>
      <w:autoSpaceDE w:val="0"/>
      <w:autoSpaceDN w:val="0"/>
      <w:adjustRightInd w:val="0"/>
      <w:spacing w:beforeLines="0" w:afterLines="0"/>
    </w:pPr>
    <w:rPr>
      <w:rFonts w:hint="default" w:ascii="Arial" w:hAnsi="Arial" w:eastAsia="宋体"/>
      <w:color w:val="000000"/>
      <w:sz w:val="24"/>
      <w:szCs w:val="24"/>
    </w:rPr>
  </w:style>
  <w:style w:type="paragraph" w:styleId="2">
    <w:name w:val="heading 1"/>
    <w:unhideWhenUsed/>
    <w:uiPriority w:val="99"/>
    <w:pPr>
      <w:widowControl w:val="0"/>
      <w:autoSpaceDE w:val="0"/>
      <w:autoSpaceDN w:val="0"/>
      <w:adjustRightInd w:val="0"/>
      <w:spacing w:beforeLines="0" w:afterLines="0"/>
    </w:pPr>
    <w:rPr>
      <w:rFonts w:hint="default" w:ascii="Arial" w:hAnsi="Arial" w:eastAsia="宋体"/>
      <w:b/>
      <w:color w:val="000000"/>
      <w:sz w:val="32"/>
      <w:szCs w:val="24"/>
    </w:rPr>
  </w:style>
  <w:style w:type="paragraph" w:styleId="3">
    <w:name w:val="heading 2"/>
    <w:unhideWhenUsed/>
    <w:uiPriority w:val="99"/>
    <w:pPr>
      <w:widowControl w:val="0"/>
      <w:autoSpaceDE w:val="0"/>
      <w:autoSpaceDN w:val="0"/>
      <w:adjustRightInd w:val="0"/>
      <w:spacing w:beforeLines="0" w:afterLines="0"/>
    </w:pPr>
    <w:rPr>
      <w:rFonts w:hint="default" w:ascii="Arial" w:hAnsi="Arial" w:eastAsia="宋体"/>
      <w:b/>
      <w:i/>
      <w:color w:val="000000"/>
      <w:sz w:val="28"/>
      <w:szCs w:val="24"/>
    </w:rPr>
  </w:style>
  <w:style w:type="paragraph" w:styleId="4">
    <w:name w:val="heading 3"/>
    <w:unhideWhenUsed/>
    <w:uiPriority w:val="99"/>
    <w:pPr>
      <w:widowControl w:val="0"/>
      <w:autoSpaceDE w:val="0"/>
      <w:autoSpaceDN w:val="0"/>
      <w:adjustRightInd w:val="0"/>
      <w:spacing w:beforeLines="0" w:afterLines="0"/>
    </w:pPr>
    <w:rPr>
      <w:rFonts w:hint="default" w:ascii="Arial" w:hAnsi="Arial" w:eastAsia="宋体"/>
      <w:b/>
      <w:color w:val="000000"/>
      <w:sz w:val="26"/>
      <w:szCs w:val="24"/>
    </w:rPr>
  </w:style>
  <w:style w:type="character" w:default="1" w:styleId="6">
    <w:name w:val="Default Paragraph Font"/>
    <w:unhideWhenUsed/>
    <w:uiPriority w:val="99"/>
    <w:rPr>
      <w:rFonts w:hint="default"/>
      <w:sz w:val="24"/>
      <w:szCs w:val="24"/>
    </w:rPr>
  </w:style>
  <w:style w:type="table" w:default="1" w:styleId="5">
    <w:name w:val="Normal Table"/>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TotalTime>0</TotalTime>
  <ScaleCrop>false</ScaleCrop>
  <LinksUpToDate>false</LinksUpToDate>
  <Application>WPS Office_12.8.2.21176_F1E327BC-269C-435d-A152-05C5408002CA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2026-07-24T09:15:34Z</dcterms:created>
  <dc:creator>kylin</dc:creator>
  <cp:lastModifiedBy>kylin</cp:lastModifiedBy>
  <dcterms:modified xsi:type="dcterms:W3CDTF">2026-07-24T09:15:56Z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3B40C06505691B50CCBC626A96E0C7DE_43</vt:lpwstr>
  </property>
</Properties>
</file>