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Style w:val="8"/>
        <w:tblW w:w="15306" w:type="dxa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1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1110" w:lineRule="exact"/>
              <w:ind w:left="20"/>
              <w:jc w:val="center"/>
              <w:rPr>
                <w:rFonts w:ascii="微软雅黑" w:hAnsi="Times New Roman" w:eastAsia="微软雅黑" w:cs="微软雅黑"/>
                <w:b/>
                <w:bCs/>
                <w:sz w:val="84"/>
                <w:szCs w:val="84"/>
              </w:rPr>
            </w:pPr>
            <w:r>
              <w:rPr>
                <w:rFonts w:hint="eastAsia" w:ascii="微软雅黑" w:hAnsi="Times New Roman" w:eastAsia="微软雅黑" w:cs="微软雅黑"/>
                <w:b/>
                <w:bCs/>
                <w:sz w:val="84"/>
                <w:szCs w:val="84"/>
              </w:rPr>
              <w:t>中国人民政治协商会议岳阳市委员会</w:t>
            </w:r>
            <w:r>
              <w:rPr>
                <w:rFonts w:ascii="微软雅黑" w:hAnsi="Times New Roman" w:eastAsia="微软雅黑" w:cs="微软雅黑"/>
                <w:b/>
                <w:bCs/>
                <w:sz w:val="84"/>
                <w:szCs w:val="84"/>
              </w:rPr>
              <w:t>2025</w:t>
            </w:r>
            <w:r>
              <w:rPr>
                <w:rFonts w:hint="eastAsia" w:ascii="微软雅黑" w:hAnsi="Times New Roman" w:eastAsia="微软雅黑" w:cs="微软雅黑"/>
                <w:b/>
                <w:bCs/>
                <w:sz w:val="84"/>
                <w:szCs w:val="84"/>
              </w:rPr>
              <w:t>年度</w:t>
            </w:r>
          </w:p>
          <w:p>
            <w:pPr>
              <w:spacing w:line="1110" w:lineRule="exact"/>
              <w:ind w:left="20"/>
              <w:jc w:val="center"/>
              <w:rPr>
                <w:rFonts w:ascii="微软雅黑" w:hAnsi="Times New Roman" w:eastAsia="微软雅黑" w:cs="微软雅黑"/>
                <w:sz w:val="84"/>
                <w:szCs w:val="84"/>
              </w:rPr>
            </w:pPr>
            <w:r>
              <w:rPr>
                <w:rFonts w:hint="eastAsia" w:ascii="微软雅黑" w:hAnsi="Times New Roman" w:eastAsia="微软雅黑" w:cs="微软雅黑"/>
                <w:b/>
                <w:bCs/>
                <w:sz w:val="84"/>
                <w:szCs w:val="84"/>
              </w:rPr>
              <w:t>部门预算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525" w:lineRule="exact"/>
              <w:ind w:left="20"/>
              <w:jc w:val="center"/>
              <w:rPr>
                <w:rFonts w:ascii="Dialog" w:hAnsi="Times New Roman" w:eastAsia="Dialog" w:cs="Dialog"/>
                <w:sz w:val="44"/>
                <w:szCs w:val="44"/>
              </w:rPr>
            </w:pPr>
            <w:r>
              <w:rPr>
                <w:rFonts w:hint="eastAsia" w:ascii="Dialog" w:hAnsi="Times New Roman" w:eastAsia="Dialog" w:cs="Dialog"/>
                <w:sz w:val="44"/>
                <w:szCs w:val="44"/>
              </w:rPr>
              <w:t>目录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第一部分</w:t>
            </w: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2025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年部门预算说明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第二部分</w:t>
            </w: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2025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年部门预算公开表格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、收支总表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2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、收入总表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3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、支出总表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4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、支出预算分类汇总表（按政府预算经济分类）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5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、支出预算分类汇总表（按部门预算经济分类）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6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、财政拨款收支总表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7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、一般公共预算支出表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8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、一般公共预算基本支出表</w:t>
            </w:r>
            <w:r>
              <w:rPr>
                <w:rFonts w:ascii="Dialog" w:hAnsi="Times New Roman" w:eastAsia="Dialog" w:cs="Dialog"/>
                <w:sz w:val="32"/>
                <w:szCs w:val="32"/>
              </w:rPr>
              <w:t>-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人员经费（工资福利支出）（按政府预算经济分类）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9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、一般公共预算基本支出表</w:t>
            </w:r>
            <w:r>
              <w:rPr>
                <w:rFonts w:ascii="Dialog" w:hAnsi="Times New Roman" w:eastAsia="Dialog" w:cs="Dialog"/>
                <w:sz w:val="32"/>
                <w:szCs w:val="32"/>
              </w:rPr>
              <w:t>-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人员经费（工资福利支出）（按部门预算经济分类）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10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、一般公共预算基本支出表</w:t>
            </w:r>
            <w:r>
              <w:rPr>
                <w:rFonts w:ascii="Dialog" w:hAnsi="Times New Roman" w:eastAsia="Dialog" w:cs="Dialog"/>
                <w:sz w:val="32"/>
                <w:szCs w:val="32"/>
              </w:rPr>
              <w:t>-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人员经费（对个人和家庭的补助）（按政府预算经济分类）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11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、一般公共预算基本支出表</w:t>
            </w:r>
            <w:r>
              <w:rPr>
                <w:rFonts w:ascii="Dialog" w:hAnsi="Times New Roman" w:eastAsia="Dialog" w:cs="Dialog"/>
                <w:sz w:val="32"/>
                <w:szCs w:val="32"/>
              </w:rPr>
              <w:t>-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人员经费（对个人和家庭的补助）（按部门预算经济分类）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12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、一般公共预算基本支出表</w:t>
            </w:r>
            <w:r>
              <w:rPr>
                <w:rFonts w:ascii="Dialog" w:hAnsi="Times New Roman" w:eastAsia="Dialog" w:cs="Dialog"/>
                <w:sz w:val="32"/>
                <w:szCs w:val="32"/>
              </w:rPr>
              <w:t>-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公用经费（商品和服务支出）（按政府预算经济分类）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13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、一般公共预算基本支出表</w:t>
            </w:r>
            <w:r>
              <w:rPr>
                <w:rFonts w:ascii="Dialog" w:hAnsi="Times New Roman" w:eastAsia="Dialog" w:cs="Dialog"/>
                <w:sz w:val="32"/>
                <w:szCs w:val="32"/>
              </w:rPr>
              <w:t>-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公用经费（商品和服务支出）（按部门预算经济分类）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14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、一般公共预算“三公”经费支出表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15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、政府性基金预算支出表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16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、政府性基金预算支出分类汇总表（按政府预算经济分类）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17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、政府性基金预算支出分类汇总表（按部门预算经济分类）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18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、国有资本经营预算支出表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19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、财政专户管理资金预算支出表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20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、专项资金预算汇总表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21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、项目支出绩效目标表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22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、部门整体支出绩效目标表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23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、一般公共预算基本支出表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color w:val="FF0000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color w:val="FF0000"/>
                <w:sz w:val="32"/>
                <w:szCs w:val="32"/>
              </w:rPr>
              <w:t>注：以上部门预算公开报表中，空表表示本部门无相关收支情况。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jc w:val="center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第一部分</w:t>
            </w: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2025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年部门预算说明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firstLine="640" w:firstLineChars="20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一、部门基本概况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（一）职能职责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right="0" w:firstLine="640" w:firstLineChars="200"/>
              <w:jc w:val="both"/>
              <w:rPr>
                <w:rFonts w:ascii="Arial" w:hAnsi="Arial" w:cs="Arial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32"/>
                <w:szCs w:val="32"/>
              </w:rPr>
              <w:t>1.负责组织实施政协章程规定的任务和全国政协、湖南省政协所作的决议，履行政治协商、民主监督和参政议政的职能。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645"/>
              <w:jc w:val="both"/>
              <w:rPr>
                <w:rFonts w:hint="default" w:ascii="Arial" w:hAnsi="Arial" w:cs="Arial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32"/>
                <w:szCs w:val="32"/>
              </w:rPr>
              <w:t>2.负责市政协全体委员会议、常务委员会议、主席会议、专题议政性常委会议的会务工作。组织实施市政协全体委员会议、常务委员会议、主席会议的决议、决定。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645"/>
              <w:jc w:val="both"/>
              <w:rPr>
                <w:rFonts w:hint="default" w:ascii="Arial" w:hAnsi="Arial" w:cs="Arial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32"/>
                <w:szCs w:val="32"/>
              </w:rPr>
              <w:t>3.负责会同市委办、市政府办制订年度调研协商监督计划。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645"/>
              <w:jc w:val="both"/>
              <w:rPr>
                <w:rFonts w:hint="default" w:ascii="Arial" w:hAnsi="Arial" w:cs="Arial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32"/>
                <w:szCs w:val="32"/>
              </w:rPr>
              <w:t>4.整理、报送政协组织和委员履行职能形成的调研报告、视察报告、大会发言、建议案；收集反映社情民意，处理政协委员和人民群众的来信来访。</w:t>
            </w: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32"/>
                <w:szCs w:val="32"/>
              </w:rPr>
              <w:br w:type="textWrapping"/>
            </w:r>
            <w:r>
              <w:rPr>
                <w:rFonts w:hint="default" w:ascii="Times New Roman" w:hAnsi="Times New Roman" w:cs="Times New Roman"/>
                <w:caps w:val="0"/>
                <w:color w:val="000000"/>
                <w:spacing w:val="0"/>
                <w:sz w:val="32"/>
                <w:szCs w:val="32"/>
              </w:rPr>
              <w:t>     </w:t>
            </w: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32"/>
                <w:szCs w:val="32"/>
              </w:rPr>
              <w:t>5.研究统一战线和人民政协的理论、政策，提出人民政协履行职能的工作建议，总结地方政协的工作经验；协调和组织市政协的对内对外宣传工作。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480"/>
              <w:jc w:val="both"/>
              <w:rPr>
                <w:rFonts w:hint="default" w:ascii="Arial" w:hAnsi="Arial" w:cs="Arial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aps w:val="0"/>
                <w:color w:val="000000"/>
                <w:spacing w:val="0"/>
                <w:sz w:val="32"/>
                <w:szCs w:val="32"/>
              </w:rPr>
              <w:t> </w:t>
            </w: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32"/>
                <w:szCs w:val="32"/>
              </w:rPr>
              <w:t>6.负责委员视察、调查、评议、参观、学习、座谈、研讨等活动的具体组织和服务工作。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480"/>
              <w:jc w:val="both"/>
              <w:rPr>
                <w:rFonts w:hint="default" w:ascii="Arial" w:hAnsi="Arial" w:cs="Arial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aps w:val="0"/>
                <w:color w:val="000000"/>
                <w:spacing w:val="0"/>
                <w:sz w:val="32"/>
                <w:szCs w:val="32"/>
              </w:rPr>
              <w:t> </w:t>
            </w: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32"/>
                <w:szCs w:val="32"/>
              </w:rPr>
              <w:t>7.密切与市委、市政府有关部门和县(市、区)政协的工作联系；负责联络各民主党派市委、市工商联、市知联会。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480"/>
              <w:jc w:val="both"/>
              <w:rPr>
                <w:rFonts w:hint="default" w:ascii="Arial" w:hAnsi="Arial" w:cs="Arial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aps w:val="0"/>
                <w:color w:val="000000"/>
                <w:spacing w:val="0"/>
                <w:sz w:val="32"/>
                <w:szCs w:val="32"/>
              </w:rPr>
              <w:t> </w:t>
            </w: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32"/>
                <w:szCs w:val="32"/>
              </w:rPr>
              <w:t>8.负责市政协机关的机构编制、人事管理和机关事务管理工作。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480"/>
              <w:jc w:val="both"/>
              <w:rPr>
                <w:rFonts w:hint="default" w:ascii="Arial" w:hAnsi="Arial" w:cs="Arial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aps w:val="0"/>
                <w:color w:val="000000"/>
                <w:spacing w:val="0"/>
                <w:sz w:val="32"/>
                <w:szCs w:val="32"/>
              </w:rPr>
              <w:t> </w:t>
            </w: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32"/>
                <w:szCs w:val="32"/>
              </w:rPr>
              <w:t>9.承办市政协全体委员会议、常务委员会议、主席会议交办的其它事项。</w:t>
            </w:r>
          </w:p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firstLine="640" w:firstLineChars="20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（二）机构设置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根据编办核定，市政协机关办事机构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个和专门委员会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</w:rPr>
              <w:t>7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个，共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</w:rPr>
              <w:t>9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个正处级机构，分别为办公室、研究室、委员学习联络委员会、提案委员会、经济科技和外事委员会、农业和农村委员会、人口资源环境委员会、文化教育卫生体育和文史委员会、社会法制和民族宗教委员。办公室内设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个职能科室，分别为办公室秘书科、财务科、政工科、法制信访科、课题预研科、宣传信息科。研究室内设综合科，提案委员会下设综合科、提案督办科，其他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个专门工作委员会各分别内设综合科。机关党委、机关纪委、离退休人员管理服务科按有关章程和规定设置。核定办公室正科级事业单位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个，即新闻宣传中心和政协委员服务中心。核定市政协机关行政编制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</w:rPr>
              <w:t>44+2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</w:rPr>
              <w:t>(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不含市政协领导编制，其中周转编制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个），机关后勤服务事业编制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</w:rPr>
              <w:t>9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个，全额事业编制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个。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二、部门预算构成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本部门预算为汇总预算，纳入编制范围的预算单位包括：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本单位预算仅含本级预算。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三、部门收支总体情况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本部门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年没有政府性基金预算拨款、国有资本经营预算收入和纳入专户管理的非税收入拨款收入，也没有使用政府性基金预算拨款、国有资本经营预算收入和纳入专户管理的非税收入拨款安排的支出，所以公开的附件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17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18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19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表均为空。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firstLine="640" w:firstLineChars="20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（一）收入预算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包括一般公共预算、政府性基金、国有资本经营预算等财政拨款收入，以及经营收入、事业收入等单位资金。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年度本部门收入预算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2026.31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万元，其中，一般公共预算拨款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2026.31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万元，政府性基金预算资金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(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所以公开的附件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17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为空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)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，国有资本经营预算资金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(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所以公开的附件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18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为空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)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，财政专户管理资金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(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所以公开的附件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19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为空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)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，上级补助收入资金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万元，事业单位经营收入资金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万元，上年结转结余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万元。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(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数据来源见表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2)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本部门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年收入较去年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减少330.75万元，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eastAsia="zh-CN"/>
              </w:rPr>
              <w:t>下降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14.03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%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主要是因为一项目收入预算减少；二有人员退休导致人员经费收入预算减少。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firstLine="640" w:firstLineChars="20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（二）支出预算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2025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年本部门支出预算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2026.31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万元，其中，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一般公共服务支出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1683.80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208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社会保障和就业支出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132.16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210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卫生健康支出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121.74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221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住房保障支出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88.61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万元，支出较去年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减少330.75万元，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eastAsia="zh-CN"/>
              </w:rPr>
              <w:t>下降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14.03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%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主要是因为一项目支出预算减少；二有人员退休导致人员经费支出预算减少。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四、一般公共预算拨款支出预算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2025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年一般公共预算拨款支出预算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2026.31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万元，其中，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一般公共服务支出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1683.80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万元，占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83.1%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；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208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社会保障和就业支出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132.16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万元，占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6.52%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；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210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卫生健康支出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121.74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万元，占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6.01%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；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221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住房保障支出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88.61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万元，占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4.37%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；具体安排情况如下：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firstLine="640" w:firstLineChars="20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（一）基本支出：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年基本支出年初预算数为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1644.81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万元（数据来源见表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23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），是指为保障单位机构正常运转、完成日常工作任务而发生的各项支出，包括用于基本工资、津贴补贴等人员经费以及办公费、印刷费、水电费、差旅费等日常公用经费。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（二）项目支出：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年项目支出年初预算数为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381.50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万元（数据来源见表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），是指部门为完成特定行政工作任务或事业发展目标而发生的支出，包括有关业务工作经费、运行维护经费、其他事业发展资金等。其中：日常工作经费专项支出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381.50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主要用于全年一次的政协全体会议及常务委员会议等会议方面；办公楼物业、临聘人员劳务费运转保障方面；开展重点调研、督办提案、课题研究等工作，切实履行政协政治协商、民主监督、参政议政的职能方面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五、政府性基金预算支出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2025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年度本部门无政府性基金安排的支出，所以公开的附件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15-17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（政府性基金预算）为空。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六、其他重要事项的情况说明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firstLine="640" w:firstLineChars="20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（一）机关运行经费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本部门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年机关运行经费当年一般公共预算拨款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295.31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万元（数据来源见表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12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），比上一年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减少15.04万元，降低4.85%。主要原因一是预算人数减少；二是公务车辆核减，公务用车运行费减少。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（二）“三公”经费预算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本部门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年“三公”经费预算数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89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万元（数据来源见表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14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），其中，公务接待费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20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万元，因公出国（境）费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5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万元，公务用车购置及运行费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54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万元（其中，公务用车购置费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万元，公务用车运行费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54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万元）。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年三公经费预算较上年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减少19万元，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eastAsia="zh-CN"/>
              </w:rPr>
              <w:t>下降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17.59%，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主要原因一是2024年有购置公务用车预算；二是公务车辆减少，公务用车运行费减少。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firstLine="640" w:firstLineChars="20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（三）一般性支出情况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本部门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年会议费预算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万元（数据来源见表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13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会议费、培训费），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会议费列支主要来源于项目支出日常工作经费中，拟召开60次会议，人数2800余人，内容为1次政协全体会议、政协常务委员会议、界别协商会、政协工作会议等；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培训费预算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培训费列支主要来源于项目支出日常工作经费中，拟开展10次培训，人数600余人，内容为政协委员、政协机关干部为政协履职及政协业务知识培训；2025年度本部门未计划举办节庆、晚会、论坛、赛事活动。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firstLine="640" w:firstLineChars="20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（四）委托业务费情况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本部门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年本级行政事业单位委托业务费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与上年持平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，没有增减金额，没有增减比值。</w:t>
            </w:r>
            <w:bookmarkStart w:id="0" w:name="_GoBack"/>
            <w:bookmarkEnd w:id="0"/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主要原因是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委托业务费两年都在项目支出里列支。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（五）政府采购情况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本部门2025年政府采购预算总额605.84万元，其中工程类35万元，货物类103.32万元，服务类467.52万元。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 w:firstLineChars="20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（六）国有资产占有使用及新增资产配置情况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0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20" w:right="0" w:firstLine="640" w:firstLineChars="200"/>
              <w:rPr>
                <w:rFonts w:ascii="Arial" w:hAnsi="Arial" w:cs="Arial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32"/>
                <w:szCs w:val="32"/>
              </w:rPr>
              <w:t>截至上年底，本部门共有车辆10辆，其中领导干部用车1辆，一般公务用车5辆，其他用车4辆。单位价值50万元以上通用设备0台，单位价值100万元以上专用设备0台。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20" w:right="0" w:firstLine="0"/>
              <w:rPr>
                <w:rFonts w:hint="default" w:ascii="Arial" w:hAnsi="Arial" w:cs="Arial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32"/>
                <w:szCs w:val="32"/>
              </w:rPr>
              <w:t>  2025年拟报废处置车辆0辆，其中：报废处置领导干部用车0辆，报废处置一般公务用车0辆，报废处置其他用车0辆，报废处置单位价值50万元以上通用设备0台，报废处置单位价值100万元以上通用设备0台。拟新增配置车辆0辆，其中领导干部用车0辆，一般公务用车0辆，其他用车0辆。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20" w:right="0" w:firstLine="0"/>
              <w:rPr>
                <w:rFonts w:hint="default" w:ascii="Arial" w:hAnsi="Arial" w:cs="Arial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32"/>
                <w:szCs w:val="32"/>
              </w:rPr>
              <w:t>  2025年度本部门未计划处置或新增车辆、设备等（2025年1月已无偿调剂的1辆公务用车至机关事务管理局，将于2025年在账务系统中做资产调剂）。</w:t>
            </w:r>
          </w:p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firstLine="640" w:firstLineChars="20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（七）预算绩效目标说明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   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本部门所有支出实行绩效目标管理。纳入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年部门整体支出绩效目标的金额为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2026.31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万元，其中，基本支出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1644.81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万元，项目支出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381.50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万元，详见文尾附表中部门预算公开表格的表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21-22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七、名词解释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 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机关运行经费：是指各部门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 2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“三公”经费：纳入财政预算管理的“三公“经费，是指用一般公共预算拨款安排的公务接待费、公务用车购置及运行维护费和因公出国（境）费。其中，公务接待费反映部门按规定开支的各类公务接待支出；公务用车购置及运行费反映部门公务用车车辆购置支出（含车辆购置税），以及燃料费、维修费、保险费等支出；因公出国（境）费反映部门公务出国（境）的国际旅费、国外城市间交通费、食宿费等支出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jc w:val="center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第二部分</w:t>
            </w: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2025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年部门预算公开表格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、收支总表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2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、收入总表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3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、支出总表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4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、支出预算分类汇总表（按政府预算经济分类）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、支出预算分类汇总表（按部门预算经济分类）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、财政拨款收支总表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7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、一般公共预算支出表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8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、一般公共预算基本支出表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-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人员经费（工资福利支出）（按政府预算经济分类）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9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、一般公共预算基本支出表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-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人员经费（工资福利支出）（按部门预算经济分类）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、一般公共预算基本支出表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-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人员经费（对个人和家庭的补助）（按政府预算经济分类）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、一般公共预算基本支出表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-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人员经费（对个人和家庭的补助）（按部门预算经济分类）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12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、一般公共预算基本支出表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-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公用经费（商品和服务支出）（按政府预算经济分类）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13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、一般公共预算基本支出表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-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公用经费（商品和服务支出）（按部门预算经济分类）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14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、一般公共预算“三公”经费支出表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、政府性基金预算支出表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、政府性基金预算支出分类汇总表（按政府预算经济分类）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17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、政府性基金预算支出分类汇总表（按部门预算经济分类）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18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、国有资本经营预算支出表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19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、财政专户管理资金预算支出表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20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、专项资金预算汇总表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21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、项目支出绩效目标表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22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、部门整体支出绩效目标表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23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、一般公共预算基本支出表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color w:val="FF0000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FF0000"/>
                <w:sz w:val="32"/>
                <w:szCs w:val="32"/>
              </w:rPr>
              <w:t>注：以上部门预算公开报表中，空表表示本部门无相关收支情况。</w:t>
            </w:r>
          </w:p>
        </w:tc>
      </w:tr>
    </w:tbl>
    <w:p/>
    <w:sectPr>
      <w:pgSz w:w="18708" w:h="15840"/>
      <w:pgMar w:top="388" w:right="1080" w:bottom="388" w:left="10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Dialog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720"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800"/>
  <w:drawingGridVerticalOrigin w:val="1440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2464C"/>
    <w:rsid w:val="00A2464C"/>
    <w:rsid w:val="06FD5A20"/>
    <w:rsid w:val="0FA061D1"/>
    <w:rsid w:val="126C2167"/>
    <w:rsid w:val="16890894"/>
    <w:rsid w:val="194F72E1"/>
    <w:rsid w:val="1BC67F77"/>
    <w:rsid w:val="1C543654"/>
    <w:rsid w:val="1C5A4733"/>
    <w:rsid w:val="224E0902"/>
    <w:rsid w:val="2451241E"/>
    <w:rsid w:val="25355CBA"/>
    <w:rsid w:val="25585D1F"/>
    <w:rsid w:val="25E128CD"/>
    <w:rsid w:val="2981013C"/>
    <w:rsid w:val="2AB51C1C"/>
    <w:rsid w:val="2CB04B66"/>
    <w:rsid w:val="32350691"/>
    <w:rsid w:val="3275021D"/>
    <w:rsid w:val="345277AD"/>
    <w:rsid w:val="351427B8"/>
    <w:rsid w:val="377F2698"/>
    <w:rsid w:val="3FF16565"/>
    <w:rsid w:val="4231076C"/>
    <w:rsid w:val="45966797"/>
    <w:rsid w:val="484255C9"/>
    <w:rsid w:val="4F236272"/>
    <w:rsid w:val="4F3F4988"/>
    <w:rsid w:val="4F7540C1"/>
    <w:rsid w:val="51FD6DDF"/>
    <w:rsid w:val="57873A68"/>
    <w:rsid w:val="5D4728CD"/>
    <w:rsid w:val="5E047C7A"/>
    <w:rsid w:val="5E920BE0"/>
    <w:rsid w:val="61130C4D"/>
    <w:rsid w:val="61615668"/>
    <w:rsid w:val="6A387970"/>
    <w:rsid w:val="71F908E8"/>
    <w:rsid w:val="73C6468A"/>
    <w:rsid w:val="74986F4A"/>
    <w:rsid w:val="771168FC"/>
    <w:rsid w:val="787210A3"/>
    <w:rsid w:val="78F32359"/>
    <w:rsid w:val="7A05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color w:val="000000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outlineLvl w:val="0"/>
    </w:pPr>
    <w:rPr>
      <w:b/>
      <w:bCs/>
      <w:sz w:val="32"/>
      <w:szCs w:val="32"/>
    </w:rPr>
  </w:style>
  <w:style w:type="paragraph" w:styleId="3">
    <w:name w:val="heading 2"/>
    <w:basedOn w:val="1"/>
    <w:next w:val="1"/>
    <w:link w:val="11"/>
    <w:qFormat/>
    <w:uiPriority w:val="99"/>
    <w:pPr>
      <w:outlineLvl w:val="1"/>
    </w:pPr>
    <w:rPr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12"/>
    <w:qFormat/>
    <w:uiPriority w:val="99"/>
    <w:pPr>
      <w:outlineLvl w:val="2"/>
    </w:pPr>
    <w:rPr>
      <w:b/>
      <w:bCs/>
      <w:sz w:val="26"/>
      <w:szCs w:val="2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1">
    <w:name w:val="标题 2 Char"/>
    <w:basedOn w:val="9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标题 3 Char"/>
    <w:basedOn w:val="9"/>
    <w:link w:val="4"/>
    <w:semiHidden/>
    <w:qFormat/>
    <w:uiPriority w:val="9"/>
    <w:rPr>
      <w:b/>
      <w:bCs/>
      <w:sz w:val="32"/>
      <w:szCs w:val="32"/>
    </w:rPr>
  </w:style>
  <w:style w:type="character" w:customStyle="1" w:styleId="13">
    <w:name w:val="页眉 Char"/>
    <w:basedOn w:val="9"/>
    <w:link w:val="6"/>
    <w:semiHidden/>
    <w:qFormat/>
    <w:uiPriority w:val="99"/>
    <w:rPr>
      <w:rFonts w:ascii="Arial" w:hAnsi="Arial" w:cs="Arial"/>
      <w:color w:val="000000"/>
      <w:kern w:val="0"/>
      <w:sz w:val="18"/>
      <w:szCs w:val="18"/>
    </w:rPr>
  </w:style>
  <w:style w:type="character" w:customStyle="1" w:styleId="14">
    <w:name w:val="页脚 Char"/>
    <w:basedOn w:val="9"/>
    <w:link w:val="5"/>
    <w:semiHidden/>
    <w:qFormat/>
    <w:uiPriority w:val="99"/>
    <w:rPr>
      <w:rFonts w:ascii="Arial" w:hAnsi="Arial" w:cs="Arial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587</Words>
  <Characters>3346</Characters>
  <Lines>27</Lines>
  <Paragraphs>7</Paragraphs>
  <TotalTime>19</TotalTime>
  <ScaleCrop>false</ScaleCrop>
  <LinksUpToDate>false</LinksUpToDate>
  <CharactersWithSpaces>3926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2026-04-20T01:49:00Z</dcterms:created>
  <dc:creator>PC</dc:creator>
  <cp:lastModifiedBy>笑魂魂</cp:lastModifiedBy>
  <dcterms:modified xsi:type="dcterms:W3CDTF">2026-07-24T08:51:30Z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