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 w14:paraId="5003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16577F">
            <w:pPr>
              <w:spacing w:beforeLines="0" w:afterLines="0" w:line="1110" w:lineRule="exact"/>
              <w:ind w:left="20"/>
              <w:jc w:val="center"/>
              <w:rPr>
                <w:rFonts w:hint="eastAsia" w:ascii="微软雅黑" w:hAnsi="微软雅黑" w:eastAsia="微软雅黑"/>
                <w:b/>
                <w:sz w:val="8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84"/>
                <w:szCs w:val="24"/>
              </w:rPr>
              <w:t>岳阳市美术馆2025年度</w:t>
            </w:r>
          </w:p>
          <w:p w14:paraId="258CFA37">
            <w:pPr>
              <w:spacing w:beforeLines="0" w:afterLines="0" w:line="1110" w:lineRule="exact"/>
              <w:ind w:left="20"/>
              <w:jc w:val="center"/>
              <w:rPr>
                <w:rFonts w:hint="eastAsia" w:ascii="微软雅黑" w:hAnsi="微软雅黑" w:eastAsia="微软雅黑"/>
                <w:sz w:val="8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84"/>
                <w:szCs w:val="24"/>
              </w:rPr>
              <w:t>单位预算</w:t>
            </w:r>
          </w:p>
        </w:tc>
      </w:tr>
      <w:tr w14:paraId="34B7B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3F929E">
            <w:pPr>
              <w:spacing w:beforeLines="0" w:afterLines="0" w:line="525" w:lineRule="exact"/>
              <w:ind w:left="20"/>
              <w:jc w:val="center"/>
              <w:rPr>
                <w:rFonts w:hint="eastAsia" w:ascii="Dialog" w:hAnsi="Dialog"/>
                <w:sz w:val="44"/>
                <w:szCs w:val="24"/>
              </w:rPr>
            </w:pPr>
            <w:r>
              <w:rPr>
                <w:rFonts w:hint="eastAsia" w:ascii="Dialog" w:hAnsi="Dialog"/>
                <w:sz w:val="44"/>
                <w:szCs w:val="24"/>
              </w:rPr>
              <w:t>目录</w:t>
            </w:r>
          </w:p>
        </w:tc>
      </w:tr>
      <w:tr w14:paraId="5F95A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76A83C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12EB0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843DB2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第一部分  2025年单位预算说明</w:t>
            </w:r>
          </w:p>
        </w:tc>
      </w:tr>
      <w:tr w14:paraId="3F8F4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B42DD3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第二部分  2025年单位预算公开表格</w:t>
            </w:r>
          </w:p>
        </w:tc>
      </w:tr>
      <w:tr w14:paraId="5FA93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12F45E9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1、收支总表</w:t>
            </w:r>
          </w:p>
        </w:tc>
      </w:tr>
      <w:tr w14:paraId="1F3A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1755953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2、收入总表</w:t>
            </w:r>
          </w:p>
        </w:tc>
      </w:tr>
      <w:tr w14:paraId="71AFA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155E37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3、支出总表</w:t>
            </w:r>
          </w:p>
        </w:tc>
      </w:tr>
      <w:tr w14:paraId="7A10E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85A33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4、支出预算分类汇总表（按政府预算经济分类）</w:t>
            </w:r>
          </w:p>
        </w:tc>
      </w:tr>
      <w:tr w14:paraId="6632A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0C7FA2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5、支出预算分类汇总表（按部门预算经济分类）</w:t>
            </w:r>
          </w:p>
        </w:tc>
      </w:tr>
      <w:tr w14:paraId="1491D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A64310F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6、财政拨款收支总表</w:t>
            </w:r>
          </w:p>
        </w:tc>
      </w:tr>
      <w:tr w14:paraId="57B6F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FD71F8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7、一般公共预算支出表</w:t>
            </w:r>
          </w:p>
        </w:tc>
      </w:tr>
      <w:tr w14:paraId="1E2AB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4D3434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 w14:paraId="15719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0C6497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 w14:paraId="0D2FB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E4DA4E0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 w14:paraId="6B53F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8F2AC6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 w14:paraId="7489A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FD7722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 w14:paraId="05E6C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6937345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 w14:paraId="31D7F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42C9CA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14、一般公共预算“三公”经费支出表</w:t>
            </w:r>
          </w:p>
        </w:tc>
      </w:tr>
      <w:tr w14:paraId="7A47C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0D5BCC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15、政府性基金预算支出表</w:t>
            </w:r>
          </w:p>
        </w:tc>
      </w:tr>
      <w:tr w14:paraId="4274F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1558AB6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 w14:paraId="3A2DE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F017DE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 w14:paraId="1B74E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FBF8C0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18、国有资本经营预算支出表</w:t>
            </w:r>
          </w:p>
        </w:tc>
      </w:tr>
      <w:tr w14:paraId="1369F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71C845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19、财政专户管理资金预算支出表</w:t>
            </w:r>
          </w:p>
        </w:tc>
      </w:tr>
      <w:tr w14:paraId="2F74E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67285D3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20、专项资金预算汇总表</w:t>
            </w:r>
          </w:p>
        </w:tc>
      </w:tr>
      <w:tr w14:paraId="62116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07CF43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21、项目支出绩效目标表</w:t>
            </w:r>
          </w:p>
        </w:tc>
      </w:tr>
      <w:tr w14:paraId="56F97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263CE8F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22、单位整体支出绩效目标表</w:t>
            </w:r>
          </w:p>
        </w:tc>
      </w:tr>
      <w:tr w14:paraId="09EA3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686394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23、一般公共预算基本支出表</w:t>
            </w:r>
          </w:p>
        </w:tc>
      </w:tr>
      <w:tr w14:paraId="7506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5562897">
            <w:pPr>
              <w:spacing w:beforeLines="0" w:afterLines="0" w:line="375" w:lineRule="exact"/>
              <w:ind w:left="20"/>
              <w:rPr>
                <w:rFonts w:hint="eastAsia" w:ascii="Dialog" w:hAnsi="Dialog"/>
                <w:color w:val="FF0000"/>
                <w:sz w:val="32"/>
                <w:szCs w:val="24"/>
              </w:rPr>
            </w:pPr>
            <w:r>
              <w:rPr>
                <w:rFonts w:hint="eastAsia" w:ascii="Dialog" w:hAnsi="Dialog"/>
                <w:color w:val="FF0000"/>
                <w:sz w:val="32"/>
                <w:szCs w:val="24"/>
              </w:rPr>
              <w:t>注：以上单位预算公开报表中，空表表示本单位无相关收支情况。</w:t>
            </w:r>
          </w:p>
        </w:tc>
      </w:tr>
      <w:tr w14:paraId="5CDC8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04DB54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75605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ABD3722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28D6B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CF710B">
            <w:pPr>
              <w:spacing w:beforeLines="0" w:afterLines="0" w:line="375" w:lineRule="exact"/>
              <w:ind w:left="20"/>
              <w:jc w:val="center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第一部分  2025年单位预算说明</w:t>
            </w:r>
          </w:p>
        </w:tc>
      </w:tr>
      <w:tr w14:paraId="345D1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DC9DD76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67E22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1F6662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一、单位基本概况</w:t>
            </w:r>
          </w:p>
        </w:tc>
      </w:tr>
      <w:tr w14:paraId="0DAC3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C5C434F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（一）职能职责</w:t>
            </w:r>
          </w:p>
        </w:tc>
      </w:tr>
      <w:tr w14:paraId="60CCA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43BEF59">
            <w:pPr>
              <w:spacing w:beforeLines="0" w:afterLines="0" w:line="375" w:lineRule="exact"/>
              <w:ind w:left="20"/>
              <w:rPr>
                <w:rFonts w:hint="default" w:ascii="宋体" w:hAnsi="宋体" w:eastAsia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 xml:space="preserve">   创作研究艺术、促进艺术繁荣。开展书法、美术、摄影创作、展览、教育以及艺术品收藏研究。 </w:t>
            </w:r>
          </w:p>
        </w:tc>
      </w:tr>
      <w:tr w14:paraId="6E84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00B39A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（二）机构设置</w:t>
            </w:r>
          </w:p>
        </w:tc>
      </w:tr>
      <w:tr w14:paraId="176C4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D7F5274">
            <w:pPr>
              <w:spacing w:beforeLines="0" w:afterLines="0" w:line="375" w:lineRule="exact"/>
              <w:ind w:left="20"/>
              <w:rPr>
                <w:rFonts w:hint="default" w:ascii="宋体" w:hAnsi="宋体" w:eastAsia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 xml:space="preserve">  美术馆设置办公室、展览策划部、学术研究部、典藏部、宣传推广部、公共教育部、信息技术部等7个工作部门。馆内1-3层为展厅，并设置公共教育室、会议室、体验室、临摹室、图书资料室、休闲区等多种配套服务设施，为公众提供不同形式的文化及美育服务。</w:t>
            </w:r>
          </w:p>
        </w:tc>
      </w:tr>
      <w:tr w14:paraId="61B01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7A3FD9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二、单位预算单位构成</w:t>
            </w:r>
          </w:p>
        </w:tc>
      </w:tr>
      <w:tr w14:paraId="731C2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0CDC1D2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本单位预算仅含本级预算。</w:t>
            </w:r>
          </w:p>
        </w:tc>
      </w:tr>
      <w:tr w14:paraId="2A83D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CF1B99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三、单位收支总体情况</w:t>
            </w:r>
          </w:p>
        </w:tc>
      </w:tr>
      <w:tr w14:paraId="4936E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BC3432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      </w:r>
          </w:p>
        </w:tc>
      </w:tr>
      <w:tr w14:paraId="10DF8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5F8E81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（一）收入预算</w:t>
            </w:r>
          </w:p>
        </w:tc>
      </w:tr>
      <w:tr w14:paraId="4DC04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605716">
            <w:pPr>
              <w:spacing w:beforeLines="0" w:afterLines="0" w:line="375" w:lineRule="exact"/>
              <w:ind w:left="20"/>
              <w:rPr>
                <w:rFonts w:hint="default" w:ascii="宋体" w:hAnsi="宋体" w:eastAsia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包括一般公共预算、政府性基金、国有资本经营预算等财政拨款收入，以及经营收入、事业收入等单位资金。2025年度本单位收入预算188.10万元，其中，一般公共预算拨款188.10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单位2025年收入较去年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7.62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上升4.22%，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主要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原因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是因为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人员工资增加。</w:t>
            </w:r>
          </w:p>
        </w:tc>
      </w:tr>
      <w:tr w14:paraId="2EBC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08D256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（二）支出预算</w:t>
            </w:r>
          </w:p>
        </w:tc>
      </w:tr>
      <w:tr w14:paraId="3C816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B84E35">
            <w:pPr>
              <w:spacing w:beforeLines="0" w:afterLines="0" w:line="375" w:lineRule="exact"/>
              <w:ind w:left="20"/>
              <w:rPr>
                <w:rFonts w:hint="default" w:ascii="宋体" w:hAnsi="宋体" w:eastAsia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2025年本单位支出预算188.10万元，其中，207文化旅游体育与传媒支出155.64万元，208社会保障和就业支出19.68万元，221住房保障支出12.78万元，支出较去年增加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7.62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上升4.22%，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主要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原因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是因为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人员工资增加。</w:t>
            </w:r>
          </w:p>
        </w:tc>
      </w:tr>
      <w:tr w14:paraId="2B47A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0D6823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四、一般公共预算拨款支出预算</w:t>
            </w:r>
          </w:p>
        </w:tc>
      </w:tr>
      <w:tr w14:paraId="5E8D0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BBD627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2025年一般公共预算拨款支出预算188.10万元，其中，207文化旅游体育与传媒支出155.64万元，占82.74%；208社会保障和就业支出19.68万元，占10.46%；221住房保障支出12.78万元，占6.79%；具体安排情况如下：</w:t>
            </w:r>
          </w:p>
        </w:tc>
      </w:tr>
      <w:tr w14:paraId="5620F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D27B21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（一）基本支出：2025年基本支出年初预算数为184.10万元（数据来源见表23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 w14:paraId="139F5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F42B18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（二）项目支出：2025年项目支出年初预算数为4.00万元（数据来源见表20），是指单位为完成特定行政工作任务或事业发展目标而发生的支出，包括有关业务工作经费、运行维护经费、其他事业发展资金等。其中：日常工作经费专项支出4.00万元，主要用于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有关工作经费和运行维护经费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方面。</w:t>
            </w:r>
          </w:p>
        </w:tc>
      </w:tr>
      <w:tr w14:paraId="37A28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F0965E1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五、政府性基金预算支出</w:t>
            </w:r>
          </w:p>
        </w:tc>
      </w:tr>
      <w:tr w14:paraId="61542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CF08CD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2025年度本单位无政府性基金安排的支出，所以公开的附件15-17（政府性基金预算）为空。</w:t>
            </w:r>
          </w:p>
        </w:tc>
      </w:tr>
      <w:tr w14:paraId="1100A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38D17B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六、其他重要事项的情况说明</w:t>
            </w:r>
          </w:p>
        </w:tc>
      </w:tr>
      <w:tr w14:paraId="553FE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F45BEE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（一）机关运行经费</w:t>
            </w:r>
          </w:p>
        </w:tc>
      </w:tr>
      <w:tr w14:paraId="7C15E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0E5506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本单位2025无机关运行经费安排的支出，所以公开的附件表12为空。</w:t>
            </w:r>
          </w:p>
        </w:tc>
      </w:tr>
      <w:tr w14:paraId="7BF64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B83E9D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（二）“三公”经费预算</w:t>
            </w:r>
          </w:p>
        </w:tc>
      </w:tr>
      <w:tr w14:paraId="15332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251DE9F">
            <w:pPr>
              <w:spacing w:beforeLines="0" w:afterLines="0" w:line="375" w:lineRule="exact"/>
              <w:ind w:left="20"/>
              <w:rPr>
                <w:rFonts w:hint="default" w:ascii="宋体" w:hAnsi="宋体" w:eastAsia="宋体"/>
                <w:sz w:val="3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年“三公”经费预算数0.10万元（数据来源见表14），其中，公务接待费0.10万元，因公出国（境）费0.00万元，公务用车购置及运行费0.00万元（其中，公务用车购置费0.00万元，公务用车运行费0.00万元）。2025年三公经费预算较上年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万元，主要原因是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落实厉行节约要求，没有增加三公经费开支。</w:t>
            </w:r>
          </w:p>
        </w:tc>
      </w:tr>
      <w:tr w14:paraId="3AFDF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1EBFEA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（三）一般性支出情况</w:t>
            </w:r>
          </w:p>
        </w:tc>
      </w:tr>
      <w:tr w14:paraId="640EE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1F3D19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本单位2025年会议费预算0.00万元（数据来源见表13会议费、培训费），拟召开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次会议，人数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人，内容为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；培训费预算0.00万元，拟开展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次培训，人数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人，内容为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；计划举办节庆、晚会、论坛、赛事活动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万元，内容为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。2025年度本单位未计划安排会议、培训，未计划举办节庆、晚会、论坛、赛事活动。</w:t>
            </w:r>
          </w:p>
        </w:tc>
      </w:tr>
      <w:tr w14:paraId="67956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36CC65C">
            <w:pPr>
              <w:spacing w:beforeLines="0" w:afterLines="0" w:line="375" w:lineRule="exact"/>
              <w:ind w:left="20"/>
              <w:rPr>
                <w:rFonts w:hint="eastAsia" w:ascii="Dialog" w:hAnsi="Dialog"/>
                <w:color w:val="auto"/>
                <w:sz w:val="32"/>
                <w:szCs w:val="24"/>
              </w:rPr>
            </w:pPr>
            <w:r>
              <w:rPr>
                <w:rFonts w:hint="eastAsia" w:ascii="Dialog" w:hAnsi="Dialog"/>
                <w:color w:val="auto"/>
                <w:sz w:val="32"/>
                <w:szCs w:val="24"/>
              </w:rPr>
              <w:t xml:space="preserve">  （四）委托业务费情况</w:t>
            </w:r>
          </w:p>
        </w:tc>
      </w:tr>
      <w:tr w14:paraId="5B2BF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4D9600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24"/>
              </w:rPr>
              <w:t xml:space="preserve">  本单位2025年本级委托业务费</w:t>
            </w:r>
            <w:r>
              <w:rPr>
                <w:rFonts w:hint="eastAsia" w:ascii="宋体" w:hAnsi="宋体"/>
                <w:color w:val="auto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color w:val="auto"/>
                <w:sz w:val="32"/>
                <w:szCs w:val="24"/>
              </w:rPr>
              <w:t>万元，</w:t>
            </w:r>
            <w:r>
              <w:rPr>
                <w:rFonts w:hint="eastAsia" w:ascii="宋体" w:hAnsi="宋体"/>
                <w:color w:val="auto"/>
                <w:sz w:val="32"/>
                <w:szCs w:val="24"/>
                <w:lang w:val="en-US" w:eastAsia="zh-CN"/>
              </w:rPr>
              <w:t>比上年预算减少了0.32万元，无法计算比值，</w:t>
            </w:r>
            <w:r>
              <w:rPr>
                <w:rFonts w:hint="eastAsia" w:ascii="宋体" w:hAnsi="宋体" w:eastAsia="宋体"/>
                <w:color w:val="auto"/>
                <w:sz w:val="32"/>
                <w:szCs w:val="24"/>
              </w:rPr>
              <w:t>主要原因是</w:t>
            </w:r>
            <w:r>
              <w:rPr>
                <w:rFonts w:hint="eastAsia" w:ascii="宋体" w:hAnsi="宋体"/>
                <w:color w:val="auto"/>
                <w:sz w:val="32"/>
                <w:szCs w:val="24"/>
                <w:lang w:val="en-US" w:eastAsia="zh-CN"/>
              </w:rPr>
              <w:t>压缩第三方外包委托项目。</w:t>
            </w:r>
          </w:p>
        </w:tc>
      </w:tr>
      <w:tr w14:paraId="12146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F8D0095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（五）政府采购情况</w:t>
            </w:r>
          </w:p>
        </w:tc>
      </w:tr>
      <w:tr w14:paraId="18876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1FF3E71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本单位2025年政府采购预算总额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万元，其中工程类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万元，货物类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万元，服务类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万元。</w:t>
            </w:r>
          </w:p>
        </w:tc>
      </w:tr>
      <w:tr w14:paraId="1560B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946186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（六）国有资产占有使用及新增资产配置情况</w:t>
            </w:r>
          </w:p>
        </w:tc>
      </w:tr>
      <w:tr w14:paraId="22F3B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CB048B7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截至上年底，本单位共有车辆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辆，其中领导干部用车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辆。单位价值50万元以上通用设备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台，单位价值100万元以上专用设备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 xml:space="preserve">台。 </w:t>
            </w:r>
          </w:p>
          <w:p w14:paraId="55EA3E06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2025年拟报废处置车辆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辆，其中：报废处置领导干部用车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辆，报废处置一般公务用车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辆，报废处置其他用车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辆，报废处置单位价值50万元以上通用设备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台，报废处置单位价值100万元以上通用设备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台。拟新增配置车辆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辆，其中领导干部用车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辆，主要用于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，资金来源为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无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。</w:t>
            </w:r>
          </w:p>
          <w:p w14:paraId="1E022C27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2025年拟新增配备领导干部用车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辆，新增配备单位价值50万元以上通用设备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台，单位价值100万元以上专用设备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台。2025年度本单位未计划处置或新增车辆、设备等。</w:t>
            </w:r>
          </w:p>
        </w:tc>
      </w:tr>
      <w:tr w14:paraId="138CA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169DCD9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（七）预算绩效目标说明</w:t>
            </w:r>
          </w:p>
        </w:tc>
      </w:tr>
      <w:tr w14:paraId="722A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593B04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  本单位所有支出实行绩效目标管理。纳入2025年单位整体支出绩效目标的金额为188.10万元，其中，基本支出184.10万元，项目支出4.00万元，详见文尾附表中单位预算公开表格的表21-22。</w:t>
            </w:r>
          </w:p>
        </w:tc>
      </w:tr>
      <w:tr w14:paraId="39F07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E69A97"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七、名词解释</w:t>
            </w:r>
          </w:p>
        </w:tc>
      </w:tr>
      <w:tr w14:paraId="0E5D1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45C8CB7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1、机关运行经费：是指各单位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</w:p>
        </w:tc>
      </w:tr>
      <w:tr w14:paraId="21355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0830C6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      </w:r>
          </w:p>
        </w:tc>
      </w:tr>
      <w:tr w14:paraId="067CA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4E809AF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53178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A347E1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20C90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C29DE9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02083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84690B9">
            <w:pPr>
              <w:spacing w:beforeLines="0" w:afterLines="0" w:line="375" w:lineRule="exact"/>
              <w:ind w:left="20"/>
              <w:jc w:val="center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第二部分  2025年单位预算公开表格</w:t>
            </w:r>
          </w:p>
        </w:tc>
      </w:tr>
      <w:tr w14:paraId="2F45A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769CBB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1、收支总表</w:t>
            </w:r>
          </w:p>
        </w:tc>
      </w:tr>
      <w:tr w14:paraId="58CE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CE2BCF2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2、收入总表</w:t>
            </w:r>
          </w:p>
        </w:tc>
      </w:tr>
      <w:tr w14:paraId="3F64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8F3DC7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3、支出总表</w:t>
            </w:r>
          </w:p>
        </w:tc>
      </w:tr>
      <w:tr w14:paraId="30A20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EBCD8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4、支出预算分类汇总表（按政府预算经济分类）</w:t>
            </w:r>
          </w:p>
        </w:tc>
      </w:tr>
      <w:tr w14:paraId="5ADDF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34D561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5、支出预算分类汇总表（按部门预算经济分类）</w:t>
            </w:r>
          </w:p>
        </w:tc>
      </w:tr>
      <w:tr w14:paraId="483F9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0AE144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6、财政拨款收支总表</w:t>
            </w:r>
          </w:p>
        </w:tc>
      </w:tr>
      <w:tr w14:paraId="5EBD1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9ED0D4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7、一般公共预算支出表</w:t>
            </w:r>
          </w:p>
        </w:tc>
      </w:tr>
      <w:tr w14:paraId="44A6E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858C7D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 w14:paraId="7FE89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3FE5783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 w14:paraId="32C4E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7EA2A4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 w14:paraId="1D373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BD8641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 w14:paraId="01EB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731350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 w14:paraId="0E80C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CD900C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 w14:paraId="0975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351C68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14、一般公共预算“三公”经费支出表</w:t>
            </w:r>
          </w:p>
        </w:tc>
      </w:tr>
      <w:tr w14:paraId="65199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708602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15、政府性基金预算支出表</w:t>
            </w:r>
          </w:p>
        </w:tc>
      </w:tr>
      <w:tr w14:paraId="0E9E1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25328A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 w14:paraId="4741D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6D0323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 w14:paraId="75E1E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B010047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18、国有资本经营预算支出表</w:t>
            </w:r>
          </w:p>
        </w:tc>
      </w:tr>
      <w:tr w14:paraId="4463E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682A58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19、财政专户管理资金预算支出表</w:t>
            </w:r>
          </w:p>
        </w:tc>
      </w:tr>
      <w:tr w14:paraId="12FFF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CD0B103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20、专项资金预算汇总表</w:t>
            </w:r>
          </w:p>
        </w:tc>
      </w:tr>
      <w:tr w14:paraId="3EBAD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348B5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21、项目支出绩效目标表</w:t>
            </w:r>
          </w:p>
        </w:tc>
      </w:tr>
      <w:tr w14:paraId="40FA2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5D6E2A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22、单位整体支出绩效目标表</w:t>
            </w:r>
          </w:p>
        </w:tc>
      </w:tr>
      <w:tr w14:paraId="516A8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50C2FB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23、一般公共预算基本支出表</w:t>
            </w:r>
          </w:p>
        </w:tc>
      </w:tr>
      <w:tr w14:paraId="129C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696738"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color w:val="FF0000"/>
                <w:sz w:val="3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32"/>
                <w:szCs w:val="24"/>
              </w:rPr>
              <w:t>注：以上单位预算公开报表中，空表表示本单位无相关收支情况。</w:t>
            </w:r>
          </w:p>
        </w:tc>
      </w:tr>
    </w:tbl>
    <w:p w14:paraId="6C6030FC"/>
    <w:p w14:paraId="7C1BD6D0"/>
    <w:sectPr>
      <w:pgSz w:w="18708" w:h="15840"/>
      <w:pgMar w:top="388" w:right="1080" w:bottom="388" w:left="108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Dialog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96F4B"/>
    <w:rsid w:val="10596F4B"/>
    <w:rsid w:val="1F031906"/>
    <w:rsid w:val="35957DBF"/>
    <w:rsid w:val="3D4F6569"/>
    <w:rsid w:val="4D3439AC"/>
    <w:rsid w:val="5DE5340F"/>
    <w:rsid w:val="70964B21"/>
    <w:rsid w:val="7669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  <w:szCs w:val="24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3242</Words>
  <Characters>3530</Characters>
  <Lines>0</Lines>
  <Paragraphs>0</Paragraphs>
  <TotalTime>46</TotalTime>
  <ScaleCrop>false</ScaleCrop>
  <LinksUpToDate>false</LinksUpToDate>
  <CharactersWithSpaces>3625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2026-04-14T04:08:00Z</dcterms:created>
  <dc:creator>Administrator</dc:creator>
  <cp:lastModifiedBy>牧紫</cp:lastModifiedBy>
  <dcterms:modified xsi:type="dcterms:W3CDTF">2026-07-28T02:11:15Z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E2BCD96B7E054FF89C6E7E17C07D7AE6_13</vt:lpwstr>
  </property>
  <property fmtid="{D5CDD505-2E9C-101B-9397-08002B2CF9AE}" pid="4" name="KSOTemplateDocerSaveRecord">
    <vt:lpwstr>eyJoZGlkIjoiMTQ3NjI3NDc3MTZlMDQ3Mjk4MzkzZDUzMDU5ZDk4NjciLCJ1c2VySWQiOiI3OTg2OTg0NzMifQ==</vt:lpwstr>
  </property>
</Properties>
</file>