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beforeLines="0" w:afterLines="0"/>
        <w:rPr>
          <w:rFonts w:hint="default"/>
          <w:sz w:val="2"/>
          <w:szCs w:val="24"/>
        </w:rPr>
      </w:pPr>
    </w:p>
    <w:tbl>
      <w:tblPr>
        <w:tblStyle w:val="5"/>
        <w:tblW w:w="1530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30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581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1110" w:lineRule="exact"/>
              <w:ind w:left="20"/>
              <w:jc w:val="center"/>
              <w:rPr>
                <w:rFonts w:hint="eastAsia" w:ascii="微软雅黑" w:hAnsi="微软雅黑" w:eastAsia="微软雅黑"/>
                <w:b/>
                <w:sz w:val="8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84"/>
                <w:szCs w:val="24"/>
              </w:rPr>
              <w:t>岳阳市文化馆2025年度</w:t>
            </w:r>
          </w:p>
          <w:p>
            <w:pPr>
              <w:spacing w:beforeLines="0" w:afterLines="0" w:line="1110" w:lineRule="exact"/>
              <w:ind w:left="20"/>
              <w:jc w:val="center"/>
              <w:rPr>
                <w:rFonts w:hint="eastAsia" w:ascii="微软雅黑" w:hAnsi="微软雅黑" w:eastAsia="微软雅黑"/>
                <w:sz w:val="84"/>
                <w:szCs w:val="24"/>
              </w:rPr>
            </w:pPr>
            <w:r>
              <w:rPr>
                <w:rFonts w:hint="eastAsia" w:ascii="微软雅黑" w:hAnsi="微软雅黑" w:eastAsia="微软雅黑"/>
                <w:b/>
                <w:sz w:val="84"/>
                <w:szCs w:val="24"/>
              </w:rPr>
              <w:t>单位预算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525" w:lineRule="exact"/>
              <w:ind w:left="20"/>
              <w:jc w:val="center"/>
              <w:rPr>
                <w:rFonts w:hint="eastAsia" w:ascii="Dialog" w:hAnsi="Dialog"/>
                <w:sz w:val="44"/>
                <w:szCs w:val="24"/>
              </w:rPr>
            </w:pPr>
            <w:r>
              <w:rPr>
                <w:rFonts w:hint="eastAsia" w:ascii="Dialog" w:hAnsi="Dialog"/>
                <w:sz w:val="44"/>
                <w:szCs w:val="24"/>
              </w:rPr>
              <w:t>目录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第一部分  2025年单位预算说明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第二部分  2025年单位预算公开表格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1、收支总表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2、收入总表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3、支出总表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4、支出预算分类汇总表（按政府预算经济分类）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5、支出预算分类汇总表（按部门预算经济分类）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6、财政拨款收支总表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7、一般公共预算支出表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8、一般公共预算基本支出表-人员经费（工资福利支出）（按政府预算经济分类）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9、一般公共预算基本支出表-人员经费（工资福利支出）（按部门预算经济分类）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10、一般公共预算基本支出表-人员经费（对个人和家庭的补助）（按政府预算经济分类）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11、一般公共预算基本支出表-人员经费（对个人和家庭的补助）（按部门预算经济分类）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12、一般公共预算基本支出表-公用经费（商品和服务支出）（按政府预算经济分类）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13、一般公共预算基本支出表-公用经费（商品和服务支出）（按部门预算经济分类）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14、一般公共预算“三公”经费支出表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15、政府性基金预算支出表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16、政府性基金预算支出分类汇总表（按政府预算经济分类）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17、政府性基金预算支出分类汇总表（按部门预算经济分类）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18、国有资本经营预算支出表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19、财政专户管理资金预算支出表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20、专项资金预算汇总表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21、项目支出绩效目标表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22、单位整体支出绩效目标表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23、一般公共预算基本支出表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color w:val="FF0000"/>
                <w:sz w:val="32"/>
                <w:szCs w:val="24"/>
              </w:rPr>
            </w:pPr>
            <w:r>
              <w:rPr>
                <w:rFonts w:hint="eastAsia" w:ascii="Dialog" w:hAnsi="Dialog"/>
                <w:color w:val="FF0000"/>
                <w:sz w:val="32"/>
                <w:szCs w:val="24"/>
              </w:rPr>
              <w:t>注：以上单位预算公开报表中，空表表示本单位无相关收支情况。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jc w:val="center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第一部分  2025年单位预算说明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一、单位基本概况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（一）职能职责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32"/>
                <w:szCs w:val="24"/>
                <w:lang w:eastAsia="zh-CN"/>
              </w:rPr>
              <w:t>为全市“两会”和市委、市支付提供会务接待、组织高雅艺术惠民演出，各类展览，演出经纪，剧场管理等公共文化服务。组织开展群众文化活动、群众文艺创作、群众文艺辅导培训，群众文艺理论研究，文化艺术交流，民族民间文化艺术的收集、整理与保护，编辑出版综合性文艺刊物等全民艺术普及工作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（二）机构设置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根据编委核定、我单位内设部室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6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个，全部纳入202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5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年部门预算编制范围。</w:t>
            </w:r>
          </w:p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内设部室分别是：</w:t>
            </w:r>
            <w:r>
              <w:rPr>
                <w:rFonts w:hint="eastAsia" w:ascii="宋体" w:hAnsi="宋体"/>
                <w:sz w:val="32"/>
                <w:szCs w:val="24"/>
                <w:lang w:eastAsia="zh-CN"/>
              </w:rPr>
              <w:t>数字服务部、大型活动部、艺术培训部、剧场会务部、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动力技术部、办公室。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二、单位预算单位构成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32"/>
                <w:szCs w:val="24"/>
              </w:rPr>
              <w:t>本</w:t>
            </w:r>
            <w:r>
              <w:rPr>
                <w:rFonts w:hint="eastAsia" w:ascii="宋体" w:hAnsi="宋体"/>
                <w:sz w:val="32"/>
                <w:szCs w:val="24"/>
                <w:lang w:eastAsia="zh-CN"/>
              </w:rPr>
              <w:t>部门单位为二级预算单位，没有预算独立、财务独立核算的下属预算单位，因此纳入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2025年部门预算公开范围的为本单位本级预算</w:t>
            </w:r>
            <w:r>
              <w:rPr>
                <w:rFonts w:hint="eastAsia" w:ascii="宋体" w:hAnsi="宋体"/>
                <w:sz w:val="32"/>
                <w:szCs w:val="24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三、单位收支总体情况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本单位2025年没有政府性基金预算拨款、国有资本经营预算收入和纳入专户管理的非税收入拨款收入，也没有使用政府性基金预算拨款、国有资本经营预算收入和纳入专户管理的非税收入拨款安排的支出，所以公开的附件15、16、17、18、19表均为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（一）收入预算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9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</w:t>
            </w:r>
          </w:p>
          <w:tbl>
            <w:tblPr>
              <w:tblStyle w:val="5"/>
              <w:tblW w:w="15306" w:type="dxa"/>
              <w:tblInd w:w="0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5306"/>
            </w:tblGrid>
            <w:tr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209" w:hRule="atLeast"/>
              </w:trPr>
              <w:tc>
                <w:tcPr>
                  <w:tcW w:w="15306" w:type="dxa"/>
                  <w:tcBorders>
                    <w:top w:val="single" w:color="FFFFFF" w:sz="4" w:space="0"/>
                    <w:left w:val="single" w:color="FFFFFF" w:sz="4" w:space="0"/>
                    <w:bottom w:val="single" w:color="FFFFFF" w:sz="4" w:space="0"/>
                    <w:right w:val="single" w:color="FFFFFF" w:sz="4" w:space="0"/>
                    <w:tl2br w:val="nil"/>
                    <w:tr2bl w:val="nil"/>
                  </w:tcBorders>
                  <w:shd w:val="clear" w:color="auto" w:fill="FFFFFF"/>
                  <w:noWrap w:val="0"/>
                  <w:vAlign w:val="center"/>
                </w:tcPr>
                <w:p>
                  <w:pPr>
                    <w:spacing w:beforeLines="0" w:afterLines="0" w:line="375" w:lineRule="exact"/>
                    <w:ind w:left="20"/>
                    <w:rPr>
                      <w:rFonts w:hint="default" w:ascii="宋体" w:hAnsi="宋体" w:eastAsia="宋体"/>
                      <w:sz w:val="32"/>
                      <w:szCs w:val="24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/>
                      <w:sz w:val="32"/>
                      <w:szCs w:val="24"/>
                    </w:rPr>
                    <w:t xml:space="preserve">  包括一般公共预算、政府性基金、国有资本经营预算等财政拨款收入，以及经营收入、事业收入等单位资金。2025年度本单位收入预算903.75万元，其中，一般公共预算拨款903.75万元，政府性基金预算资金0.00万元(所以公开的附件17为空)，国有资本经营预算资金0.00万元(所以公开的附件18为空)，财政专户管理资金0.00万元(所以公开的附件19为空)，上级补助收入资金0.00万元，事业单位经营收入资金0.00万元，上年结转结余0.00万元。(数据来源见表2)本单位2025年收入较去年增加</w:t>
                  </w:r>
                  <w:r>
                    <w:rPr>
                      <w:rFonts w:hint="eastAsia" w:ascii="宋体" w:hAnsi="宋体"/>
                      <w:sz w:val="32"/>
                      <w:szCs w:val="24"/>
                      <w:lang w:val="en-US" w:eastAsia="zh-CN"/>
                    </w:rPr>
                    <w:t>301.05</w:t>
                  </w:r>
                  <w:r>
                    <w:rPr>
                      <w:rFonts w:hint="eastAsia" w:ascii="宋体" w:hAnsi="宋体" w:eastAsia="宋体"/>
                      <w:sz w:val="32"/>
                      <w:szCs w:val="24"/>
                    </w:rPr>
                    <w:t>万元，</w:t>
                  </w:r>
                  <w:r>
                    <w:rPr>
                      <w:rFonts w:hint="eastAsia" w:ascii="宋体" w:hAnsi="宋体"/>
                      <w:sz w:val="32"/>
                      <w:szCs w:val="24"/>
                      <w:lang w:eastAsia="zh-CN"/>
                    </w:rPr>
                    <w:t>上升</w:t>
                  </w:r>
                  <w:r>
                    <w:rPr>
                      <w:rFonts w:hint="eastAsia" w:ascii="宋体" w:hAnsi="宋体"/>
                      <w:sz w:val="32"/>
                      <w:szCs w:val="24"/>
                      <w:lang w:val="en-US" w:eastAsia="zh-CN"/>
                    </w:rPr>
                    <w:t>49.95%。</w:t>
                  </w:r>
                  <w:r>
                    <w:rPr>
                      <w:rFonts w:hint="eastAsia" w:ascii="宋体" w:hAnsi="宋体" w:eastAsia="宋体"/>
                      <w:sz w:val="32"/>
                      <w:szCs w:val="24"/>
                    </w:rPr>
                    <w:t>主要是因为</w:t>
                  </w:r>
                  <w:r>
                    <w:rPr>
                      <w:rFonts w:hint="eastAsia" w:ascii="宋体" w:hAnsi="宋体"/>
                      <w:sz w:val="32"/>
                      <w:szCs w:val="24"/>
                      <w:lang w:val="en-US" w:eastAsia="zh-CN"/>
                    </w:rPr>
                    <w:t>2025年岳阳市群众艺术馆并入。</w:t>
                  </w:r>
                </w:p>
              </w:tc>
            </w:tr>
          </w:tbl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（二）支出预算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2025年本单位支出预算903.75万元，其中，207文化旅游体育与传媒支出802.69万元，208社会保障和就业支出43.87万元，210卫生健康支出29.32万元，221住房保障支出27.87万元，支出较去年增加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301.05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万元，</w:t>
            </w:r>
            <w:r>
              <w:rPr>
                <w:rFonts w:hint="eastAsia" w:ascii="宋体" w:hAnsi="宋体"/>
                <w:sz w:val="32"/>
                <w:szCs w:val="24"/>
                <w:lang w:eastAsia="zh-CN"/>
              </w:rPr>
              <w:t>上升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49.95%。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主要是文化旅游体育与传媒支出</w:t>
            </w:r>
            <w:r>
              <w:rPr>
                <w:rFonts w:hint="eastAsia" w:ascii="宋体" w:hAnsi="宋体"/>
                <w:sz w:val="32"/>
                <w:szCs w:val="24"/>
                <w:lang w:eastAsia="zh-CN"/>
              </w:rPr>
              <w:t>增加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232.32万元，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社会保障和就业支出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27.63万元，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卫生健康支出</w:t>
            </w:r>
            <w:r>
              <w:rPr>
                <w:rFonts w:hint="eastAsia" w:ascii="宋体" w:hAnsi="宋体"/>
                <w:sz w:val="32"/>
                <w:szCs w:val="24"/>
                <w:lang w:eastAsia="zh-CN"/>
              </w:rPr>
              <w:t>增加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23.67万元，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住房保障支出</w:t>
            </w:r>
            <w:r>
              <w:rPr>
                <w:rFonts w:hint="eastAsia" w:ascii="宋体" w:hAnsi="宋体"/>
                <w:sz w:val="32"/>
                <w:szCs w:val="24"/>
                <w:lang w:eastAsia="zh-CN"/>
              </w:rPr>
              <w:t>增加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17.43万元。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四、一般公共预算拨款支出预算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2025年一般公共预算拨款支出预算903.75万元，其中，207文化旅游体育与传媒支出802.69万元，占88.82%；208社会保障和就业支出43.87万元，占4.85%；210卫生健康支出29.32万元，占3.24%；221住房保障支出27.87万元，占3.08%；具体安排情况如下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（一）基本支出：2025年基本支出年初预算数为476.20万元（数据来源见表23），是指为保障单位机构正常运转、完成日常工作任务而发生的各项支出，包括用于基本工资、津贴补贴等人员经费以及办公费、印刷费、水电费、差旅费等日常公用经费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（二）项目支出：2025年项目支出年初预算数为427.55万元（数据来源见表20），是指单位为完成特定行政工作任务或事业发展目标而发生的支出，包括有关业务工作经费、运行维护经费、其他事业发展资金等。其中：定额补助1专项支出255.55万元，主要用于为维持市文化馆日常运转所需</w:t>
            </w:r>
            <w:r>
              <w:rPr>
                <w:rFonts w:hint="eastAsia" w:ascii="宋体" w:hAnsi="宋体"/>
                <w:sz w:val="32"/>
                <w:szCs w:val="24"/>
                <w:lang w:eastAsia="zh-CN"/>
              </w:rPr>
              <w:t>水费、电费、取暖费、劳务费、物业管理费等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方面,非税执收经费专项支出168.00万元，主要用于为维持市文化馆日常运转所需经费方面,日常工作经费专项支出4.00万元，主要用于</w:t>
            </w:r>
            <w:r>
              <w:rPr>
                <w:rFonts w:hint="eastAsia" w:ascii="宋体" w:hAnsi="宋体"/>
                <w:sz w:val="32"/>
                <w:szCs w:val="24"/>
                <w:lang w:eastAsia="zh-CN"/>
              </w:rPr>
              <w:t>有关业务工作经费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等方面。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五、政府性基金预算支出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2025年度本单位无政府性基金安排的支出，所以公开的附件15-17（政府性基金预算）为空。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六、其他重要事项的情况说明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（一）机关运行经费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本单位2025年机关运行经费当年一般公共预算拨款43.87万元（数据来源见表12），比上一年增加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32.39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万元，增加主要原因是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2025年岳阳市群众艺术馆并入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（二）“三公”经费预算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本单位2025年“三公”经费预算数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4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.00万元（数据来源见表14），其中，公务接待费1.00万元，因公出国（境）费0.00万元，公务用车购置及运行费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.00万元（其中，公务用车购置费0.00万元，公务用车运行费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3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.00万元）。2025年三公经费预算较上年增加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3.5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万元，</w:t>
            </w:r>
            <w:r>
              <w:rPr>
                <w:rFonts w:hint="eastAsia" w:ascii="宋体" w:hAnsi="宋体"/>
                <w:sz w:val="32"/>
                <w:szCs w:val="24"/>
                <w:lang w:eastAsia="zh-CN"/>
              </w:rPr>
              <w:t>上升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700%。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主要原因是公务用车购置及运行费</w:t>
            </w:r>
            <w:r>
              <w:rPr>
                <w:rFonts w:hint="eastAsia" w:ascii="宋体" w:hAnsi="宋体"/>
                <w:sz w:val="32"/>
                <w:szCs w:val="24"/>
                <w:lang w:eastAsia="zh-CN"/>
              </w:rPr>
              <w:t>增加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3万元，</w:t>
            </w:r>
            <w:r>
              <w:rPr>
                <w:rFonts w:hint="eastAsia" w:ascii="宋体" w:hAnsi="宋体"/>
                <w:sz w:val="32"/>
                <w:szCs w:val="24"/>
                <w:lang w:eastAsia="zh-CN"/>
              </w:rPr>
              <w:t>公务接待费增加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0.5万元</w:t>
            </w:r>
            <w:r>
              <w:rPr>
                <w:rFonts w:hint="eastAsia" w:ascii="宋体" w:hAnsi="宋体"/>
                <w:sz w:val="32"/>
                <w:szCs w:val="24"/>
                <w:lang w:eastAsia="zh-CN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（三）一般性支出情况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75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</w:t>
            </w:r>
            <w:bookmarkStart w:id="0" w:name="OLE_LINK1"/>
            <w:r>
              <w:rPr>
                <w:rFonts w:hint="eastAsia" w:ascii="宋体" w:hAnsi="宋体" w:eastAsia="宋体"/>
                <w:sz w:val="32"/>
                <w:szCs w:val="24"/>
              </w:rPr>
              <w:t>2025年度本单位未计划安排会议、培训，未计划举办节庆、晚会、论坛、赛事活动。</w:t>
            </w:r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（四）委托业务费情况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/>
                <w:sz w:val="32"/>
                <w:szCs w:val="24"/>
                <w:highlight w:val="none"/>
              </w:rPr>
              <w:t xml:space="preserve">  本单位2025年本级委托业务费0万元，比上年预算增加0万元，上升0%，主要原因是2025年度和2024年度未安排委托业务费预算。</w:t>
            </w:r>
            <w:bookmarkStart w:id="1" w:name="_GoBack"/>
            <w:bookmarkEnd w:id="1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（五）政府采购情况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8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本单位2025年政府采购预算总额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888.03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万元，其中工程类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万元，货物类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18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万元，服务类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870.03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万元。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（六）国有资产占有使用及新增资产配置情况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0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firstLine="320" w:firstLineChars="10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截至上年底，本单位共有车辆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辆，其中领导干部用车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辆，一般公务用车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辆，其他用车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1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辆。单位价值50万元以上通用设备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台，单位价值100万元以上专用设备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>0</w:t>
            </w:r>
            <w:r>
              <w:rPr>
                <w:rFonts w:hint="eastAsia" w:ascii="宋体" w:hAnsi="宋体" w:eastAsia="宋体"/>
                <w:sz w:val="32"/>
                <w:szCs w:val="24"/>
              </w:rPr>
              <w:t xml:space="preserve">台。 </w:t>
            </w:r>
          </w:p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</w:t>
            </w:r>
            <w:r>
              <w:rPr>
                <w:rFonts w:hint="eastAsia" w:ascii="宋体" w:hAnsi="宋体"/>
                <w:sz w:val="32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sz w:val="32"/>
                <w:szCs w:val="24"/>
              </w:rPr>
              <w:t>2025年度本单位未计划处置或新增车辆、设备等</w:t>
            </w:r>
            <w:r>
              <w:rPr>
                <w:rFonts w:hint="eastAsia" w:ascii="宋体" w:hAnsi="宋体"/>
                <w:sz w:val="32"/>
                <w:szCs w:val="24"/>
                <w:lang w:eastAsia="zh-CN"/>
              </w:rPr>
              <w:t>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（七）预算绩效目标说明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  本单位所有支出实行绩效目标管理。纳入2025年单位整体支出绩效目标的金额为903.75万元，其中，基本支出476.20万元，项目支出427.55万元，详见文尾附表中单位预算公开表格的表21-22。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 xml:space="preserve">  七、名词解释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1、机关运行经费：是指各单位的公用经费，包括办公及印刷费、邮电费、差旅费、会议费、福利费、日常维修费、专用资料及一般设备购置费、办公用房水电费、办公用房取暖费、办公用房物业管理费、公务用车运行维护费以及其他费用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5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 xml:space="preserve">  2、“三公”经费：纳入财政预算管理的“三公“经费，是指用一般公共预算拨款安排的公务接待费、公务用车购置及运行维护费和因公出国（境）费。其中，公务接待费反映单位按规定开支的各类公务接待支出；公务用车购置及运行费反映单位公务用车车辆购置支出（含车辆购置税），以及燃料费、维修费、保险费等支出；因公出国（境）费反映单位公务出国（境）的国际旅费、国外城市间交通费、食宿费等支出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2" w:hRule="atLeast"/>
        </w:trPr>
        <w:tc>
          <w:tcPr>
            <w:tcW w:w="15306" w:type="dxa"/>
            <w:tcBorders>
              <w:top w:val="single" w:color="FFFFFF" w:sz="8" w:space="0"/>
              <w:left w:val="single" w:color="FFFFFF" w:sz="8" w:space="0"/>
              <w:bottom w:val="single" w:color="FFFFFF" w:sz="8" w:space="0"/>
              <w:right w:val="single" w:color="FFFFFF" w:sz="8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/>
              <w:rPr>
                <w:rFonts w:hint="default"/>
                <w:sz w:val="24"/>
                <w:szCs w:val="24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jc w:val="center"/>
              <w:rPr>
                <w:rFonts w:hint="eastAsia" w:ascii="Dialog" w:hAnsi="Dialog"/>
                <w:sz w:val="32"/>
                <w:szCs w:val="24"/>
              </w:rPr>
            </w:pPr>
            <w:r>
              <w:rPr>
                <w:rFonts w:hint="eastAsia" w:ascii="Dialog" w:hAnsi="Dialog"/>
                <w:sz w:val="32"/>
                <w:szCs w:val="24"/>
              </w:rPr>
              <w:t>第二部分  2025年单位预算公开表格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1、收支总表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2、收入总表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3、支出总表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4、支出预算分类汇总表（按政府预算经济分类）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5、支出预算分类汇总表（按部门预算经济分类）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6、财政拨款收支总表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7、一般公共预算支出表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8、一般公共预算基本支出表-人员经费（工资福利支出）（按政府预算经济分类）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9、一般公共预算基本支出表-人员经费（工资福利支出）（按部门预算经济分类）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10、一般公共预算基本支出表-人员经费（对个人和家庭的补助）（按政府预算经济分类）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11、一般公共预算基本支出表-人员经费（对个人和家庭的补助）（按部门预算经济分类）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12、一般公共预算基本支出表-公用经费（商品和服务支出）（按政府预算经济分类）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13、一般公共预算基本支出表-公用经费（商品和服务支出）（按部门预算经济分类）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14、一般公共预算“三公”经费支出表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15、政府性基金预算支出表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16、政府性基金预算支出分类汇总表（按政府预算经济分类）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17、政府性基金预算支出分类汇总表（按部门预算经济分类）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18、国有资本经营预算支出表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19、财政专户管理资金预算支出表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20、专项资金预算汇总表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21、项目支出绩效目标表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22、单位整体支出绩效目标表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sz w:val="32"/>
                <w:szCs w:val="24"/>
              </w:rPr>
            </w:pPr>
            <w:r>
              <w:rPr>
                <w:rFonts w:hint="eastAsia" w:ascii="宋体" w:hAnsi="宋体" w:eastAsia="宋体"/>
                <w:sz w:val="32"/>
                <w:szCs w:val="24"/>
              </w:rPr>
              <w:t>23、一般公共预算基本支出表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15306" w:type="dxa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  <w:tl2br w:val="nil"/>
              <w:tr2bl w:val="nil"/>
            </w:tcBorders>
            <w:shd w:val="clear" w:color="auto" w:fill="FFFFFF"/>
            <w:noWrap w:val="0"/>
            <w:vAlign w:val="center"/>
          </w:tcPr>
          <w:p>
            <w:pPr>
              <w:spacing w:beforeLines="0" w:afterLines="0" w:line="375" w:lineRule="exact"/>
              <w:ind w:left="20"/>
              <w:rPr>
                <w:rFonts w:hint="eastAsia" w:ascii="宋体" w:hAnsi="宋体" w:eastAsia="宋体"/>
                <w:color w:val="FF0000"/>
                <w:sz w:val="32"/>
                <w:szCs w:val="24"/>
              </w:rPr>
            </w:pPr>
            <w:r>
              <w:rPr>
                <w:rFonts w:hint="eastAsia" w:ascii="宋体" w:hAnsi="宋体" w:eastAsia="宋体"/>
                <w:b/>
                <w:color w:val="FF0000"/>
                <w:sz w:val="32"/>
                <w:szCs w:val="24"/>
              </w:rPr>
              <w:t>注：以上单位预算公开报表中，空表表示本单位无相关收支情况。</w:t>
            </w:r>
          </w:p>
        </w:tc>
      </w:tr>
    </w:tbl>
    <w:p/>
    <w:sectPr>
      <w:pgSz w:w="18708" w:h="15840"/>
      <w:pgMar w:top="388" w:right="1080" w:bottom="388" w:left="1080" w:header="720" w:footer="720" w:gutter="0"/>
      <w:lnNumType w:countBy="0" w:distance="36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  <w:font w:name="Dialog">
    <w:altName w:val="Times New Roman"/>
    <w:panose1 w:val="00000000000000000000"/>
    <w:charset w:val="86"/>
    <w:family w:val="roman"/>
    <w:pitch w:val="default"/>
    <w:sig w:usb0="00000000" w:usb1="00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20"/>
  <w:hyphenationZone w:val="360"/>
  <w:drawingGridHorizontalSpacing w:val="120"/>
  <w:drawingGridVerticalSpacing w:val="120"/>
  <w:displayHorizontalDrawingGridEvery w:val="3"/>
  <w:displayVerticalDrawingGridEvery w:val="3"/>
  <w:doNotUseMarginsForDrawingGridOrigin w:val="1"/>
  <w:drawingGridHorizontalOrigin w:val="1701"/>
  <w:drawingGridVerticalOrigin w:val="1984"/>
  <w:doNotShadeFormData w:val="1"/>
  <w:characterSpacingControl w:val="compressPunctuation"/>
  <w:doNotValidateAgainstSchema/>
  <w:doNotDemarcateInvalidXml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JmYzEwZTM1NDYyOGUzZmZlNGUyZDYwZjdkOWYxZWYifQ=="/>
  </w:docVars>
  <w:rsids>
    <w:rsidRoot w:val="00172A27"/>
    <w:rsid w:val="0C4F616F"/>
    <w:rsid w:val="12710FD1"/>
    <w:rsid w:val="193D0B76"/>
    <w:rsid w:val="19E13325"/>
    <w:rsid w:val="1AFB3FDB"/>
    <w:rsid w:val="322B399A"/>
    <w:rsid w:val="3BA743A8"/>
    <w:rsid w:val="5E49691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iPriority="99" w:semiHidden="0" w:name="Normal"/>
    <w:lsdException w:uiPriority="99" w:semiHidden="0" w:name="heading 1"/>
    <w:lsdException w:uiPriority="99" w:semiHidden="0" w:name="heading 2"/>
    <w:lsdException w:uiPriority="99" w:semiHidden="0" w:name="heading 3"/>
    <w:lsdException w:uiPriority="99" w:name="heading 4"/>
    <w:lsdException w:uiPriority="99" w:name="heading 5"/>
    <w:lsdException w:uiPriority="99" w:name="heading 6"/>
    <w:lsdException w:uiPriority="99" w:name="heading 7"/>
    <w:lsdException w:uiPriority="99" w:name="heading 8"/>
    <w:lsdException w:uiPriority="9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99" w:name="toc 1"/>
    <w:lsdException w:uiPriority="99" w:name="toc 2"/>
    <w:lsdException w:uiPriority="99" w:name="toc 3"/>
    <w:lsdException w:uiPriority="99" w:name="toc 4"/>
    <w:lsdException w:uiPriority="99" w:name="toc 5"/>
    <w:lsdException w:uiPriority="99" w:name="toc 6"/>
    <w:lsdException w:uiPriority="99" w:name="toc 7"/>
    <w:lsdException w:uiPriority="99" w:name="toc 8"/>
    <w:lsdException w:uiPriority="9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uiPriority="99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uiPriority="99" w:name="Title"/>
    <w:lsdException w:uiPriority="99" w:name="Closing"/>
    <w:lsdException w:uiPriority="99" w:name="Signature"/>
    <w:lsdException w:qFormat="1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iPriority="99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uiPriority="99" w:name="Strong"/>
    <w:lsdException w:uiPriority="99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Arial" w:hAnsi="Arial" w:eastAsia="宋体" w:cs="Times New Roman"/>
      <w:color w:val="000000"/>
      <w:sz w:val="24"/>
      <w:szCs w:val="24"/>
    </w:rPr>
  </w:style>
  <w:style w:type="paragraph" w:styleId="2">
    <w:name w:val="heading 1"/>
    <w:next w:val="1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Arial" w:hAnsi="Arial" w:eastAsia="宋体" w:cs="Times New Roman"/>
      <w:b/>
      <w:color w:val="000000"/>
      <w:sz w:val="32"/>
      <w:szCs w:val="24"/>
    </w:rPr>
  </w:style>
  <w:style w:type="paragraph" w:styleId="3">
    <w:name w:val="heading 2"/>
    <w:next w:val="1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Arial" w:hAnsi="Arial" w:eastAsia="宋体" w:cs="Times New Roman"/>
      <w:b/>
      <w:i/>
      <w:color w:val="000000"/>
      <w:sz w:val="28"/>
      <w:szCs w:val="24"/>
    </w:rPr>
  </w:style>
  <w:style w:type="paragraph" w:styleId="4">
    <w:name w:val="heading 3"/>
    <w:next w:val="1"/>
    <w:unhideWhenUsed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default" w:ascii="Arial" w:hAnsi="Arial" w:eastAsia="宋体" w:cs="Times New Roman"/>
      <w:b/>
      <w:color w:val="000000"/>
      <w:sz w:val="26"/>
      <w:szCs w:val="24"/>
    </w:rPr>
  </w:style>
  <w:style w:type="character" w:default="1" w:styleId="6">
    <w:name w:val="Default Paragraph Font"/>
    <w:semiHidden/>
    <w:unhideWhenUsed/>
    <w:qFormat/>
    <w:uiPriority w:val="99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5</Pages>
  <Words>3221</Words>
  <Characters>3572</Characters>
  <TotalTime>2</TotalTime>
  <ScaleCrop>false</ScaleCrop>
  <LinksUpToDate>false</LinksUpToDate>
  <CharactersWithSpaces>3662</CharactersWithSpaces>
  <Application>WPS Office_11.1.0.14309_F1E327BC-269C-435d-A152-05C5408002CA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2026-04-16T03:19:00Z</dcterms:created>
  <dc:creator>Administrator</dc:creator>
  <cp:lastModifiedBy>蒋亚潼</cp:lastModifiedBy>
  <dcterms:modified xsi:type="dcterms:W3CDTF">2026-07-21T01:20:20Z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0C5E8F1EBF314333B578FFFE834AECC7_13</vt:lpwstr>
  </property>
</Properties>
</file>