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附件2：</w:t>
      </w:r>
    </w:p>
    <w:p>
      <w:pPr>
        <w:ind w:firstLine="1533" w:firstLineChars="347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“两节期间”全市民爆物品</w:t>
      </w:r>
    </w:p>
    <w:p>
      <w:pPr>
        <w:snapToGrid w:val="0"/>
        <w:spacing w:line="312" w:lineRule="auto"/>
        <w:ind w:firstLine="2191" w:firstLineChars="49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宋体" w:hAnsi="宋体"/>
          <w:b/>
          <w:sz w:val="44"/>
          <w:szCs w:val="44"/>
        </w:rPr>
        <w:t>安全大检查工作方案</w:t>
      </w:r>
      <w:r>
        <w:br w:type="textWrapping"/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为进一步加强我市民爆物品安全管理，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促进民爆行业安全生产形势持续稳定，根据</w:t>
      </w:r>
      <w:r>
        <w:rPr>
          <w:rFonts w:hint="eastAsia" w:ascii="仿宋_GB2312" w:eastAsia="仿宋_GB2312"/>
          <w:sz w:val="30"/>
          <w:szCs w:val="30"/>
        </w:rPr>
        <w:t>省经信委民爆处工作部署和市安委会的通知精神，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结合我委实际，决定在“两节期间”开展全市民爆物品安全大检查行动，特制订本工作方案。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    </w:t>
      </w:r>
      <w:r>
        <w:rPr>
          <w:rFonts w:hint="eastAsia" w:ascii="黑体" w:hAnsi="宋体" w:eastAsia="黑体" w:cs="宋体"/>
          <w:color w:val="000000"/>
          <w:kern w:val="0"/>
          <w:sz w:val="30"/>
          <w:szCs w:val="30"/>
        </w:rPr>
        <w:t>一、工作目标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加强民爆企业安全管理，抓好隐患排查治理，提高安全生产水平，防范事故发生，保障人身安全与健康，保证生产经营活动顺利进行。</w:t>
      </w:r>
      <w:r>
        <w:rPr>
          <w:rFonts w:ascii="仿宋_GB2312" w:eastAsia="仿宋_GB2312"/>
          <w:sz w:val="30"/>
          <w:szCs w:val="30"/>
        </w:rPr>
        <w:br w:type="textWrapping"/>
      </w:r>
      <w:r>
        <w:rPr>
          <w:rFonts w:hint="eastAsia" w:ascii="仿宋_GB2312" w:eastAsia="仿宋_GB2312"/>
          <w:sz w:val="30"/>
          <w:szCs w:val="30"/>
        </w:rPr>
        <w:t xml:space="preserve">    </w:t>
      </w:r>
      <w:r>
        <w:rPr>
          <w:rFonts w:hint="eastAsia" w:ascii="黑体" w:eastAsia="黑体"/>
          <w:sz w:val="30"/>
          <w:szCs w:val="30"/>
        </w:rPr>
        <w:t>二、检查时间</w:t>
      </w:r>
      <w:r>
        <w:rPr>
          <w:rFonts w:hint="eastAsia" w:ascii="黑体" w:eastAsia="黑体"/>
          <w:sz w:val="30"/>
          <w:szCs w:val="30"/>
        </w:rPr>
        <w:br w:type="textWrapping"/>
      </w:r>
      <w:r>
        <w:rPr>
          <w:rFonts w:hint="eastAsia" w:ascii="仿宋_GB2312" w:eastAsia="仿宋_GB2312"/>
          <w:sz w:val="30"/>
          <w:szCs w:val="30"/>
        </w:rPr>
        <w:t xml:space="preserve">    2016年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1月4-8日。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    </w:t>
      </w:r>
      <w:r>
        <w:rPr>
          <w:rFonts w:hint="eastAsia" w:ascii="黑体" w:hAnsi="宋体" w:eastAsia="黑体" w:cs="宋体"/>
          <w:color w:val="000000"/>
          <w:kern w:val="0"/>
          <w:sz w:val="30"/>
          <w:szCs w:val="30"/>
        </w:rPr>
        <w:t>三、检查人员</w:t>
      </w:r>
      <w:r>
        <w:rPr>
          <w:rFonts w:ascii="黑体" w:hAnsi="宋体" w:eastAsia="黑体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黑体" w:hAnsi="宋体" w:eastAsia="黑体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 成立民爆物品安全大检查工作小组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    组  长：姚海燕副主任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    副组长：任庆利科长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    成  员：曹攀，另特邀民爆专家3名（从湖南</w:t>
      </w:r>
      <w:r>
        <w:rPr>
          <w:rFonts w:hint="eastAsia" w:ascii="仿宋_GB2312" w:hAnsi="Arial" w:eastAsia="仿宋_GB2312" w:cs="Arial"/>
          <w:color w:val="222222"/>
          <w:sz w:val="30"/>
          <w:szCs w:val="30"/>
        </w:rPr>
        <w:t>民用爆破器材行业专家库中挑选），全程参与检查。</w:t>
      </w:r>
      <w:r>
        <w:rPr>
          <w:rFonts w:ascii="仿宋_GB2312" w:hAnsi="Arial" w:eastAsia="仿宋_GB2312" w:cs="Arial"/>
          <w:color w:val="222222"/>
          <w:sz w:val="30"/>
          <w:szCs w:val="30"/>
        </w:rPr>
        <w:br w:type="textWrapping"/>
      </w:r>
      <w:r>
        <w:rPr>
          <w:rFonts w:hint="eastAsia" w:ascii="仿宋_GB2312" w:hAnsi="Arial" w:eastAsia="仿宋_GB2312" w:cs="Arial"/>
          <w:color w:val="222222"/>
          <w:sz w:val="30"/>
          <w:szCs w:val="30"/>
        </w:rPr>
        <w:t xml:space="preserve">    </w:t>
      </w:r>
      <w:r>
        <w:rPr>
          <w:rFonts w:hint="eastAsia" w:ascii="黑体" w:hAnsi="Arial" w:eastAsia="黑体" w:cs="Arial"/>
          <w:color w:val="222222"/>
          <w:sz w:val="30"/>
          <w:szCs w:val="30"/>
        </w:rPr>
        <w:t>四、检查对象</w:t>
      </w:r>
      <w:r>
        <w:rPr>
          <w:rFonts w:ascii="仿宋_GB2312" w:hAnsi="Arial" w:eastAsia="仿宋_GB2312" w:cs="Arial"/>
          <w:color w:val="222222"/>
          <w:sz w:val="30"/>
          <w:szCs w:val="30"/>
        </w:rPr>
        <w:br w:type="textWrapping"/>
      </w:r>
      <w:r>
        <w:rPr>
          <w:rFonts w:hint="eastAsia" w:ascii="仿宋_GB2312" w:hAnsi="Arial" w:eastAsia="仿宋_GB2312" w:cs="Arial"/>
          <w:color w:val="222222"/>
          <w:sz w:val="30"/>
          <w:szCs w:val="30"/>
        </w:rPr>
        <w:t xml:space="preserve">    全市9家民爆生产、销售企业：</w:t>
      </w:r>
      <w:r>
        <w:rPr>
          <w:rFonts w:ascii="仿宋_GB2312" w:hAnsi="Arial" w:eastAsia="仿宋_GB2312" w:cs="Arial"/>
          <w:color w:val="222222"/>
          <w:sz w:val="30"/>
          <w:szCs w:val="30"/>
        </w:rPr>
        <w:br w:type="textWrapping"/>
      </w:r>
      <w:r>
        <w:rPr>
          <w:rFonts w:hint="eastAsia" w:ascii="仿宋_GB2312" w:hAnsi="Arial" w:eastAsia="仿宋_GB2312" w:cs="Arial"/>
          <w:color w:val="222222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1、湖南神斧向红机械化工有限责任公司</w:t>
      </w:r>
      <w:r>
        <w:rPr>
          <w:rFonts w:hint="eastAsia" w:ascii="仿宋_GB2312" w:eastAsia="仿宋_GB2312"/>
          <w:sz w:val="30"/>
          <w:szCs w:val="30"/>
        </w:rPr>
        <w:br w:type="textWrapping"/>
      </w:r>
      <w:r>
        <w:rPr>
          <w:rFonts w:hint="eastAsia" w:ascii="仿宋_GB2312" w:eastAsia="仿宋_GB2312"/>
          <w:sz w:val="30"/>
          <w:szCs w:val="30"/>
        </w:rPr>
        <w:t xml:space="preserve">    2、</w:t>
      </w:r>
      <w:r>
        <w:rPr>
          <w:rFonts w:hint="eastAsia" w:ascii="仿宋_GB2312" w:hAnsi="仿宋_GB2312" w:eastAsia="仿宋_GB2312" w:cs="仿宋_GB2312"/>
          <w:sz w:val="30"/>
          <w:szCs w:val="30"/>
        </w:rPr>
        <w:t>湖南岳阳南岭爆破器材服务有限公司</w:t>
      </w:r>
      <w:r>
        <w:rPr>
          <w:rFonts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3、湖南南岭澳瑞凯民用爆破器材股份有限公司</w:t>
      </w:r>
      <w:r>
        <w:rPr>
          <w:rFonts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4、岳阳鸿鑫民爆器材有限公司</w:t>
      </w:r>
      <w:r>
        <w:rPr>
          <w:rFonts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5、岳阳红安民爆器材有限公司</w:t>
      </w:r>
      <w:r>
        <w:rPr>
          <w:rFonts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6、平江县民爆物品专营公司</w:t>
      </w:r>
      <w:r>
        <w:rPr>
          <w:rFonts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7、南岭民爆华容经营分公司</w:t>
      </w:r>
      <w:r>
        <w:rPr>
          <w:rFonts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8、临湘南岭民爆专营公司</w:t>
      </w:r>
      <w:r>
        <w:rPr>
          <w:rFonts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9、汨罗市民爆器材公司</w:t>
      </w:r>
      <w:r>
        <w:rPr>
          <w:rFonts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</w:t>
      </w:r>
      <w:r>
        <w:rPr>
          <w:rFonts w:hint="eastAsia" w:ascii="黑体" w:hAnsi="仿宋_GB2312" w:eastAsia="黑体" w:cs="仿宋_GB2312"/>
          <w:sz w:val="30"/>
          <w:szCs w:val="30"/>
        </w:rPr>
        <w:t>五、检查重点</w:t>
      </w:r>
      <w:r>
        <w:rPr>
          <w:rFonts w:hint="eastAsia" w:ascii="黑体" w:hAnsi="仿宋_GB2312" w:eastAsia="黑体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1、对照国家及民爆行业安全生产法律法规要求，核查企业生产经营行为，严厉查处“四超”、“三违法”等违法违规行为。</w:t>
      </w:r>
      <w:r>
        <w:rPr>
          <w:rFonts w:hint="eastAsia" w:ascii="仿宋_GB2312" w:eastAsia="仿宋_GB2312"/>
          <w:sz w:val="30"/>
          <w:szCs w:val="30"/>
        </w:rPr>
        <w:br w:type="textWrapping"/>
      </w:r>
      <w:r>
        <w:rPr>
          <w:rFonts w:hint="eastAsia" w:ascii="仿宋_GB2312" w:eastAsia="仿宋_GB2312"/>
          <w:sz w:val="30"/>
          <w:szCs w:val="30"/>
        </w:rPr>
        <w:t xml:space="preserve">    2、检查民爆企业主体安全生产责任落实情况，检查企业安全制度建立及安全生产保障体系运行情况。</w:t>
      </w:r>
      <w:r>
        <w:rPr>
          <w:rFonts w:hint="eastAsia" w:ascii="仿宋_GB2312" w:eastAsia="仿宋_GB2312"/>
          <w:sz w:val="30"/>
          <w:szCs w:val="30"/>
        </w:rPr>
        <w:br w:type="textWrapping"/>
      </w:r>
      <w:r>
        <w:rPr>
          <w:rFonts w:hint="eastAsia" w:ascii="仿宋_GB2312" w:eastAsia="仿宋_GB2312"/>
          <w:sz w:val="30"/>
          <w:szCs w:val="30"/>
        </w:rPr>
        <w:t xml:space="preserve">    3、对照民爆行业安全监管政策，认真核查民爆物品生产线（库）安全技术状况、安全防护保障设施及现场安全管理情况。</w:t>
      </w:r>
      <w:r>
        <w:rPr>
          <w:rFonts w:hint="eastAsia" w:ascii="仿宋_GB2312" w:eastAsia="仿宋_GB2312"/>
          <w:sz w:val="30"/>
          <w:szCs w:val="30"/>
        </w:rPr>
        <w:br w:type="textWrapping"/>
      </w:r>
      <w:r>
        <w:rPr>
          <w:rFonts w:hint="eastAsia" w:ascii="仿宋_GB2312" w:eastAsia="仿宋_GB2312"/>
          <w:sz w:val="30"/>
          <w:szCs w:val="30"/>
        </w:rPr>
        <w:t xml:space="preserve">    4、检查企业员工安全培训、企业风险管控及应急演练落实情况。</w:t>
      </w:r>
      <w:r>
        <w:rPr>
          <w:rFonts w:ascii="仿宋_GB2312" w:eastAsia="仿宋_GB2312"/>
          <w:sz w:val="30"/>
          <w:szCs w:val="30"/>
        </w:rPr>
        <w:br w:type="textWrapping"/>
      </w:r>
      <w:r>
        <w:rPr>
          <w:rFonts w:hint="eastAsia" w:ascii="仿宋_GB2312" w:eastAsia="仿宋_GB2312"/>
          <w:sz w:val="30"/>
          <w:szCs w:val="30"/>
        </w:rPr>
        <w:t xml:space="preserve">    </w:t>
      </w:r>
      <w:r>
        <w:rPr>
          <w:rFonts w:hint="eastAsia" w:ascii="黑体" w:eastAsia="黑体"/>
          <w:sz w:val="30"/>
          <w:szCs w:val="30"/>
        </w:rPr>
        <w:t>六、检查结果利用</w:t>
      </w:r>
      <w:r>
        <w:rPr>
          <w:rFonts w:ascii="仿宋_GB2312" w:eastAsia="仿宋_GB2312"/>
          <w:sz w:val="30"/>
          <w:szCs w:val="30"/>
        </w:rPr>
        <w:br w:type="textWrapping"/>
      </w:r>
      <w:r>
        <w:rPr>
          <w:rFonts w:hint="eastAsia" w:ascii="仿宋_GB2312" w:eastAsia="仿宋_GB2312"/>
          <w:sz w:val="30"/>
          <w:szCs w:val="30"/>
        </w:rPr>
        <w:t xml:space="preserve">    1、检查结果与民爆企业的生产和销售许可申请、安全生产许可申请相挂钩，对安全生产缺陷整改不到位的企业实行一票否决。</w:t>
      </w:r>
      <w:r>
        <w:rPr>
          <w:rFonts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2、检查结果报送省经信委民爆处、岳阳市安委会，抄送委班子成员、相关县市区工信局。</w:t>
      </w:r>
      <w:r>
        <w:rPr>
          <w:rFonts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</w:t>
      </w:r>
      <w:r>
        <w:rPr>
          <w:rFonts w:hint="eastAsia" w:ascii="黑体" w:hAnsi="黑体" w:eastAsia="黑体" w:cs="仿宋_GB2312"/>
          <w:sz w:val="30"/>
          <w:szCs w:val="30"/>
        </w:rPr>
        <w:t>七、检查纪律</w:t>
      </w:r>
    </w:p>
    <w:p>
      <w:pPr>
        <w:snapToGrid w:val="0"/>
        <w:spacing w:line="312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1、依法检查。</w:t>
      </w:r>
    </w:p>
    <w:p>
      <w:pPr>
        <w:snapToGrid w:val="0"/>
        <w:spacing w:line="312" w:lineRule="auto"/>
        <w:ind w:firstLine="645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2、检查的问题如实登记上报。</w:t>
      </w:r>
    </w:p>
    <w:p>
      <w:pPr>
        <w:snapToGrid w:val="0"/>
        <w:spacing w:line="312" w:lineRule="auto"/>
        <w:ind w:firstLine="645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3、检查组人员不得接受被检查企业的红包礼金和请吃。</w:t>
      </w:r>
    </w:p>
    <w:p>
      <w:pPr>
        <w:snapToGrid w:val="0"/>
        <w:spacing w:line="312" w:lineRule="auto"/>
        <w:ind w:firstLine="1488" w:firstLineChars="496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MT Extra">
    <w:panose1 w:val="05050102010205020202"/>
    <w:charset w:val="02"/>
    <w:family w:val="modern"/>
    <w:pitch w:val="default"/>
    <w:sig w:usb0="80000000" w:usb1="00000000" w:usb2="00000000" w:usb3="00000000" w:csb0="0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E7820"/>
    <w:rsid w:val="759E78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2015-12-30T01:39:00Z</dcterms:created>
  <dc:creator>Administrator</dc:creator>
  <cp:lastModifiedBy>Administrator</cp:lastModifiedBy>
  <dcterms:modified xsi:type="dcterms:W3CDTF">2015-12-30T01:39:21Z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