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D5" w:rsidRDefault="007D51D5" w:rsidP="007D51D5">
      <w:pPr>
        <w:widowControl/>
        <w:shd w:val="clear" w:color="auto" w:fill="FFFFFF"/>
        <w:spacing w:before="100" w:beforeAutospacing="1" w:after="100" w:afterAutospacing="1" w:line="500" w:lineRule="atLeast"/>
        <w:ind w:left="-210" w:right="-212"/>
        <w:jc w:val="center"/>
        <w:rPr>
          <w:rFonts w:ascii="_534e_6587_4e2d_5b8b" w:eastAsia="宋体" w:hAnsi="_534e_6587_4e2d_5b8b" w:cs="宋体" w:hint="eastAsia"/>
          <w:color w:val="000000"/>
          <w:kern w:val="0"/>
          <w:sz w:val="44"/>
          <w:szCs w:val="44"/>
        </w:rPr>
      </w:pPr>
      <w:r w:rsidRPr="007D51D5">
        <w:rPr>
          <w:rFonts w:ascii="_534e_6587_4e2d_5b8b" w:eastAsia="宋体" w:hAnsi="_534e_6587_4e2d_5b8b" w:cs="宋体"/>
          <w:color w:val="000000"/>
          <w:kern w:val="0"/>
          <w:sz w:val="44"/>
          <w:szCs w:val="44"/>
        </w:rPr>
        <w:t>湖南省平江县伍市镇安乐</w:t>
      </w:r>
      <w:r w:rsidRPr="007D51D5">
        <w:rPr>
          <w:rFonts w:ascii="_534e_6587_4e2d_5b8b" w:eastAsia="宋体" w:hAnsi="_534e_6587_4e2d_5b8b" w:cs="宋体"/>
          <w:color w:val="000000"/>
          <w:kern w:val="0"/>
          <w:sz w:val="44"/>
          <w:szCs w:val="44"/>
        </w:rPr>
        <w:t>-</w:t>
      </w:r>
      <w:r w:rsidRPr="007D51D5">
        <w:rPr>
          <w:rFonts w:ascii="_534e_6587_4e2d_5b8b" w:eastAsia="宋体" w:hAnsi="_534e_6587_4e2d_5b8b" w:cs="宋体"/>
          <w:color w:val="000000"/>
          <w:kern w:val="0"/>
          <w:sz w:val="44"/>
          <w:szCs w:val="44"/>
        </w:rPr>
        <w:t>金石</w:t>
      </w:r>
    </w:p>
    <w:p w:rsidR="007D51D5" w:rsidRPr="007D51D5" w:rsidRDefault="007D51D5" w:rsidP="007D51D5">
      <w:pPr>
        <w:widowControl/>
        <w:shd w:val="clear" w:color="auto" w:fill="FFFFFF"/>
        <w:spacing w:before="100" w:beforeAutospacing="1" w:after="100" w:afterAutospacing="1" w:line="500" w:lineRule="atLeast"/>
        <w:ind w:left="-210" w:right="-212"/>
        <w:jc w:val="center"/>
        <w:rPr>
          <w:rFonts w:ascii="Simsun" w:eastAsia="宋体" w:hAnsi="Simsun" w:cs="宋体"/>
          <w:color w:val="000000"/>
          <w:kern w:val="0"/>
          <w:sz w:val="27"/>
          <w:szCs w:val="27"/>
        </w:rPr>
      </w:pPr>
      <w:r w:rsidRPr="007D51D5">
        <w:rPr>
          <w:rFonts w:ascii="_534e_6587_4e2d_5b8b" w:eastAsia="宋体" w:hAnsi="_534e_6587_4e2d_5b8b" w:cs="宋体"/>
          <w:color w:val="000000"/>
          <w:kern w:val="0"/>
          <w:sz w:val="44"/>
          <w:szCs w:val="44"/>
        </w:rPr>
        <w:t>饰面用花岗岩矿</w:t>
      </w:r>
    </w:p>
    <w:p w:rsidR="007D51D5" w:rsidRPr="007D51D5" w:rsidRDefault="007D51D5" w:rsidP="007D51D5">
      <w:pPr>
        <w:widowControl/>
        <w:shd w:val="clear" w:color="auto" w:fill="FFFFFF"/>
        <w:spacing w:before="100" w:beforeAutospacing="1" w:after="100" w:afterAutospacing="1"/>
        <w:jc w:val="center"/>
        <w:rPr>
          <w:rFonts w:ascii="Simsun" w:eastAsia="宋体" w:hAnsi="Simsun" w:cs="宋体" w:hint="eastAsia"/>
          <w:color w:val="000000"/>
          <w:kern w:val="0"/>
          <w:sz w:val="27"/>
          <w:szCs w:val="27"/>
        </w:rPr>
      </w:pPr>
      <w:r w:rsidRPr="007D51D5">
        <w:rPr>
          <w:rFonts w:ascii="_534e_6587_4e2d_5b8b" w:eastAsia="宋体" w:hAnsi="_534e_6587_4e2d_5b8b" w:cs="宋体"/>
          <w:color w:val="000000"/>
          <w:kern w:val="0"/>
          <w:sz w:val="72"/>
          <w:szCs w:val="72"/>
        </w:rPr>
        <w:t>采矿权评估报告</w:t>
      </w:r>
      <w:r w:rsidR="00481D98">
        <w:rPr>
          <w:rFonts w:ascii="_534e_6587_4e2d_5b8b" w:eastAsia="宋体" w:hAnsi="_534e_6587_4e2d_5b8b" w:cs="宋体" w:hint="eastAsia"/>
          <w:color w:val="000000"/>
          <w:kern w:val="0"/>
          <w:sz w:val="72"/>
          <w:szCs w:val="72"/>
        </w:rPr>
        <w:t>摘要</w:t>
      </w:r>
    </w:p>
    <w:p w:rsidR="007D51D5" w:rsidRPr="007D51D5" w:rsidRDefault="007D51D5" w:rsidP="007D51D5">
      <w:pPr>
        <w:widowControl/>
        <w:shd w:val="clear" w:color="auto" w:fill="FFFFFF"/>
        <w:spacing w:before="100" w:beforeAutospacing="1" w:after="100" w:afterAutospacing="1"/>
        <w:jc w:val="center"/>
        <w:rPr>
          <w:rFonts w:ascii="Simsun" w:eastAsia="宋体" w:hAnsi="Simsun" w:cs="宋体"/>
          <w:color w:val="000000"/>
          <w:kern w:val="0"/>
          <w:sz w:val="27"/>
          <w:szCs w:val="27"/>
        </w:rPr>
      </w:pPr>
      <w:r w:rsidRPr="007D51D5">
        <w:rPr>
          <w:rFonts w:ascii="_4eff_5b8b_GB2312" w:eastAsia="宋体" w:hAnsi="_4eff_5b8b_GB2312" w:cs="宋体"/>
          <w:color w:val="000000"/>
          <w:kern w:val="0"/>
          <w:sz w:val="28"/>
          <w:szCs w:val="28"/>
        </w:rPr>
        <w:t>渝国能评报字</w:t>
      </w:r>
      <w:r w:rsidRPr="007D51D5">
        <w:rPr>
          <w:rFonts w:ascii="_4eff_5b8b_GB2312" w:eastAsia="宋体" w:hAnsi="_4eff_5b8b_GB2312" w:cs="宋体"/>
          <w:color w:val="000000"/>
          <w:kern w:val="0"/>
          <w:sz w:val="28"/>
          <w:szCs w:val="28"/>
        </w:rPr>
        <w:t>[2017]</w:t>
      </w:r>
      <w:r w:rsidRPr="007D51D5">
        <w:rPr>
          <w:rFonts w:ascii="_4eff_5b8b_GB2312" w:eastAsia="宋体" w:hAnsi="_4eff_5b8b_GB2312" w:cs="宋体"/>
          <w:color w:val="000000"/>
          <w:kern w:val="0"/>
          <w:sz w:val="28"/>
          <w:szCs w:val="28"/>
        </w:rPr>
        <w:t>第</w:t>
      </w:r>
      <w:r w:rsidRPr="007D51D5">
        <w:rPr>
          <w:rFonts w:ascii="_4eff_5b8b_GB2312" w:eastAsia="宋体" w:hAnsi="_4eff_5b8b_GB2312" w:cs="宋体"/>
          <w:color w:val="000000"/>
          <w:kern w:val="0"/>
          <w:sz w:val="28"/>
          <w:szCs w:val="28"/>
        </w:rPr>
        <w:t>089</w:t>
      </w:r>
      <w:r w:rsidRPr="007D51D5">
        <w:rPr>
          <w:rFonts w:ascii="_4eff_5b8b_GB2312" w:eastAsia="宋体" w:hAnsi="_4eff_5b8b_GB2312" w:cs="宋体"/>
          <w:color w:val="000000"/>
          <w:kern w:val="0"/>
          <w:sz w:val="28"/>
          <w:szCs w:val="28"/>
        </w:rPr>
        <w:t>号</w:t>
      </w:r>
    </w:p>
    <w:p w:rsidR="007D51D5" w:rsidRPr="007D51D5" w:rsidRDefault="007D51D5" w:rsidP="007D51D5">
      <w:pPr>
        <w:widowControl/>
        <w:spacing w:before="100" w:beforeAutospacing="1" w:after="100" w:afterAutospacing="1"/>
        <w:ind w:firstLine="200"/>
        <w:rPr>
          <w:rFonts w:ascii="宋体" w:eastAsia="宋体" w:hAnsi="宋体" w:cs="宋体"/>
          <w:color w:val="000000"/>
          <w:kern w:val="0"/>
          <w:sz w:val="24"/>
          <w:szCs w:val="24"/>
        </w:rPr>
      </w:pPr>
      <w:r w:rsidRPr="007D51D5">
        <w:rPr>
          <w:rFonts w:ascii="Times New Roman" w:eastAsia="宋体" w:hAnsi="Times New Roman" w:cs="Times New Roman"/>
          <w:color w:val="000000"/>
          <w:kern w:val="0"/>
          <w:sz w:val="10"/>
          <w:szCs w:val="10"/>
        </w:rPr>
        <w:t> </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评估机构</w:t>
      </w:r>
      <w:r w:rsidRPr="007D51D5">
        <w:rPr>
          <w:rFonts w:ascii="_4eff_5b8b_GB2312" w:eastAsia="宋体" w:hAnsi="_4eff_5b8b_GB2312" w:cs="宋体"/>
          <w:color w:val="000000"/>
          <w:kern w:val="0"/>
          <w:sz w:val="28"/>
          <w:szCs w:val="28"/>
        </w:rPr>
        <w:t>：重庆国能探矿权采矿权评估有限公司。</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评估委托人</w:t>
      </w:r>
      <w:r w:rsidRPr="007D51D5">
        <w:rPr>
          <w:rFonts w:ascii="_4eff_5b8b_GB2312" w:eastAsia="宋体" w:hAnsi="_4eff_5b8b_GB2312" w:cs="宋体"/>
          <w:color w:val="000000"/>
          <w:kern w:val="0"/>
          <w:sz w:val="28"/>
          <w:szCs w:val="28"/>
        </w:rPr>
        <w:t>：岳阳市国土资源局。</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评估对象：</w:t>
      </w:r>
      <w:r w:rsidRPr="007D51D5">
        <w:rPr>
          <w:rFonts w:ascii="_4eff_5b8b_GB2312" w:eastAsia="宋体" w:hAnsi="_4eff_5b8b_GB2312" w:cs="宋体"/>
          <w:color w:val="000000"/>
          <w:kern w:val="0"/>
          <w:sz w:val="28"/>
          <w:szCs w:val="28"/>
        </w:rPr>
        <w:t>评估对象为湖南省平江县伍市镇安乐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金石饰面用花岗岩矿采矿权。评估范围为《湖南省平江县伍市镇安乐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金石饰面用花岗岩资源储量核实报告》确定的矿区范围，矿区范围由</w:t>
      </w:r>
      <w:r w:rsidRPr="007D51D5">
        <w:rPr>
          <w:rFonts w:ascii="Times New Roman" w:eastAsia="宋体" w:hAnsi="Times New Roman" w:cs="Times New Roman"/>
          <w:color w:val="000000"/>
          <w:kern w:val="0"/>
          <w:sz w:val="28"/>
          <w:szCs w:val="28"/>
        </w:rPr>
        <w:t>16</w:t>
      </w:r>
      <w:r w:rsidRPr="007D51D5">
        <w:rPr>
          <w:rFonts w:ascii="_4eff_5b8b_GB2312" w:eastAsia="宋体" w:hAnsi="_4eff_5b8b_GB2312" w:cs="宋体"/>
          <w:color w:val="000000"/>
          <w:kern w:val="0"/>
          <w:sz w:val="28"/>
          <w:szCs w:val="28"/>
        </w:rPr>
        <w:t>个拐点圈定，面积</w:t>
      </w:r>
      <w:r w:rsidRPr="007D51D5">
        <w:rPr>
          <w:rFonts w:ascii="_4eff_5b8b_GB2312" w:eastAsia="宋体" w:hAnsi="_4eff_5b8b_GB2312" w:cs="宋体"/>
          <w:color w:val="000000"/>
          <w:kern w:val="0"/>
          <w:sz w:val="28"/>
          <w:szCs w:val="28"/>
        </w:rPr>
        <w:t>0.0918km</w:t>
      </w:r>
      <w:r w:rsidRPr="007D51D5">
        <w:rPr>
          <w:rFonts w:ascii="Times New Roman" w:eastAsia="宋体" w:hAnsi="Times New Roman" w:cs="Times New Roman"/>
          <w:color w:val="000000"/>
          <w:kern w:val="0"/>
          <w:sz w:val="28"/>
          <w:szCs w:val="28"/>
          <w:vertAlign w:val="superscript"/>
        </w:rPr>
        <w:t>2</w:t>
      </w:r>
      <w:r w:rsidRPr="007D51D5">
        <w:rPr>
          <w:rFonts w:ascii="_4eff_5b8b_GB2312" w:eastAsia="宋体" w:hAnsi="_4eff_5b8b_GB2312" w:cs="宋体"/>
          <w:color w:val="000000"/>
          <w:kern w:val="0"/>
          <w:sz w:val="28"/>
          <w:szCs w:val="28"/>
        </w:rPr>
        <w:t>，开采深度：由</w:t>
      </w:r>
      <w:r w:rsidRPr="007D51D5">
        <w:rPr>
          <w:rFonts w:ascii="Times New Roman" w:eastAsia="宋体" w:hAnsi="Times New Roman" w:cs="Times New Roman"/>
          <w:color w:val="000000"/>
          <w:kern w:val="0"/>
          <w:sz w:val="28"/>
          <w:szCs w:val="28"/>
        </w:rPr>
        <w:t>+188m</w:t>
      </w:r>
      <w:r w:rsidRPr="007D51D5">
        <w:rPr>
          <w:rFonts w:ascii="Times New Roman" w:eastAsia="宋体" w:hAnsi="Times New Roman" w:cs="Times New Roman"/>
          <w:color w:val="000000"/>
          <w:kern w:val="0"/>
          <w:sz w:val="28"/>
          <w:szCs w:val="28"/>
        </w:rPr>
        <w:t>至</w:t>
      </w:r>
      <w:r w:rsidRPr="007D51D5">
        <w:rPr>
          <w:rFonts w:ascii="Times New Roman" w:eastAsia="宋体" w:hAnsi="Times New Roman" w:cs="Times New Roman"/>
          <w:color w:val="000000"/>
          <w:kern w:val="0"/>
          <w:sz w:val="28"/>
          <w:szCs w:val="28"/>
        </w:rPr>
        <w:t>+70m</w:t>
      </w:r>
      <w:r w:rsidRPr="007D51D5">
        <w:rPr>
          <w:rFonts w:ascii="Times New Roman" w:eastAsia="宋体" w:hAnsi="Times New Roman" w:cs="Times New Roman"/>
          <w:color w:val="000000"/>
          <w:kern w:val="0"/>
          <w:sz w:val="28"/>
          <w:szCs w:val="28"/>
        </w:rPr>
        <w:t>标高</w:t>
      </w:r>
      <w:r w:rsidRPr="007D51D5">
        <w:rPr>
          <w:rFonts w:ascii="_4eff_5b8b_GB2312" w:eastAsia="宋体" w:hAnsi="_4eff_5b8b_GB2312" w:cs="宋体"/>
          <w:color w:val="000000"/>
          <w:kern w:val="0"/>
          <w:sz w:val="28"/>
          <w:szCs w:val="28"/>
        </w:rPr>
        <w:t>，开采矿种：饰面用花岗岩。矿山生产规模</w:t>
      </w:r>
      <w:r w:rsidRPr="007D51D5">
        <w:rPr>
          <w:rFonts w:ascii="_4eff_5b8b_GB2312" w:eastAsia="宋体" w:hAnsi="_4eff_5b8b_GB2312" w:cs="宋体"/>
          <w:color w:val="000000"/>
          <w:kern w:val="0"/>
          <w:sz w:val="28"/>
          <w:szCs w:val="28"/>
        </w:rPr>
        <w:t>6.00</w:t>
      </w:r>
      <w:r w:rsidRPr="007D51D5">
        <w:rPr>
          <w:rFonts w:ascii="_4eff_5b8b_GB2312" w:eastAsia="宋体" w:hAnsi="_4eff_5b8b_GB2312" w:cs="宋体"/>
          <w:color w:val="000000"/>
          <w:kern w:val="0"/>
          <w:sz w:val="28"/>
          <w:szCs w:val="28"/>
        </w:rPr>
        <w:t>万立方米</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年。</w:t>
      </w:r>
    </w:p>
    <w:p w:rsidR="007D51D5" w:rsidRPr="007D51D5" w:rsidRDefault="007D51D5" w:rsidP="007D51D5">
      <w:pPr>
        <w:widowControl/>
        <w:spacing w:before="100" w:beforeAutospacing="1" w:after="100" w:afterAutospacing="1" w:line="276" w:lineRule="atLeast"/>
        <w:ind w:firstLine="560"/>
        <w:textAlignment w:val="baseline"/>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评估目的：</w:t>
      </w:r>
      <w:r w:rsidRPr="007D51D5">
        <w:rPr>
          <w:rFonts w:ascii="_4eff_5b8b_GB2312" w:eastAsia="宋体" w:hAnsi="_4eff_5b8b_GB2312" w:cs="宋体"/>
          <w:color w:val="000000"/>
          <w:kern w:val="0"/>
          <w:sz w:val="28"/>
          <w:szCs w:val="28"/>
        </w:rPr>
        <w:t>平江县伍市镇海力石材有限公司申请采矿权延续（变更）登记，岳阳市国土资源局同意该采矿权延续（变更）登记，并对该采矿权价款进行处置。根据国家矿业权相关政策需对其采矿权进行评估，为有偿出让该采矿权确定出让底价提供价值参考意见。本次评估即是为实现上述目的而向评估委托人提供在本评估报告所述各种</w:t>
      </w:r>
      <w:r w:rsidRPr="007D51D5">
        <w:rPr>
          <w:rFonts w:ascii="_4eff_5b8b_GB2312" w:eastAsia="宋体" w:hAnsi="_4eff_5b8b_GB2312" w:cs="宋体"/>
          <w:color w:val="000000"/>
          <w:kern w:val="0"/>
          <w:sz w:val="28"/>
          <w:szCs w:val="28"/>
        </w:rPr>
        <w:lastRenderedPageBreak/>
        <w:t>条件下</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金石饰面用花岗岩矿采矿权</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在评估基准日时点上公平、合理的价值参考意见。</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评估基准日：</w:t>
      </w:r>
      <w:r w:rsidRPr="007D51D5">
        <w:rPr>
          <w:rFonts w:ascii="Times New Roman" w:eastAsia="宋体" w:hAnsi="Times New Roman" w:cs="Times New Roman"/>
          <w:color w:val="000000"/>
          <w:kern w:val="0"/>
          <w:sz w:val="28"/>
          <w:szCs w:val="28"/>
        </w:rPr>
        <w:t>2017</w:t>
      </w:r>
      <w:r w:rsidRPr="007D51D5">
        <w:rPr>
          <w:rFonts w:ascii="Times New Roman" w:eastAsia="宋体" w:hAnsi="Times New Roman" w:cs="Times New Roman"/>
          <w:color w:val="000000"/>
          <w:kern w:val="0"/>
          <w:sz w:val="28"/>
          <w:szCs w:val="28"/>
        </w:rPr>
        <w:t>年</w:t>
      </w:r>
      <w:r w:rsidRPr="007D51D5">
        <w:rPr>
          <w:rFonts w:ascii="Times New Roman" w:eastAsia="宋体" w:hAnsi="Times New Roman" w:cs="Times New Roman"/>
          <w:color w:val="000000"/>
          <w:kern w:val="0"/>
          <w:sz w:val="28"/>
          <w:szCs w:val="28"/>
        </w:rPr>
        <w:t>7</w:t>
      </w:r>
      <w:r w:rsidRPr="007D51D5">
        <w:rPr>
          <w:rFonts w:ascii="Times New Roman" w:eastAsia="宋体" w:hAnsi="Times New Roman" w:cs="Times New Roman"/>
          <w:color w:val="000000"/>
          <w:kern w:val="0"/>
          <w:sz w:val="28"/>
          <w:szCs w:val="28"/>
        </w:rPr>
        <w:t>月</w:t>
      </w:r>
      <w:r w:rsidRPr="007D51D5">
        <w:rPr>
          <w:rFonts w:ascii="Times New Roman" w:eastAsia="宋体" w:hAnsi="Times New Roman" w:cs="Times New Roman"/>
          <w:color w:val="000000"/>
          <w:kern w:val="0"/>
          <w:sz w:val="28"/>
          <w:szCs w:val="28"/>
        </w:rPr>
        <w:t>31</w:t>
      </w:r>
      <w:r w:rsidRPr="007D51D5">
        <w:rPr>
          <w:rFonts w:ascii="Times New Roman" w:eastAsia="宋体" w:hAnsi="Times New Roman" w:cs="Times New Roman"/>
          <w:color w:val="000000"/>
          <w:kern w:val="0"/>
          <w:sz w:val="28"/>
          <w:szCs w:val="28"/>
        </w:rPr>
        <w:t>日</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评估方法</w:t>
      </w:r>
      <w:r w:rsidRPr="007D51D5">
        <w:rPr>
          <w:rFonts w:ascii="_4eff_5b8b_GB2312" w:eastAsia="宋体" w:hAnsi="_4eff_5b8b_GB2312" w:cs="宋体"/>
          <w:color w:val="000000"/>
          <w:kern w:val="0"/>
          <w:sz w:val="28"/>
          <w:szCs w:val="28"/>
        </w:rPr>
        <w:t>：收入权益法</w:t>
      </w:r>
    </w:p>
    <w:p w:rsidR="007D51D5" w:rsidRPr="007D51D5" w:rsidRDefault="007D51D5" w:rsidP="007D51D5">
      <w:pPr>
        <w:widowControl/>
        <w:spacing w:before="100" w:beforeAutospacing="1" w:after="100" w:afterAutospacing="1" w:line="276" w:lineRule="atLeast"/>
        <w:ind w:firstLine="560"/>
        <w:textAlignment w:val="baseline"/>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主要评估参数：</w:t>
      </w:r>
      <w:r w:rsidRPr="007D51D5">
        <w:rPr>
          <w:rFonts w:ascii="_4eff_5b8b_GB2312" w:eastAsia="宋体" w:hAnsi="_4eff_5b8b_GB2312" w:cs="宋体"/>
          <w:color w:val="000000"/>
          <w:kern w:val="0"/>
          <w:sz w:val="28"/>
          <w:szCs w:val="28"/>
        </w:rPr>
        <w:t>根据《湖南省平江县伍市镇安乐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金石饰面用花岗岩资源储量核实报告》，截止</w:t>
      </w:r>
      <w:r w:rsidRPr="007D51D5">
        <w:rPr>
          <w:rFonts w:ascii="_4eff_5b8b_GB2312" w:eastAsia="宋体" w:hAnsi="_4eff_5b8b_GB2312" w:cs="宋体"/>
          <w:color w:val="000000"/>
          <w:kern w:val="0"/>
          <w:sz w:val="28"/>
          <w:szCs w:val="28"/>
        </w:rPr>
        <w:t>2016</w:t>
      </w:r>
      <w:r w:rsidRPr="007D51D5">
        <w:rPr>
          <w:rFonts w:ascii="_4eff_5b8b_GB2312" w:eastAsia="宋体" w:hAnsi="_4eff_5b8b_GB2312" w:cs="宋体"/>
          <w:color w:val="000000"/>
          <w:kern w:val="0"/>
          <w:sz w:val="28"/>
          <w:szCs w:val="28"/>
        </w:rPr>
        <w:t>年</w:t>
      </w:r>
      <w:r w:rsidRPr="007D51D5">
        <w:rPr>
          <w:rFonts w:ascii="_4eff_5b8b_GB2312" w:eastAsia="宋体" w:hAnsi="_4eff_5b8b_GB2312" w:cs="宋体"/>
          <w:color w:val="000000"/>
          <w:kern w:val="0"/>
          <w:sz w:val="28"/>
          <w:szCs w:val="28"/>
        </w:rPr>
        <w:t>11</w:t>
      </w:r>
      <w:r w:rsidRPr="007D51D5">
        <w:rPr>
          <w:rFonts w:ascii="_4eff_5b8b_GB2312" w:eastAsia="宋体" w:hAnsi="_4eff_5b8b_GB2312" w:cs="宋体"/>
          <w:color w:val="000000"/>
          <w:kern w:val="0"/>
          <w:sz w:val="28"/>
          <w:szCs w:val="28"/>
        </w:rPr>
        <w:t>月底，矿区范围内保有饰面用花岗岩</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矿石</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资源储量（</w:t>
      </w:r>
      <w:r w:rsidRPr="007D51D5">
        <w:rPr>
          <w:rFonts w:ascii="Times New Roman" w:eastAsia="宋体" w:hAnsi="Times New Roman" w:cs="Times New Roman"/>
          <w:color w:val="000000"/>
          <w:kern w:val="0"/>
          <w:sz w:val="28"/>
          <w:szCs w:val="28"/>
        </w:rPr>
        <w:t>122b</w:t>
      </w:r>
      <w:r w:rsidRPr="007D51D5">
        <w:rPr>
          <w:rFonts w:ascii="_4eff_5b8b_GB2312" w:eastAsia="宋体" w:hAnsi="_4eff_5b8b_GB2312" w:cs="宋体"/>
          <w:color w:val="000000"/>
          <w:kern w:val="0"/>
          <w:sz w:val="28"/>
          <w:szCs w:val="28"/>
        </w:rPr>
        <w:t>）</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w:t>
      </w:r>
      <w:r w:rsidRPr="007D51D5">
        <w:rPr>
          <w:rFonts w:ascii="Times New Roman" w:eastAsia="宋体" w:hAnsi="Times New Roman" w:cs="Times New Roman"/>
          <w:color w:val="000000"/>
          <w:kern w:val="0"/>
          <w:sz w:val="28"/>
          <w:szCs w:val="28"/>
        </w:rPr>
        <w:t>333</w:t>
      </w:r>
      <w:r w:rsidRPr="007D51D5">
        <w:rPr>
          <w:rFonts w:ascii="_4eff_5b8b_GB2312" w:eastAsia="宋体" w:hAnsi="_4eff_5b8b_GB2312" w:cs="宋体"/>
          <w:color w:val="000000"/>
          <w:kern w:val="0"/>
          <w:sz w:val="28"/>
          <w:szCs w:val="28"/>
        </w:rPr>
        <w:t>）</w:t>
      </w:r>
      <w:r w:rsidRPr="007D51D5">
        <w:rPr>
          <w:rFonts w:ascii="Times New Roman" w:eastAsia="宋体" w:hAnsi="Times New Roman" w:cs="Times New Roman"/>
          <w:color w:val="000000"/>
          <w:kern w:val="0"/>
          <w:sz w:val="28"/>
          <w:szCs w:val="28"/>
        </w:rPr>
        <w:t>426.26</w:t>
      </w:r>
      <w:r w:rsidRPr="007D51D5">
        <w:rPr>
          <w:rFonts w:ascii="_4eff_5b8b_GB2312" w:eastAsia="宋体" w:hAnsi="_4eff_5b8b_GB2312" w:cs="宋体"/>
          <w:color w:val="000000"/>
          <w:kern w:val="0"/>
          <w:sz w:val="28"/>
          <w:szCs w:val="28"/>
        </w:rPr>
        <w:t>万立方米，参与评估的</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矿石</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资源储量</w:t>
      </w:r>
      <w:r w:rsidRPr="007D51D5">
        <w:rPr>
          <w:rFonts w:ascii="_4eff_5b8b_GB2312" w:eastAsia="宋体" w:hAnsi="_4eff_5b8b_GB2312" w:cs="宋体"/>
          <w:color w:val="000000"/>
          <w:kern w:val="0"/>
          <w:sz w:val="28"/>
          <w:szCs w:val="28"/>
        </w:rPr>
        <w:t>426.26</w:t>
      </w:r>
      <w:r w:rsidRPr="007D51D5">
        <w:rPr>
          <w:rFonts w:ascii="_4eff_5b8b_GB2312" w:eastAsia="宋体" w:hAnsi="_4eff_5b8b_GB2312" w:cs="宋体"/>
          <w:color w:val="000000"/>
          <w:kern w:val="0"/>
          <w:sz w:val="28"/>
          <w:szCs w:val="28"/>
        </w:rPr>
        <w:t>万立方米，评估利用</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矿石</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资源储量</w:t>
      </w:r>
      <w:r w:rsidRPr="007D51D5">
        <w:rPr>
          <w:rFonts w:ascii="_4eff_5b8b_GB2312" w:eastAsia="宋体" w:hAnsi="_4eff_5b8b_GB2312" w:cs="宋体"/>
          <w:color w:val="000000"/>
          <w:kern w:val="0"/>
          <w:sz w:val="28"/>
          <w:szCs w:val="28"/>
        </w:rPr>
        <w:t>426.26</w:t>
      </w:r>
      <w:r w:rsidRPr="007D51D5">
        <w:rPr>
          <w:rFonts w:ascii="_4eff_5b8b_GB2312" w:eastAsia="宋体" w:hAnsi="_4eff_5b8b_GB2312" w:cs="宋体"/>
          <w:color w:val="000000"/>
          <w:kern w:val="0"/>
          <w:sz w:val="28"/>
          <w:szCs w:val="28"/>
        </w:rPr>
        <w:t>万立方米，可采</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矿石</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储量</w:t>
      </w:r>
      <w:r w:rsidRPr="007D51D5">
        <w:rPr>
          <w:rFonts w:ascii="Times New Roman" w:eastAsia="宋体" w:hAnsi="Times New Roman" w:cs="Times New Roman"/>
          <w:color w:val="000000"/>
          <w:kern w:val="0"/>
          <w:sz w:val="28"/>
          <w:szCs w:val="28"/>
        </w:rPr>
        <w:t>372.36</w:t>
      </w:r>
      <w:r w:rsidRPr="007D51D5">
        <w:rPr>
          <w:rFonts w:ascii="_4eff_5b8b_GB2312" w:eastAsia="宋体" w:hAnsi="_4eff_5b8b_GB2312" w:cs="宋体"/>
          <w:color w:val="000000"/>
          <w:kern w:val="0"/>
          <w:sz w:val="28"/>
          <w:szCs w:val="28"/>
        </w:rPr>
        <w:t>万立方米，矿山</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矿石</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生产能力</w:t>
      </w:r>
      <w:r w:rsidRPr="007D51D5">
        <w:rPr>
          <w:rFonts w:ascii="Times New Roman" w:eastAsia="宋体" w:hAnsi="Times New Roman" w:cs="Times New Roman"/>
          <w:color w:val="000000"/>
          <w:kern w:val="0"/>
          <w:sz w:val="28"/>
          <w:szCs w:val="28"/>
        </w:rPr>
        <w:t>6.00</w:t>
      </w:r>
      <w:r w:rsidRPr="007D51D5">
        <w:rPr>
          <w:rFonts w:ascii="Times New Roman" w:eastAsia="宋体" w:hAnsi="Times New Roman" w:cs="Times New Roman"/>
          <w:color w:val="000000"/>
          <w:kern w:val="0"/>
          <w:sz w:val="28"/>
          <w:szCs w:val="28"/>
        </w:rPr>
        <w:t>万立方米</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年</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荒料率</w:t>
      </w:r>
      <w:r w:rsidRPr="007D51D5">
        <w:rPr>
          <w:rFonts w:ascii="Times New Roman" w:eastAsia="宋体" w:hAnsi="Times New Roman" w:cs="Times New Roman"/>
          <w:color w:val="000000"/>
          <w:kern w:val="0"/>
          <w:sz w:val="28"/>
          <w:szCs w:val="28"/>
        </w:rPr>
        <w:t>50.7%</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年生产荒料</w:t>
      </w:r>
      <w:r w:rsidRPr="007D51D5">
        <w:rPr>
          <w:rFonts w:ascii="_4eff_5b8b_GB2312" w:eastAsia="宋体" w:hAnsi="_4eff_5b8b_GB2312" w:cs="宋体"/>
          <w:color w:val="000000"/>
          <w:kern w:val="0"/>
          <w:sz w:val="28"/>
          <w:szCs w:val="28"/>
        </w:rPr>
        <w:t>3.04</w:t>
      </w:r>
      <w:r w:rsidRPr="007D51D5">
        <w:rPr>
          <w:rFonts w:ascii="_4eff_5b8b_GB2312" w:eastAsia="宋体" w:hAnsi="_4eff_5b8b_GB2312" w:cs="宋体"/>
          <w:color w:val="000000"/>
          <w:kern w:val="0"/>
          <w:sz w:val="28"/>
          <w:szCs w:val="28"/>
        </w:rPr>
        <w:t>万立方米</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年</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w:t>
      </w:r>
      <w:r w:rsidRPr="007D51D5">
        <w:rPr>
          <w:rFonts w:ascii="_4eff_5b8b_GB2312" w:eastAsia="宋体" w:hAnsi="_4eff_5b8b_GB2312" w:cs="宋体"/>
          <w:color w:val="000000"/>
          <w:kern w:val="0"/>
          <w:sz w:val="28"/>
          <w:szCs w:val="28"/>
        </w:rPr>
        <w:t>矿山服务年限</w:t>
      </w:r>
      <w:r w:rsidRPr="007D51D5">
        <w:rPr>
          <w:rFonts w:ascii="Times New Roman" w:eastAsia="宋体" w:hAnsi="Times New Roman" w:cs="Times New Roman"/>
          <w:color w:val="000000"/>
          <w:kern w:val="0"/>
          <w:sz w:val="28"/>
          <w:szCs w:val="28"/>
        </w:rPr>
        <w:t>62.06</w:t>
      </w:r>
      <w:r w:rsidRPr="007D51D5">
        <w:rPr>
          <w:rFonts w:ascii="_4eff_5b8b_GB2312" w:eastAsia="宋体" w:hAnsi="_4eff_5b8b_GB2312" w:cs="宋体"/>
          <w:color w:val="000000"/>
          <w:kern w:val="0"/>
          <w:sz w:val="28"/>
          <w:szCs w:val="28"/>
        </w:rPr>
        <w:t>年，评估计算年限依据《采矿权评估委托书》确定为</w:t>
      </w:r>
      <w:r w:rsidRPr="007D51D5">
        <w:rPr>
          <w:rFonts w:ascii="_4eff_5b8b_GB2312" w:eastAsia="宋体" w:hAnsi="_4eff_5b8b_GB2312" w:cs="宋体"/>
          <w:color w:val="000000"/>
          <w:kern w:val="0"/>
          <w:sz w:val="28"/>
          <w:szCs w:val="28"/>
        </w:rPr>
        <w:t>5.0</w:t>
      </w:r>
      <w:r w:rsidRPr="007D51D5">
        <w:rPr>
          <w:rFonts w:ascii="_4eff_5b8b_GB2312" w:eastAsia="宋体" w:hAnsi="_4eff_5b8b_GB2312" w:cs="宋体"/>
          <w:color w:val="000000"/>
          <w:kern w:val="0"/>
          <w:sz w:val="28"/>
          <w:szCs w:val="28"/>
        </w:rPr>
        <w:t>年，评估年限内动用</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矿石</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可采储量为</w:t>
      </w:r>
      <w:r w:rsidRPr="007D51D5">
        <w:rPr>
          <w:rFonts w:ascii="_4eff_5b8b_GB2312" w:eastAsia="宋体" w:hAnsi="_4eff_5b8b_GB2312" w:cs="宋体"/>
          <w:color w:val="000000"/>
          <w:kern w:val="0"/>
          <w:sz w:val="28"/>
          <w:szCs w:val="28"/>
        </w:rPr>
        <w:t>30.00</w:t>
      </w:r>
      <w:r w:rsidRPr="007D51D5">
        <w:rPr>
          <w:rFonts w:ascii="_4eff_5b8b_GB2312" w:eastAsia="宋体" w:hAnsi="_4eff_5b8b_GB2312" w:cs="宋体"/>
          <w:color w:val="000000"/>
          <w:kern w:val="0"/>
          <w:sz w:val="28"/>
          <w:szCs w:val="28"/>
        </w:rPr>
        <w:t>万立方米</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生产荒料</w:t>
      </w:r>
      <w:r w:rsidRPr="007D51D5">
        <w:rPr>
          <w:rFonts w:ascii="_4eff_5b8b_GB2312" w:eastAsia="宋体" w:hAnsi="_4eff_5b8b_GB2312" w:cs="宋体"/>
          <w:color w:val="000000"/>
          <w:kern w:val="0"/>
          <w:sz w:val="28"/>
          <w:szCs w:val="28"/>
        </w:rPr>
        <w:t>15.20</w:t>
      </w:r>
      <w:r w:rsidRPr="007D51D5">
        <w:rPr>
          <w:rFonts w:ascii="_4eff_5b8b_GB2312" w:eastAsia="宋体" w:hAnsi="_4eff_5b8b_GB2312" w:cs="宋体"/>
          <w:color w:val="000000"/>
          <w:kern w:val="0"/>
          <w:sz w:val="28"/>
          <w:szCs w:val="28"/>
        </w:rPr>
        <w:t>万立方米</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，剩余</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矿石</w:t>
      </w:r>
      <w:r w:rsidRPr="007D51D5">
        <w:rPr>
          <w:rFonts w:ascii="Times New Roman" w:eastAsia="宋体" w:hAnsi="Times New Roman" w:cs="Times New Roman"/>
          <w:color w:val="000000"/>
          <w:kern w:val="0"/>
          <w:sz w:val="28"/>
          <w:szCs w:val="28"/>
        </w:rPr>
        <w:t>)</w:t>
      </w:r>
      <w:r w:rsidRPr="007D51D5">
        <w:rPr>
          <w:rFonts w:ascii="Times New Roman" w:eastAsia="宋体" w:hAnsi="Times New Roman" w:cs="Times New Roman"/>
          <w:color w:val="000000"/>
          <w:kern w:val="0"/>
          <w:sz w:val="28"/>
          <w:szCs w:val="28"/>
        </w:rPr>
        <w:t>可采储量</w:t>
      </w:r>
      <w:r w:rsidRPr="007D51D5">
        <w:rPr>
          <w:rFonts w:ascii="Times New Roman" w:eastAsia="宋体" w:hAnsi="Times New Roman" w:cs="Times New Roman"/>
          <w:color w:val="000000"/>
          <w:kern w:val="0"/>
          <w:sz w:val="28"/>
          <w:szCs w:val="28"/>
        </w:rPr>
        <w:t>342.36</w:t>
      </w:r>
      <w:r w:rsidRPr="007D51D5">
        <w:rPr>
          <w:rFonts w:ascii="Times New Roman" w:eastAsia="宋体" w:hAnsi="Times New Roman" w:cs="Times New Roman"/>
          <w:color w:val="000000"/>
          <w:kern w:val="0"/>
          <w:sz w:val="28"/>
          <w:szCs w:val="28"/>
        </w:rPr>
        <w:t>万立方米未参与本次评估计算</w:t>
      </w:r>
      <w:r w:rsidRPr="007D51D5">
        <w:rPr>
          <w:rFonts w:ascii="_4eff_5b8b_GB2312" w:eastAsia="宋体" w:hAnsi="_4eff_5b8b_GB2312" w:cs="宋体"/>
          <w:color w:val="000000"/>
          <w:kern w:val="0"/>
          <w:sz w:val="28"/>
          <w:szCs w:val="28"/>
        </w:rPr>
        <w:t>。荒料不含税销售价格为</w:t>
      </w:r>
      <w:r w:rsidRPr="007D51D5">
        <w:rPr>
          <w:rFonts w:ascii="Times New Roman" w:eastAsia="宋体" w:hAnsi="Times New Roman" w:cs="Times New Roman"/>
          <w:color w:val="000000"/>
          <w:kern w:val="0"/>
          <w:sz w:val="28"/>
          <w:szCs w:val="28"/>
        </w:rPr>
        <w:t>256.41</w:t>
      </w:r>
      <w:r w:rsidRPr="007D51D5">
        <w:rPr>
          <w:rFonts w:ascii="_4eff_5b8b_GB2312" w:eastAsia="宋体" w:hAnsi="_4eff_5b8b_GB2312" w:cs="宋体"/>
          <w:color w:val="000000"/>
          <w:kern w:val="0"/>
          <w:sz w:val="28"/>
          <w:szCs w:val="28"/>
        </w:rPr>
        <w:t>元</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立方米，年销售收入</w:t>
      </w:r>
      <w:r w:rsidRPr="007D51D5">
        <w:rPr>
          <w:rFonts w:ascii="Times New Roman" w:eastAsia="宋体" w:hAnsi="Times New Roman" w:cs="Times New Roman"/>
          <w:color w:val="000000"/>
          <w:kern w:val="0"/>
          <w:sz w:val="28"/>
          <w:szCs w:val="28"/>
        </w:rPr>
        <w:t>779.49</w:t>
      </w:r>
      <w:r w:rsidRPr="007D51D5">
        <w:rPr>
          <w:rFonts w:ascii="_4eff_5b8b_GB2312" w:eastAsia="宋体" w:hAnsi="_4eff_5b8b_GB2312" w:cs="宋体"/>
          <w:color w:val="000000"/>
          <w:kern w:val="0"/>
          <w:sz w:val="28"/>
          <w:szCs w:val="28"/>
        </w:rPr>
        <w:t>万元。采矿权权益系数</w:t>
      </w:r>
      <w:r w:rsidRPr="007D51D5">
        <w:rPr>
          <w:rFonts w:ascii="_4eff_5b8b_GB2312" w:eastAsia="宋体" w:hAnsi="_4eff_5b8b_GB2312" w:cs="宋体"/>
          <w:color w:val="000000"/>
          <w:kern w:val="0"/>
          <w:sz w:val="28"/>
          <w:szCs w:val="28"/>
        </w:rPr>
        <w:t>4.</w:t>
      </w:r>
      <w:r w:rsidRPr="007D51D5">
        <w:rPr>
          <w:rFonts w:ascii="Times New Roman" w:eastAsia="宋体" w:hAnsi="Times New Roman" w:cs="Times New Roman"/>
          <w:color w:val="000000"/>
          <w:kern w:val="0"/>
          <w:sz w:val="28"/>
          <w:szCs w:val="28"/>
        </w:rPr>
        <w:t>20%</w:t>
      </w:r>
      <w:r w:rsidRPr="007D51D5">
        <w:rPr>
          <w:rFonts w:ascii="Times New Roman" w:eastAsia="宋体" w:hAnsi="Times New Roman" w:cs="Times New Roman"/>
          <w:color w:val="000000"/>
          <w:kern w:val="0"/>
          <w:sz w:val="28"/>
          <w:szCs w:val="28"/>
        </w:rPr>
        <w:t>，折现率</w:t>
      </w:r>
      <w:r w:rsidRPr="007D51D5">
        <w:rPr>
          <w:rFonts w:ascii="Times New Roman" w:eastAsia="宋体" w:hAnsi="Times New Roman" w:cs="Times New Roman"/>
          <w:color w:val="000000"/>
          <w:kern w:val="0"/>
          <w:sz w:val="28"/>
          <w:szCs w:val="28"/>
        </w:rPr>
        <w:t>8%</w:t>
      </w:r>
      <w:r w:rsidRPr="007D51D5">
        <w:rPr>
          <w:rFonts w:ascii="Times New Roman" w:eastAsia="宋体" w:hAnsi="Times New Roman" w:cs="Times New Roman"/>
          <w:color w:val="000000"/>
          <w:kern w:val="0"/>
          <w:sz w:val="28"/>
          <w:szCs w:val="28"/>
        </w:rPr>
        <w:t>。</w:t>
      </w:r>
    </w:p>
    <w:p w:rsidR="007D51D5" w:rsidRPr="007D51D5" w:rsidRDefault="007D51D5" w:rsidP="007D51D5">
      <w:pPr>
        <w:widowControl/>
        <w:spacing w:before="100" w:beforeAutospacing="1" w:after="100" w:afterAutospacing="1" w:line="276" w:lineRule="atLeast"/>
        <w:ind w:firstLine="560"/>
        <w:textAlignment w:val="baseline"/>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评估结论：</w:t>
      </w:r>
      <w:r w:rsidRPr="007D51D5">
        <w:rPr>
          <w:rFonts w:ascii="_4eff_5b8b_GB2312" w:eastAsia="宋体" w:hAnsi="_4eff_5b8b_GB2312" w:cs="宋体"/>
          <w:color w:val="000000"/>
          <w:kern w:val="0"/>
          <w:sz w:val="28"/>
          <w:szCs w:val="28"/>
        </w:rPr>
        <w:t>我公司评估人员在调查、分析和询证本次评估对象的基础上，依据矿业权评估的原则和程序，选取适当的评估方法和评估参数，经过认真计算后确定</w:t>
      </w:r>
      <w:r w:rsidRPr="007D51D5">
        <w:rPr>
          <w:rFonts w:ascii="Times New Roman" w:eastAsia="宋体" w:hAnsi="Times New Roman" w:cs="Times New Roman"/>
          <w:b/>
          <w:bCs/>
          <w:color w:val="000000"/>
          <w:kern w:val="0"/>
          <w:sz w:val="28"/>
          <w:szCs w:val="28"/>
        </w:rPr>
        <w:t>“</w:t>
      </w:r>
      <w:r w:rsidRPr="007D51D5">
        <w:rPr>
          <w:rFonts w:ascii="Times New Roman" w:eastAsia="宋体" w:hAnsi="Times New Roman" w:cs="Times New Roman"/>
          <w:b/>
          <w:bCs/>
          <w:color w:val="000000"/>
          <w:kern w:val="0"/>
          <w:sz w:val="28"/>
          <w:szCs w:val="28"/>
        </w:rPr>
        <w:t>湖南省平江县伍市镇安乐</w:t>
      </w:r>
      <w:r w:rsidRPr="007D51D5">
        <w:rPr>
          <w:rFonts w:ascii="Times New Roman" w:eastAsia="宋体" w:hAnsi="Times New Roman" w:cs="Times New Roman"/>
          <w:b/>
          <w:bCs/>
          <w:color w:val="000000"/>
          <w:kern w:val="0"/>
          <w:sz w:val="28"/>
          <w:szCs w:val="28"/>
        </w:rPr>
        <w:t>-</w:t>
      </w:r>
      <w:r w:rsidRPr="007D51D5">
        <w:rPr>
          <w:rFonts w:ascii="Times New Roman" w:eastAsia="宋体" w:hAnsi="Times New Roman" w:cs="Times New Roman"/>
          <w:b/>
          <w:bCs/>
          <w:color w:val="000000"/>
          <w:kern w:val="0"/>
          <w:sz w:val="28"/>
          <w:szCs w:val="28"/>
        </w:rPr>
        <w:t>金石饰面用花岗岩矿</w:t>
      </w:r>
      <w:r w:rsidRPr="007D51D5">
        <w:rPr>
          <w:rFonts w:ascii="_4eff_5b8b_GB2312" w:eastAsia="宋体" w:hAnsi="_4eff_5b8b_GB2312" w:cs="宋体"/>
          <w:b/>
          <w:bCs/>
          <w:color w:val="000000"/>
          <w:kern w:val="0"/>
          <w:sz w:val="28"/>
          <w:szCs w:val="28"/>
        </w:rPr>
        <w:t>采矿权</w:t>
      </w:r>
      <w:r w:rsidRPr="007D51D5">
        <w:rPr>
          <w:rFonts w:ascii="_4eff_5b8b_GB2312" w:eastAsia="宋体" w:hAnsi="_4eff_5b8b_GB2312" w:cs="宋体"/>
          <w:b/>
          <w:bCs/>
          <w:color w:val="000000"/>
          <w:kern w:val="0"/>
          <w:sz w:val="28"/>
          <w:szCs w:val="28"/>
        </w:rPr>
        <w:t xml:space="preserve">” </w:t>
      </w:r>
      <w:r w:rsidRPr="007D51D5">
        <w:rPr>
          <w:rFonts w:ascii="_4eff_5b8b_GB2312" w:eastAsia="宋体" w:hAnsi="_4eff_5b8b_GB2312" w:cs="宋体"/>
          <w:b/>
          <w:bCs/>
          <w:color w:val="000000"/>
          <w:kern w:val="0"/>
          <w:sz w:val="28"/>
          <w:szCs w:val="28"/>
        </w:rPr>
        <w:t>出让</w:t>
      </w:r>
      <w:r w:rsidRPr="007D51D5">
        <w:rPr>
          <w:rFonts w:ascii="Times New Roman" w:eastAsia="宋体" w:hAnsi="Times New Roman" w:cs="Times New Roman"/>
          <w:b/>
          <w:bCs/>
          <w:color w:val="000000"/>
          <w:kern w:val="0"/>
          <w:sz w:val="28"/>
          <w:szCs w:val="28"/>
        </w:rPr>
        <w:t>5.0</w:t>
      </w:r>
      <w:r w:rsidRPr="007D51D5">
        <w:rPr>
          <w:rFonts w:ascii="_4eff_5b8b_GB2312" w:eastAsia="宋体" w:hAnsi="_4eff_5b8b_GB2312" w:cs="宋体"/>
          <w:b/>
          <w:bCs/>
          <w:color w:val="000000"/>
          <w:kern w:val="0"/>
          <w:sz w:val="28"/>
          <w:szCs w:val="28"/>
        </w:rPr>
        <w:t>年（拟动用矿石可采储量</w:t>
      </w:r>
      <w:r w:rsidRPr="007D51D5">
        <w:rPr>
          <w:rFonts w:ascii="Times New Roman" w:eastAsia="宋体" w:hAnsi="Times New Roman" w:cs="Times New Roman"/>
          <w:b/>
          <w:bCs/>
          <w:color w:val="000000"/>
          <w:kern w:val="0"/>
          <w:sz w:val="28"/>
          <w:szCs w:val="28"/>
        </w:rPr>
        <w:t>30.00</w:t>
      </w:r>
      <w:r w:rsidRPr="007D51D5">
        <w:rPr>
          <w:rFonts w:ascii="_4eff_5b8b_GB2312" w:eastAsia="宋体" w:hAnsi="_4eff_5b8b_GB2312" w:cs="宋体"/>
          <w:b/>
          <w:bCs/>
          <w:color w:val="000000"/>
          <w:kern w:val="0"/>
          <w:sz w:val="28"/>
          <w:szCs w:val="28"/>
        </w:rPr>
        <w:t>万立方米，</w:t>
      </w:r>
      <w:r w:rsidRPr="007D51D5">
        <w:rPr>
          <w:rFonts w:ascii="_4eff_5b8b_GB2312" w:eastAsia="宋体" w:hAnsi="_4eff_5b8b_GB2312" w:cs="宋体"/>
          <w:b/>
          <w:bCs/>
          <w:color w:val="000000"/>
          <w:kern w:val="0"/>
          <w:sz w:val="28"/>
          <w:szCs w:val="28"/>
        </w:rPr>
        <w:lastRenderedPageBreak/>
        <w:t>荒料量</w:t>
      </w:r>
      <w:r w:rsidRPr="007D51D5">
        <w:rPr>
          <w:rFonts w:ascii="_4eff_5b8b_GB2312" w:eastAsia="宋体" w:hAnsi="_4eff_5b8b_GB2312" w:cs="宋体"/>
          <w:b/>
          <w:bCs/>
          <w:color w:val="000000"/>
          <w:kern w:val="0"/>
          <w:sz w:val="28"/>
          <w:szCs w:val="28"/>
        </w:rPr>
        <w:t>15.20</w:t>
      </w:r>
      <w:r w:rsidRPr="007D51D5">
        <w:rPr>
          <w:rFonts w:ascii="_4eff_5b8b_GB2312" w:eastAsia="宋体" w:hAnsi="_4eff_5b8b_GB2312" w:cs="宋体"/>
          <w:b/>
          <w:bCs/>
          <w:color w:val="000000"/>
          <w:kern w:val="0"/>
          <w:sz w:val="28"/>
          <w:szCs w:val="28"/>
        </w:rPr>
        <w:t>万立方米）评估价值为人民币</w:t>
      </w:r>
      <w:r w:rsidRPr="007D51D5">
        <w:rPr>
          <w:rFonts w:ascii="Times New Roman" w:eastAsia="宋体" w:hAnsi="Times New Roman" w:cs="Times New Roman"/>
          <w:b/>
          <w:bCs/>
          <w:color w:val="000000"/>
          <w:kern w:val="0"/>
          <w:sz w:val="28"/>
          <w:szCs w:val="28"/>
        </w:rPr>
        <w:t>131.23</w:t>
      </w:r>
      <w:r w:rsidRPr="007D51D5">
        <w:rPr>
          <w:rFonts w:ascii="_4eff_5b8b_GB2312" w:eastAsia="宋体" w:hAnsi="_4eff_5b8b_GB2312" w:cs="宋体"/>
          <w:b/>
          <w:bCs/>
          <w:color w:val="000000"/>
          <w:kern w:val="0"/>
          <w:sz w:val="28"/>
          <w:szCs w:val="28"/>
        </w:rPr>
        <w:t>万元，大写：壹佰叁拾壹万贰仟叁佰元整。</w:t>
      </w:r>
    </w:p>
    <w:p w:rsidR="007D51D5" w:rsidRPr="007D51D5" w:rsidRDefault="007D51D5" w:rsidP="007D51D5">
      <w:pPr>
        <w:widowControl/>
        <w:spacing w:before="100" w:beforeAutospacing="1" w:after="100" w:afterAutospacing="1" w:line="276" w:lineRule="atLeast"/>
        <w:ind w:firstLine="560"/>
        <w:textAlignment w:val="baseline"/>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另：矿山</w:t>
      </w:r>
      <w:r w:rsidRPr="007D51D5">
        <w:rPr>
          <w:rFonts w:ascii="_4eff_5b8b_GB2312" w:eastAsia="宋体" w:hAnsi="_4eff_5b8b_GB2312" w:cs="宋体"/>
          <w:b/>
          <w:bCs/>
          <w:color w:val="000000"/>
          <w:kern w:val="0"/>
          <w:sz w:val="28"/>
          <w:szCs w:val="28"/>
        </w:rPr>
        <w:t>2013</w:t>
      </w:r>
      <w:r w:rsidRPr="007D51D5">
        <w:rPr>
          <w:rFonts w:ascii="_4eff_5b8b_GB2312" w:eastAsia="宋体" w:hAnsi="_4eff_5b8b_GB2312" w:cs="宋体"/>
          <w:b/>
          <w:bCs/>
          <w:color w:val="000000"/>
          <w:kern w:val="0"/>
          <w:sz w:val="28"/>
          <w:szCs w:val="28"/>
        </w:rPr>
        <w:t>年至</w:t>
      </w:r>
      <w:r w:rsidRPr="007D51D5">
        <w:rPr>
          <w:rFonts w:ascii="_4eff_5b8b_GB2312" w:eastAsia="宋体" w:hAnsi="_4eff_5b8b_GB2312" w:cs="宋体"/>
          <w:b/>
          <w:bCs/>
          <w:color w:val="000000"/>
          <w:kern w:val="0"/>
          <w:sz w:val="28"/>
          <w:szCs w:val="28"/>
        </w:rPr>
        <w:t>2016</w:t>
      </w:r>
      <w:r w:rsidRPr="007D51D5">
        <w:rPr>
          <w:rFonts w:ascii="_4eff_5b8b_GB2312" w:eastAsia="宋体" w:hAnsi="_4eff_5b8b_GB2312" w:cs="宋体"/>
          <w:b/>
          <w:bCs/>
          <w:color w:val="000000"/>
          <w:kern w:val="0"/>
          <w:sz w:val="28"/>
          <w:szCs w:val="28"/>
        </w:rPr>
        <w:t>年</w:t>
      </w:r>
      <w:r w:rsidRPr="007D51D5">
        <w:rPr>
          <w:rFonts w:ascii="_4eff_5b8b_GB2312" w:eastAsia="宋体" w:hAnsi="_4eff_5b8b_GB2312" w:cs="宋体"/>
          <w:b/>
          <w:bCs/>
          <w:color w:val="000000"/>
          <w:kern w:val="0"/>
          <w:sz w:val="28"/>
          <w:szCs w:val="28"/>
        </w:rPr>
        <w:t>11</w:t>
      </w:r>
      <w:r w:rsidRPr="007D51D5">
        <w:rPr>
          <w:rFonts w:ascii="_4eff_5b8b_GB2312" w:eastAsia="宋体" w:hAnsi="_4eff_5b8b_GB2312" w:cs="宋体"/>
          <w:b/>
          <w:bCs/>
          <w:color w:val="000000"/>
          <w:kern w:val="0"/>
          <w:sz w:val="28"/>
          <w:szCs w:val="28"/>
        </w:rPr>
        <w:t>月间累计超采资源储量为</w:t>
      </w:r>
      <w:r w:rsidRPr="007D51D5">
        <w:rPr>
          <w:rFonts w:ascii="_4eff_5b8b_GB2312" w:eastAsia="宋体" w:hAnsi="_4eff_5b8b_GB2312" w:cs="宋体"/>
          <w:b/>
          <w:bCs/>
          <w:color w:val="000000"/>
          <w:kern w:val="0"/>
          <w:sz w:val="28"/>
          <w:szCs w:val="28"/>
        </w:rPr>
        <w:t>11.60</w:t>
      </w:r>
      <w:r w:rsidRPr="007D51D5">
        <w:rPr>
          <w:rFonts w:ascii="_4eff_5b8b_GB2312" w:eastAsia="宋体" w:hAnsi="_4eff_5b8b_GB2312" w:cs="宋体"/>
          <w:b/>
          <w:bCs/>
          <w:color w:val="000000"/>
          <w:kern w:val="0"/>
          <w:sz w:val="28"/>
          <w:szCs w:val="28"/>
        </w:rPr>
        <w:t>万立方米需补充缴纳采矿权价款，按本次评估单位原矿价值计算对应采矿权评估价值为人民币</w:t>
      </w:r>
      <w:r w:rsidRPr="007D51D5">
        <w:rPr>
          <w:rFonts w:ascii="_4eff_5b8b_GB2312" w:eastAsia="宋体" w:hAnsi="_4eff_5b8b_GB2312" w:cs="宋体"/>
          <w:b/>
          <w:bCs/>
          <w:color w:val="000000"/>
          <w:kern w:val="0"/>
          <w:sz w:val="28"/>
          <w:szCs w:val="28"/>
        </w:rPr>
        <w:t>50.74</w:t>
      </w:r>
      <w:r w:rsidRPr="007D51D5">
        <w:rPr>
          <w:rFonts w:ascii="_4eff_5b8b_GB2312" w:eastAsia="宋体" w:hAnsi="_4eff_5b8b_GB2312" w:cs="宋体"/>
          <w:b/>
          <w:bCs/>
          <w:color w:val="000000"/>
          <w:kern w:val="0"/>
          <w:sz w:val="28"/>
          <w:szCs w:val="28"/>
        </w:rPr>
        <w:t>万元，大写伍拾万柒仟肆佰元整。</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评估有关事项声明：</w:t>
      </w:r>
    </w:p>
    <w:p w:rsidR="007D51D5" w:rsidRPr="007D51D5" w:rsidRDefault="007D51D5" w:rsidP="007D51D5">
      <w:pPr>
        <w:widowControl/>
        <w:spacing w:before="100" w:beforeAutospacing="1" w:after="100" w:afterAutospacing="1" w:line="276" w:lineRule="atLeast"/>
        <w:ind w:right="-29"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t>根据国土资规</w:t>
      </w:r>
      <w:r w:rsidRPr="007D51D5">
        <w:rPr>
          <w:rFonts w:ascii="_4eff_5b8b_GB2312" w:eastAsia="宋体" w:hAnsi="_4eff_5b8b_GB2312" w:cs="宋体"/>
          <w:color w:val="000000"/>
          <w:kern w:val="0"/>
          <w:sz w:val="28"/>
          <w:szCs w:val="28"/>
        </w:rPr>
        <w:t>[2017] 5</w:t>
      </w:r>
      <w:r w:rsidRPr="007D51D5">
        <w:rPr>
          <w:rFonts w:ascii="_4eff_5b8b_GB2312" w:eastAsia="宋体" w:hAnsi="_4eff_5b8b_GB2312" w:cs="宋体"/>
          <w:color w:val="000000"/>
          <w:kern w:val="0"/>
          <w:sz w:val="28"/>
          <w:szCs w:val="28"/>
        </w:rPr>
        <w:t>号文规定，评估结果自公开之日起有效期一年。超过有效期此评估结论无效，需重新进行评估。</w:t>
      </w:r>
    </w:p>
    <w:p w:rsidR="007D51D5" w:rsidRPr="007D51D5" w:rsidRDefault="007D51D5" w:rsidP="007D51D5">
      <w:pPr>
        <w:widowControl/>
        <w:spacing w:before="100" w:beforeAutospacing="1" w:after="100" w:afterAutospacing="1" w:line="276" w:lineRule="atLeast"/>
        <w:ind w:right="-29"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t>本报告仅供评估委托人为报告所列明的价款评估这一特定目的而编制。评估报告专为评估委托人使用，未经委托人同意，不得向他人提供或公开。除依据法律须公开的情形外，本评估报告的全部或部分内容不得发表于任何公开媒体上。</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b/>
          <w:bCs/>
          <w:color w:val="000000"/>
          <w:kern w:val="0"/>
          <w:sz w:val="28"/>
          <w:szCs w:val="28"/>
        </w:rPr>
        <w:t>重要提示：</w:t>
      </w:r>
    </w:p>
    <w:p w:rsidR="007D51D5" w:rsidRPr="007D51D5" w:rsidRDefault="007D51D5" w:rsidP="007D51D5">
      <w:pPr>
        <w:widowControl/>
        <w:spacing w:before="100" w:beforeAutospacing="1" w:after="100" w:afterAutospacing="1" w:line="276" w:lineRule="atLeast"/>
        <w:ind w:right="-29"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t>本评估报告所利用的资源储量数据和技术经济参数主要根据评估委托人提供的《湖南省平江县伍市镇安乐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金石饰面用花岗岩资源储量核实报告》（</w:t>
      </w:r>
      <w:r w:rsidRPr="007D51D5">
        <w:rPr>
          <w:rFonts w:ascii="_4eff_5b8b_GB2312" w:eastAsia="宋体" w:hAnsi="_4eff_5b8b_GB2312" w:cs="宋体"/>
          <w:color w:val="000000"/>
          <w:kern w:val="0"/>
          <w:sz w:val="28"/>
          <w:szCs w:val="28"/>
        </w:rPr>
        <w:t>2016</w:t>
      </w:r>
      <w:r w:rsidRPr="007D51D5">
        <w:rPr>
          <w:rFonts w:ascii="_4eff_5b8b_GB2312" w:eastAsia="宋体" w:hAnsi="_4eff_5b8b_GB2312" w:cs="宋体"/>
          <w:color w:val="000000"/>
          <w:kern w:val="0"/>
          <w:sz w:val="28"/>
          <w:szCs w:val="28"/>
        </w:rPr>
        <w:t>年</w:t>
      </w:r>
      <w:r w:rsidRPr="007D51D5">
        <w:rPr>
          <w:rFonts w:ascii="_4eff_5b8b_GB2312" w:eastAsia="宋体" w:hAnsi="_4eff_5b8b_GB2312" w:cs="宋体"/>
          <w:color w:val="000000"/>
          <w:kern w:val="0"/>
          <w:sz w:val="28"/>
          <w:szCs w:val="28"/>
        </w:rPr>
        <w:t>12</w:t>
      </w:r>
      <w:r w:rsidRPr="007D51D5">
        <w:rPr>
          <w:rFonts w:ascii="_4eff_5b8b_GB2312" w:eastAsia="宋体" w:hAnsi="_4eff_5b8b_GB2312" w:cs="宋体"/>
          <w:color w:val="000000"/>
          <w:kern w:val="0"/>
          <w:sz w:val="28"/>
          <w:szCs w:val="28"/>
        </w:rPr>
        <w:t>月）、《湖南省平江县伍市镇安乐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金石饰面用花岗岩矿开发利用方案》（</w:t>
      </w:r>
      <w:r w:rsidRPr="007D51D5">
        <w:rPr>
          <w:rFonts w:ascii="_4eff_5b8b_GB2312" w:eastAsia="宋体" w:hAnsi="_4eff_5b8b_GB2312" w:cs="宋体"/>
          <w:color w:val="000000"/>
          <w:kern w:val="0"/>
          <w:sz w:val="28"/>
          <w:szCs w:val="28"/>
        </w:rPr>
        <w:t>2013</w:t>
      </w:r>
      <w:r w:rsidRPr="007D51D5">
        <w:rPr>
          <w:rFonts w:ascii="_4eff_5b8b_GB2312" w:eastAsia="宋体" w:hAnsi="_4eff_5b8b_GB2312" w:cs="宋体"/>
          <w:color w:val="000000"/>
          <w:kern w:val="0"/>
          <w:sz w:val="28"/>
          <w:szCs w:val="28"/>
        </w:rPr>
        <w:t>年</w:t>
      </w:r>
      <w:r w:rsidRPr="007D51D5">
        <w:rPr>
          <w:rFonts w:ascii="_4eff_5b8b_GB2312" w:eastAsia="宋体" w:hAnsi="_4eff_5b8b_GB2312" w:cs="宋体"/>
          <w:color w:val="000000"/>
          <w:kern w:val="0"/>
          <w:sz w:val="28"/>
          <w:szCs w:val="28"/>
        </w:rPr>
        <w:t>4</w:t>
      </w:r>
      <w:r w:rsidRPr="007D51D5">
        <w:rPr>
          <w:rFonts w:ascii="_4eff_5b8b_GB2312" w:eastAsia="宋体" w:hAnsi="_4eff_5b8b_GB2312" w:cs="宋体"/>
          <w:color w:val="000000"/>
          <w:kern w:val="0"/>
          <w:sz w:val="28"/>
          <w:szCs w:val="28"/>
        </w:rPr>
        <w:t>月）及岳阳市国土资源局提供资料以及评估人员收集的市场价格信息综合确定。</w:t>
      </w:r>
    </w:p>
    <w:p w:rsidR="007D51D5" w:rsidRPr="007D51D5" w:rsidRDefault="007D51D5" w:rsidP="007D51D5">
      <w:pPr>
        <w:widowControl/>
        <w:spacing w:before="100" w:beforeAutospacing="1" w:after="100" w:afterAutospacing="1" w:line="276" w:lineRule="atLeast"/>
        <w:ind w:right="-29"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lastRenderedPageBreak/>
        <w:t>本次评估结论为我公司评估人员根据该采矿权价款评估的特定目的对评估对象价值所作出的专业分析判断，其结论不是实际价值实现的保证。</w:t>
      </w:r>
    </w:p>
    <w:p w:rsidR="007D51D5" w:rsidRPr="007D51D5" w:rsidRDefault="007D51D5" w:rsidP="007D51D5">
      <w:pPr>
        <w:widowControl/>
        <w:spacing w:before="100" w:beforeAutospacing="1" w:after="100" w:afterAutospacing="1" w:line="276" w:lineRule="atLeast"/>
        <w:ind w:right="-29"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t>以上内容摘自《湖南省平江县伍市镇安乐</w:t>
      </w:r>
      <w:r w:rsidRPr="007D51D5">
        <w:rPr>
          <w:rFonts w:ascii="_4eff_5b8b_GB2312" w:eastAsia="宋体" w:hAnsi="_4eff_5b8b_GB2312" w:cs="宋体"/>
          <w:color w:val="000000"/>
          <w:kern w:val="0"/>
          <w:sz w:val="28"/>
          <w:szCs w:val="28"/>
        </w:rPr>
        <w:t>-</w:t>
      </w:r>
      <w:r w:rsidRPr="007D51D5">
        <w:rPr>
          <w:rFonts w:ascii="_4eff_5b8b_GB2312" w:eastAsia="宋体" w:hAnsi="_4eff_5b8b_GB2312" w:cs="宋体"/>
          <w:color w:val="000000"/>
          <w:kern w:val="0"/>
          <w:sz w:val="28"/>
          <w:szCs w:val="28"/>
        </w:rPr>
        <w:t>金石饰面用花岗岩矿采矿权评估报告》，欲了解本评估项目的全面情况，敬请认真阅读本评估报告全文。</w:t>
      </w:r>
    </w:p>
    <w:p w:rsidR="007D51D5" w:rsidRPr="007D51D5" w:rsidRDefault="007D51D5" w:rsidP="007D51D5">
      <w:pPr>
        <w:widowControl/>
        <w:spacing w:before="100" w:beforeAutospacing="1" w:after="100" w:afterAutospacing="1" w:line="276" w:lineRule="atLeast"/>
        <w:ind w:right="-29" w:firstLine="560"/>
        <w:rPr>
          <w:rFonts w:ascii="宋体" w:eastAsia="宋体" w:hAnsi="宋体" w:cs="宋体"/>
          <w:color w:val="000000"/>
          <w:kern w:val="0"/>
          <w:sz w:val="24"/>
          <w:szCs w:val="24"/>
        </w:rPr>
      </w:pPr>
      <w:r w:rsidRPr="007D51D5">
        <w:rPr>
          <w:rFonts w:ascii="Times New Roman" w:eastAsia="宋体" w:hAnsi="Times New Roman" w:cs="Times New Roman"/>
          <w:color w:val="000000"/>
          <w:kern w:val="0"/>
          <w:sz w:val="28"/>
          <w:szCs w:val="28"/>
        </w:rPr>
        <w:t> </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t>法定代表人：</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Times New Roman" w:eastAsia="宋体" w:hAnsi="Times New Roman" w:cs="Times New Roman"/>
          <w:color w:val="000000"/>
          <w:kern w:val="0"/>
          <w:sz w:val="28"/>
          <w:szCs w:val="28"/>
        </w:rPr>
        <w:t> </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Times New Roman" w:eastAsia="宋体" w:hAnsi="Times New Roman" w:cs="Times New Roman"/>
          <w:color w:val="000000"/>
          <w:kern w:val="0"/>
          <w:sz w:val="28"/>
          <w:szCs w:val="28"/>
        </w:rPr>
        <w:t> </w:t>
      </w:r>
      <w:r w:rsidRPr="007D51D5">
        <w:rPr>
          <w:rFonts w:ascii="_4eff_5b8b_GB2312" w:eastAsia="宋体" w:hAnsi="_4eff_5b8b_GB2312" w:cs="宋体"/>
          <w:color w:val="000000"/>
          <w:kern w:val="0"/>
          <w:sz w:val="28"/>
          <w:szCs w:val="28"/>
        </w:rPr>
        <w:t>矿业权评估师：</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Times New Roman" w:eastAsia="宋体" w:hAnsi="Times New Roman" w:cs="Times New Roman"/>
          <w:color w:val="000000"/>
          <w:kern w:val="0"/>
          <w:sz w:val="28"/>
          <w:szCs w:val="28"/>
        </w:rPr>
        <w:t> </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r w:rsidRPr="007D51D5">
        <w:rPr>
          <w:rFonts w:ascii="_4eff_5b8b_GB2312" w:eastAsia="宋体" w:hAnsi="_4eff_5b8b_GB2312" w:cs="宋体"/>
          <w:color w:val="000000"/>
          <w:kern w:val="0"/>
          <w:sz w:val="28"/>
          <w:szCs w:val="28"/>
        </w:rPr>
        <w:t>矿业权评估师：</w:t>
      </w:r>
    </w:p>
    <w:p w:rsidR="007D51D5" w:rsidRPr="007D51D5" w:rsidRDefault="007D51D5" w:rsidP="007D51D5">
      <w:pPr>
        <w:widowControl/>
        <w:spacing w:before="100" w:beforeAutospacing="1" w:after="100" w:afterAutospacing="1" w:line="276" w:lineRule="atLeast"/>
        <w:ind w:right="-277" w:firstLine="560"/>
        <w:rPr>
          <w:rFonts w:ascii="宋体" w:eastAsia="宋体" w:hAnsi="宋体" w:cs="宋体"/>
          <w:color w:val="000000"/>
          <w:kern w:val="0"/>
          <w:sz w:val="24"/>
          <w:szCs w:val="24"/>
        </w:rPr>
      </w:pPr>
    </w:p>
    <w:p w:rsidR="007D51D5" w:rsidRPr="007D51D5" w:rsidRDefault="007D51D5" w:rsidP="007D51D5">
      <w:pPr>
        <w:widowControl/>
        <w:spacing w:before="100" w:beforeAutospacing="1" w:after="100" w:afterAutospacing="1" w:line="276" w:lineRule="atLeast"/>
        <w:ind w:right="-29"/>
        <w:rPr>
          <w:rFonts w:ascii="宋体" w:eastAsia="宋体" w:hAnsi="宋体" w:cs="宋体"/>
          <w:color w:val="000000"/>
          <w:kern w:val="0"/>
          <w:sz w:val="24"/>
          <w:szCs w:val="24"/>
        </w:rPr>
      </w:pPr>
      <w:r w:rsidRPr="007D51D5">
        <w:rPr>
          <w:rFonts w:ascii="Times New Roman" w:eastAsia="宋体" w:hAnsi="Times New Roman" w:cs="Times New Roman"/>
          <w:color w:val="000000"/>
          <w:kern w:val="0"/>
          <w:sz w:val="28"/>
          <w:szCs w:val="28"/>
        </w:rPr>
        <w:t>                              </w:t>
      </w:r>
      <w:r w:rsidRPr="007D51D5">
        <w:rPr>
          <w:rFonts w:ascii="Times New Roman" w:eastAsia="宋体" w:hAnsi="Times New Roman" w:cs="Times New Roman"/>
          <w:color w:val="000000"/>
          <w:kern w:val="0"/>
          <w:sz w:val="28"/>
        </w:rPr>
        <w:t> </w:t>
      </w:r>
      <w:r w:rsidRPr="007D51D5">
        <w:rPr>
          <w:rFonts w:ascii="Times New Roman" w:eastAsia="宋体" w:hAnsi="Times New Roman" w:cs="Times New Roman"/>
          <w:color w:val="000000"/>
          <w:kern w:val="0"/>
          <w:sz w:val="28"/>
          <w:szCs w:val="28"/>
        </w:rPr>
        <w:t>重庆国能探矿权采矿权评估有限公司</w:t>
      </w:r>
    </w:p>
    <w:p w:rsidR="007D51D5" w:rsidRPr="007D51D5" w:rsidRDefault="007D51D5" w:rsidP="007D51D5">
      <w:pPr>
        <w:widowControl/>
        <w:spacing w:before="100" w:beforeAutospacing="1" w:after="100" w:afterAutospacing="1" w:line="276" w:lineRule="atLeast"/>
        <w:ind w:right="-29"/>
        <w:rPr>
          <w:rFonts w:ascii="宋体" w:eastAsia="宋体" w:hAnsi="宋体" w:cs="宋体"/>
          <w:color w:val="000000"/>
          <w:kern w:val="0"/>
          <w:sz w:val="24"/>
          <w:szCs w:val="24"/>
        </w:rPr>
      </w:pPr>
      <w:r>
        <w:rPr>
          <w:rFonts w:ascii="_4eff_5b8b_GB2312" w:eastAsia="宋体" w:hAnsi="_4eff_5b8b_GB2312" w:cs="宋体" w:hint="eastAsia"/>
          <w:color w:val="000000"/>
          <w:kern w:val="0"/>
          <w:sz w:val="28"/>
          <w:szCs w:val="28"/>
        </w:rPr>
        <w:t xml:space="preserve">                         </w:t>
      </w:r>
      <w:r w:rsidRPr="007D51D5">
        <w:rPr>
          <w:rFonts w:ascii="_4eff_5b8b_GB2312" w:eastAsia="宋体" w:hAnsi="_4eff_5b8b_GB2312" w:cs="宋体"/>
          <w:color w:val="000000"/>
          <w:kern w:val="0"/>
          <w:sz w:val="28"/>
          <w:szCs w:val="28"/>
        </w:rPr>
        <w:t>二</w:t>
      </w:r>
      <w:r w:rsidRPr="007D51D5">
        <w:rPr>
          <w:rFonts w:ascii="_5b8b_4f53" w:eastAsia="宋体" w:hAnsi="_5b8b_4f53" w:cs="宋体"/>
          <w:color w:val="000000"/>
          <w:kern w:val="0"/>
          <w:sz w:val="28"/>
          <w:szCs w:val="28"/>
        </w:rPr>
        <w:t>〇</w:t>
      </w:r>
      <w:r w:rsidRPr="007D51D5">
        <w:rPr>
          <w:rFonts w:ascii="_4eff_5b8b_GB2312" w:eastAsia="宋体" w:hAnsi="_4eff_5b8b_GB2312" w:cs="宋体"/>
          <w:color w:val="000000"/>
          <w:kern w:val="0"/>
          <w:sz w:val="28"/>
          <w:szCs w:val="28"/>
        </w:rPr>
        <w:t>一七年八月十八日</w:t>
      </w:r>
    </w:p>
    <w:p w:rsidR="007D51D5" w:rsidRPr="007D51D5" w:rsidRDefault="007D51D5" w:rsidP="007D51D5">
      <w:pPr>
        <w:widowControl/>
        <w:spacing w:before="100" w:beforeAutospacing="1" w:after="100" w:afterAutospacing="1"/>
        <w:rPr>
          <w:rFonts w:ascii="宋体" w:eastAsia="宋体" w:hAnsi="宋体" w:cs="宋体"/>
          <w:color w:val="000000"/>
          <w:kern w:val="0"/>
          <w:sz w:val="24"/>
          <w:szCs w:val="24"/>
        </w:rPr>
      </w:pPr>
      <w:r w:rsidRPr="007D51D5">
        <w:rPr>
          <w:rFonts w:ascii="Calibri" w:eastAsia="宋体" w:hAnsi="Calibri" w:cs="宋体"/>
          <w:color w:val="000000"/>
          <w:kern w:val="0"/>
          <w:sz w:val="24"/>
          <w:szCs w:val="24"/>
        </w:rPr>
        <w:t> </w:t>
      </w:r>
    </w:p>
    <w:p w:rsidR="00B3516A" w:rsidRDefault="00B3516A">
      <w:pPr>
        <w:rPr>
          <w:rFonts w:hint="eastAsia"/>
        </w:rPr>
      </w:pPr>
    </w:p>
    <w:sectPr w:rsidR="00B35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6A" w:rsidRDefault="00B3516A" w:rsidP="007D51D5">
      <w:r>
        <w:separator/>
      </w:r>
    </w:p>
  </w:endnote>
  <w:endnote w:type="continuationSeparator" w:id="1">
    <w:p w:rsidR="00B3516A" w:rsidRDefault="00B3516A" w:rsidP="007D5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534e_6587_4e2d_5b8b">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_4eff_5b8b_GB2312">
    <w:altName w:val="Times New Roman"/>
    <w:panose1 w:val="00000000000000000000"/>
    <w:charset w:val="00"/>
    <w:family w:val="roman"/>
    <w:notTrueType/>
    <w:pitch w:val="default"/>
    <w:sig w:usb0="00000000" w:usb1="00000000" w:usb2="00000000" w:usb3="00000000" w:csb0="00000000" w:csb1="00000000"/>
  </w:font>
  <w:font w:name="_5b8b_4f53">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6A" w:rsidRDefault="00B3516A" w:rsidP="007D51D5">
      <w:r>
        <w:separator/>
      </w:r>
    </w:p>
  </w:footnote>
  <w:footnote w:type="continuationSeparator" w:id="1">
    <w:p w:rsidR="00B3516A" w:rsidRDefault="00B3516A" w:rsidP="007D5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1D5"/>
    <w:rsid w:val="00481D98"/>
    <w:rsid w:val="007D51D5"/>
    <w:rsid w:val="00B35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1D5"/>
    <w:rPr>
      <w:sz w:val="18"/>
      <w:szCs w:val="18"/>
    </w:rPr>
  </w:style>
  <w:style w:type="paragraph" w:styleId="a4">
    <w:name w:val="footer"/>
    <w:basedOn w:val="a"/>
    <w:link w:val="Char0"/>
    <w:uiPriority w:val="99"/>
    <w:semiHidden/>
    <w:unhideWhenUsed/>
    <w:rsid w:val="007D5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1D5"/>
    <w:rPr>
      <w:sz w:val="18"/>
      <w:szCs w:val="18"/>
    </w:rPr>
  </w:style>
  <w:style w:type="character" w:customStyle="1" w:styleId="apple-converted-space">
    <w:name w:val="apple-converted-space"/>
    <w:basedOn w:val="a0"/>
    <w:rsid w:val="007D51D5"/>
  </w:style>
</w:styles>
</file>

<file path=word/webSettings.xml><?xml version="1.0" encoding="utf-8"?>
<w:webSettings xmlns:r="http://schemas.openxmlformats.org/officeDocument/2006/relationships" xmlns:w="http://schemas.openxmlformats.org/wordprocessingml/2006/main">
  <w:divs>
    <w:div w:id="540899228">
      <w:bodyDiv w:val="1"/>
      <w:marLeft w:val="0"/>
      <w:marRight w:val="0"/>
      <w:marTop w:val="0"/>
      <w:marBottom w:val="0"/>
      <w:divBdr>
        <w:top w:val="none" w:sz="0" w:space="0" w:color="auto"/>
        <w:left w:val="none" w:sz="0" w:space="0" w:color="auto"/>
        <w:bottom w:val="none" w:sz="0" w:space="0" w:color="auto"/>
        <w:right w:val="none" w:sz="0" w:space="0" w:color="auto"/>
      </w:divBdr>
    </w:div>
    <w:div w:id="678115663">
      <w:bodyDiv w:val="1"/>
      <w:marLeft w:val="0"/>
      <w:marRight w:val="0"/>
      <w:marTop w:val="0"/>
      <w:marBottom w:val="0"/>
      <w:divBdr>
        <w:top w:val="none" w:sz="0" w:space="0" w:color="auto"/>
        <w:left w:val="none" w:sz="0" w:space="0" w:color="auto"/>
        <w:bottom w:val="none" w:sz="0" w:space="0" w:color="auto"/>
        <w:right w:val="none" w:sz="0" w:space="0" w:color="auto"/>
      </w:divBdr>
      <w:divsChild>
        <w:div w:id="2088381038">
          <w:marLeft w:val="0"/>
          <w:marRight w:val="0"/>
          <w:marTop w:val="1304"/>
          <w:marBottom w:val="0"/>
          <w:divBdr>
            <w:top w:val="none" w:sz="0" w:space="0" w:color="auto"/>
            <w:left w:val="none" w:sz="0" w:space="0" w:color="auto"/>
            <w:bottom w:val="none" w:sz="0" w:space="0" w:color="auto"/>
            <w:right w:val="none" w:sz="0" w:space="0" w:color="auto"/>
          </w:divBdr>
        </w:div>
        <w:div w:id="1213033317">
          <w:marLeft w:val="0"/>
          <w:marRight w:val="0"/>
          <w:marTop w:val="0"/>
          <w:marBottom w:val="1440"/>
          <w:divBdr>
            <w:top w:val="none" w:sz="0" w:space="0" w:color="auto"/>
            <w:left w:val="none" w:sz="0" w:space="0" w:color="auto"/>
            <w:bottom w:val="none" w:sz="0" w:space="0" w:color="auto"/>
            <w:right w:val="none" w:sz="0" w:space="0" w:color="auto"/>
          </w:divBdr>
        </w:div>
      </w:divsChild>
    </w:div>
    <w:div w:id="21028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251</Words>
  <Characters>1431</Characters>
  <Application>Microsoft Office Word</Application>
  <DocSecurity>0</DocSecurity>
  <Lines>11</Lines>
  <Paragraphs>3</Paragraphs>
  <ScaleCrop>false</ScaleCrop>
  <Company>微软中国</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2017-08-25T07:36:00Z</dcterms:created>
  <dcterms:modified xsi:type="dcterms:W3CDTF">2017-08-25T07:39:00Z</dcterms:modified>
</cp:coreProperties>
</file>