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600" w:lineRule="exact"/>
        <w:rPr>
          <w:rFonts w:hint="default" w:ascii="Times New Roman" w:hAnsi="Times New Roman" w:eastAsia="黑体"/>
          <w:sz w:val="32"/>
          <w:szCs w:val="32"/>
        </w:rPr>
      </w:pPr>
      <w:r>
        <w:rPr>
          <w:rFonts w:hint="default" w:ascii="Times New Roman" w:hAnsi="Times New Roman" w:eastAsia="黑体"/>
          <w:sz w:val="32"/>
          <w:szCs w:val="32"/>
        </w:rPr>
        <w:t>附件</w:t>
      </w:r>
    </w:p>
    <w:p>
      <w:pPr>
        <w:pStyle w:val="4"/>
        <w:widowControl w:val="0"/>
        <w:spacing w:before="0" w:beforeAutospacing="0" w:after="0" w:afterAutospacing="0" w:line="600" w:lineRule="exact"/>
        <w:rPr>
          <w:rFonts w:hint="default" w:ascii="Times New Roman" w:hAnsi="Times New Roman" w:eastAsia="黑体"/>
          <w:sz w:val="32"/>
          <w:szCs w:val="32"/>
        </w:rPr>
      </w:pPr>
    </w:p>
    <w:p>
      <w:pPr>
        <w:pStyle w:val="4"/>
        <w:widowControl w:val="0"/>
        <w:spacing w:before="0" w:beforeAutospacing="0" w:after="0" w:afterAutospacing="0" w:line="600" w:lineRule="exact"/>
        <w:jc w:val="center"/>
        <w:rPr>
          <w:rFonts w:hint="default" w:ascii="Times New Roman" w:hAnsi="Times New Roman" w:eastAsia="方正小标宋_GBK"/>
          <w:sz w:val="36"/>
          <w:szCs w:val="36"/>
        </w:rPr>
      </w:pPr>
      <w:r>
        <w:rPr>
          <w:rFonts w:hint="default" w:ascii="Times New Roman" w:hAnsi="Times New Roman" w:eastAsia="方正小标宋_GBK"/>
          <w:sz w:val="36"/>
          <w:szCs w:val="36"/>
        </w:rPr>
        <w:t xml:space="preserve"> 湖南省跨地区固定业户总分支机构增值税计算</w:t>
      </w:r>
    </w:p>
    <w:p>
      <w:pPr>
        <w:pStyle w:val="4"/>
        <w:widowControl w:val="0"/>
        <w:spacing w:before="0" w:beforeAutospacing="0" w:after="0" w:afterAutospacing="0" w:line="600" w:lineRule="exact"/>
        <w:jc w:val="center"/>
        <w:rPr>
          <w:rFonts w:hint="default" w:ascii="Times New Roman" w:hAnsi="Times New Roman" w:eastAsia="方正小标宋_GBK"/>
          <w:sz w:val="36"/>
          <w:szCs w:val="36"/>
        </w:rPr>
      </w:pPr>
      <w:r>
        <w:rPr>
          <w:rFonts w:hint="default" w:ascii="Times New Roman" w:hAnsi="Times New Roman" w:eastAsia="方正小标宋_GBK"/>
          <w:sz w:val="36"/>
          <w:szCs w:val="36"/>
        </w:rPr>
        <w:t>缴纳管理办法（试行）</w:t>
      </w:r>
    </w:p>
    <w:p>
      <w:pPr>
        <w:spacing w:line="600" w:lineRule="exact"/>
        <w:ind w:firstLine="630" w:firstLineChars="196"/>
        <w:rPr>
          <w:rFonts w:hint="default" w:eastAsia="仿宋"/>
          <w:b/>
          <w:bCs/>
          <w:sz w:val="32"/>
          <w:szCs w:val="32"/>
        </w:rPr>
      </w:pPr>
    </w:p>
    <w:p>
      <w:pPr>
        <w:spacing w:line="600" w:lineRule="exact"/>
        <w:ind w:firstLine="627" w:firstLineChars="196"/>
        <w:rPr>
          <w:rFonts w:hint="default" w:eastAsia="仿宋_GB2312"/>
          <w:sz w:val="32"/>
          <w:szCs w:val="32"/>
        </w:rPr>
      </w:pPr>
      <w:r>
        <w:rPr>
          <w:rFonts w:hint="default" w:eastAsia="仿宋_GB2312"/>
          <w:bCs/>
          <w:sz w:val="32"/>
          <w:szCs w:val="32"/>
        </w:rPr>
        <w:t>为规范固定业户总分支机构增值税计算缴纳管理，贯彻落实“放管服”改革要求，简化办税程序，根据《中华人民共和国税收征收管理法》及其实施细则、《中华人民共和国增值税暂行条例》及其实施细则和《财政部 国家税务总局关于固定业户总分支机构增值税汇总纳税有关政策的通知》（财税〔2012〕9号）《财政部 国家税务总局关于全面推开营业税改征增值税试点的通知》（财税〔2016〕36号）等有关规定，制定本办法。</w:t>
      </w:r>
    </w:p>
    <w:p>
      <w:pPr>
        <w:widowControl/>
        <w:adjustRightInd w:val="0"/>
        <w:spacing w:line="600" w:lineRule="exact"/>
        <w:ind w:firstLine="640" w:firstLineChars="200"/>
        <w:rPr>
          <w:rFonts w:hint="default" w:eastAsia="黑体"/>
          <w:sz w:val="32"/>
          <w:szCs w:val="32"/>
        </w:rPr>
      </w:pPr>
      <w:r>
        <w:rPr>
          <w:rFonts w:hint="default" w:eastAsia="黑体"/>
          <w:sz w:val="32"/>
          <w:szCs w:val="32"/>
        </w:rPr>
        <w:t>一、适用范围</w:t>
      </w:r>
    </w:p>
    <w:p>
      <w:pPr>
        <w:widowControl/>
        <w:shd w:val="clear" w:color="auto" w:fill="FFFFFF"/>
        <w:adjustRightInd w:val="0"/>
        <w:ind w:firstLine="640" w:firstLineChars="200"/>
        <w:rPr>
          <w:rFonts w:eastAsia="仿宋_GB2312"/>
          <w:bCs/>
          <w:sz w:val="32"/>
          <w:szCs w:val="32"/>
        </w:rPr>
      </w:pPr>
      <w:r>
        <w:rPr>
          <w:rFonts w:eastAsia="仿宋_GB2312"/>
          <w:bCs/>
          <w:sz w:val="32"/>
          <w:szCs w:val="32"/>
        </w:rPr>
        <w:t>在湖南省范围内跨县（市、区）设立的固定业户总机构和非独立核算分支机构（以下简称跨地区经营固定业户总分支机构），除财政部、国家税务总局另有规定外，同时符合以下条件的，适用本办法规定。</w:t>
      </w:r>
    </w:p>
    <w:p>
      <w:pPr>
        <w:widowControl/>
        <w:shd w:val="clear" w:color="auto" w:fill="FFFFFF"/>
        <w:adjustRightInd w:val="0"/>
        <w:ind w:firstLine="640" w:firstLineChars="200"/>
        <w:rPr>
          <w:rFonts w:eastAsia="仿宋_GB2312"/>
          <w:bCs/>
          <w:sz w:val="32"/>
          <w:szCs w:val="32"/>
        </w:rPr>
      </w:pPr>
      <w:r>
        <w:rPr>
          <w:rFonts w:eastAsia="仿宋_GB2312"/>
          <w:bCs/>
          <w:sz w:val="32"/>
          <w:szCs w:val="32"/>
        </w:rPr>
        <w:t>（一）非独立核算分支机构（以下简称分支机构）由总机构全资设立；</w:t>
      </w:r>
    </w:p>
    <w:p>
      <w:pPr>
        <w:widowControl/>
        <w:shd w:val="clear" w:color="auto" w:fill="FFFFFF"/>
        <w:adjustRightInd w:val="0"/>
        <w:ind w:firstLine="640" w:firstLineChars="200"/>
        <w:rPr>
          <w:rFonts w:eastAsia="仿宋_GB2312"/>
          <w:bCs/>
          <w:sz w:val="32"/>
          <w:szCs w:val="32"/>
        </w:rPr>
      </w:pPr>
      <w:r>
        <w:rPr>
          <w:rFonts w:eastAsia="仿宋_GB2312"/>
          <w:bCs/>
          <w:sz w:val="32"/>
          <w:szCs w:val="32"/>
        </w:rPr>
        <w:t>（二）总机构和分支机构实行统一经营、统一采购配送商品或提供服务、统一财务核算，实行计算机联网，财务核算规范；</w:t>
      </w:r>
    </w:p>
    <w:p>
      <w:pPr>
        <w:widowControl/>
        <w:shd w:val="clear" w:color="auto" w:fill="FFFFFF"/>
        <w:adjustRightInd w:val="0"/>
        <w:ind w:firstLine="640" w:firstLineChars="200"/>
        <w:rPr>
          <w:rFonts w:eastAsia="仿宋_GB2312"/>
          <w:bCs/>
          <w:sz w:val="32"/>
          <w:szCs w:val="32"/>
        </w:rPr>
      </w:pPr>
      <w:r>
        <w:rPr>
          <w:rFonts w:eastAsia="仿宋_GB2312"/>
          <w:bCs/>
          <w:sz w:val="32"/>
          <w:szCs w:val="32"/>
        </w:rPr>
        <w:t>（三）总机构能够根据合法、有效凭证进行财务核算，能够提供准确税务资料，能够准确提供总机构和分支机构的相关财务数据，能够正确划分各分支机构销售额和提供税款分配的计算依据；</w:t>
      </w:r>
    </w:p>
    <w:p>
      <w:pPr>
        <w:widowControl/>
        <w:shd w:val="clear" w:color="auto" w:fill="FFFFFF"/>
        <w:adjustRightInd w:val="0"/>
        <w:ind w:firstLine="640" w:firstLineChars="200"/>
        <w:rPr>
          <w:rFonts w:eastAsia="仿宋_GB2312"/>
          <w:bCs/>
          <w:sz w:val="32"/>
          <w:szCs w:val="32"/>
        </w:rPr>
      </w:pPr>
      <w:r>
        <w:rPr>
          <w:rFonts w:eastAsia="仿宋_GB2312"/>
          <w:bCs/>
          <w:sz w:val="32"/>
          <w:szCs w:val="32"/>
        </w:rPr>
        <w:t>（四）纳税信用等级为A级或者B级；</w:t>
      </w:r>
    </w:p>
    <w:p>
      <w:pPr>
        <w:widowControl/>
        <w:shd w:val="clear" w:color="auto" w:fill="FFFFFF"/>
        <w:adjustRightInd w:val="0"/>
        <w:ind w:firstLine="640" w:firstLineChars="200"/>
        <w:rPr>
          <w:rFonts w:eastAsia="仿宋_GB2312"/>
          <w:bCs/>
          <w:sz w:val="32"/>
          <w:szCs w:val="32"/>
        </w:rPr>
      </w:pPr>
      <w:r>
        <w:rPr>
          <w:rFonts w:eastAsia="仿宋_GB2312"/>
          <w:bCs/>
          <w:sz w:val="32"/>
          <w:szCs w:val="32"/>
        </w:rPr>
        <w:t>（五）截至申请受理日，总分支机构不存在以下情形：</w:t>
      </w:r>
    </w:p>
    <w:p>
      <w:pPr>
        <w:shd w:val="clear" w:color="auto" w:fill="FFFFFF"/>
        <w:ind w:firstLine="645"/>
        <w:rPr>
          <w:rFonts w:eastAsia="仿宋_GB2312"/>
          <w:bCs/>
          <w:sz w:val="32"/>
          <w:szCs w:val="32"/>
        </w:rPr>
      </w:pPr>
      <w:r>
        <w:rPr>
          <w:rFonts w:eastAsia="仿宋_GB2312"/>
          <w:bCs/>
          <w:sz w:val="32"/>
          <w:szCs w:val="32"/>
        </w:rPr>
        <w:t>1.近三年发生税务违法行为；</w:t>
      </w:r>
    </w:p>
    <w:p>
      <w:pPr>
        <w:shd w:val="clear" w:color="auto" w:fill="FFFFFF"/>
        <w:ind w:firstLine="645"/>
        <w:rPr>
          <w:rFonts w:eastAsia="仿宋_GB2312"/>
          <w:bCs/>
          <w:sz w:val="32"/>
          <w:szCs w:val="32"/>
        </w:rPr>
      </w:pPr>
      <w:r>
        <w:rPr>
          <w:rFonts w:eastAsia="仿宋_GB2312"/>
          <w:bCs/>
          <w:sz w:val="32"/>
          <w:szCs w:val="32"/>
        </w:rPr>
        <w:t>2.欠缴税款、滞纳金、罚款；</w:t>
      </w:r>
    </w:p>
    <w:p>
      <w:pPr>
        <w:shd w:val="clear" w:color="auto" w:fill="FFFFFF"/>
        <w:ind w:firstLine="645"/>
        <w:rPr>
          <w:rFonts w:eastAsia="仿宋_GB2312"/>
          <w:bCs/>
          <w:sz w:val="32"/>
          <w:szCs w:val="32"/>
        </w:rPr>
      </w:pPr>
      <w:r>
        <w:rPr>
          <w:rFonts w:eastAsia="仿宋_GB2312"/>
          <w:bCs/>
          <w:sz w:val="32"/>
          <w:szCs w:val="32"/>
        </w:rPr>
        <w:t>3.法定代表人（负责人）担任非正常户的法定代表人（负责人）；</w:t>
      </w:r>
    </w:p>
    <w:p>
      <w:pPr>
        <w:shd w:val="clear" w:color="auto" w:fill="FFFFFF"/>
        <w:ind w:firstLine="645"/>
        <w:rPr>
          <w:rFonts w:eastAsia="仿宋_GB2312"/>
          <w:bCs/>
          <w:sz w:val="32"/>
          <w:szCs w:val="32"/>
        </w:rPr>
      </w:pPr>
      <w:r>
        <w:rPr>
          <w:rFonts w:eastAsia="仿宋_GB2312"/>
          <w:bCs/>
          <w:sz w:val="32"/>
          <w:szCs w:val="32"/>
        </w:rPr>
        <w:t>4.享受增值税即征即退政策。</w:t>
      </w:r>
    </w:p>
    <w:p>
      <w:pPr>
        <w:widowControl/>
        <w:adjustRightInd w:val="0"/>
        <w:spacing w:line="600" w:lineRule="exact"/>
        <w:ind w:firstLine="640" w:firstLineChars="200"/>
        <w:rPr>
          <w:rFonts w:hint="default" w:eastAsia="黑体"/>
          <w:sz w:val="32"/>
          <w:szCs w:val="32"/>
        </w:rPr>
      </w:pPr>
      <w:r>
        <w:rPr>
          <w:rFonts w:hint="default" w:eastAsia="黑体"/>
          <w:sz w:val="32"/>
          <w:szCs w:val="32"/>
        </w:rPr>
        <w:t>二、增值税计算缴纳方式</w:t>
      </w:r>
    </w:p>
    <w:p>
      <w:pPr>
        <w:ind w:firstLine="640" w:firstLineChars="200"/>
        <w:jc w:val="left"/>
        <w:rPr>
          <w:rFonts w:eastAsia="仿宋_GB2312"/>
          <w:sz w:val="32"/>
          <w:szCs w:val="32"/>
        </w:rPr>
      </w:pPr>
      <w:r>
        <w:rPr>
          <w:rFonts w:eastAsia="仿宋_GB2312"/>
          <w:sz w:val="32"/>
          <w:szCs w:val="32"/>
        </w:rPr>
        <w:t>适用本办法的跨地区经营固定业户总分支机构可从以下增值税税款计算缴纳方式中选择一种提出申请，并由核准机关核准。</w:t>
      </w:r>
    </w:p>
    <w:p>
      <w:pPr>
        <w:shd w:val="clear" w:color="auto" w:fill="FFFFFF"/>
        <w:ind w:firstLine="645"/>
        <w:rPr>
          <w:rFonts w:eastAsia="仿宋_GB2312"/>
          <w:sz w:val="32"/>
          <w:szCs w:val="32"/>
        </w:rPr>
      </w:pPr>
      <w:r>
        <w:rPr>
          <w:rFonts w:eastAsia="仿宋_GB2312"/>
          <w:sz w:val="32"/>
          <w:szCs w:val="32"/>
        </w:rPr>
        <w:t>（一）总机构统一申报缴纳</w:t>
      </w:r>
    </w:p>
    <w:p>
      <w:pPr>
        <w:shd w:val="clear" w:color="auto" w:fill="FFFFFF"/>
        <w:ind w:firstLine="645"/>
        <w:rPr>
          <w:rFonts w:eastAsia="仿宋_GB2312"/>
          <w:sz w:val="32"/>
          <w:szCs w:val="32"/>
        </w:rPr>
      </w:pPr>
      <w:r>
        <w:rPr>
          <w:rFonts w:eastAsia="仿宋_GB2312"/>
          <w:sz w:val="32"/>
          <w:szCs w:val="32"/>
        </w:rPr>
        <w:t>由总机构统一核算应纳税额、统一申报、统一缴纳，各分支机构不申报缴纳增值税。</w:t>
      </w:r>
    </w:p>
    <w:p>
      <w:pPr>
        <w:shd w:val="clear" w:color="auto" w:fill="FFFFFF"/>
        <w:ind w:firstLine="645"/>
        <w:rPr>
          <w:rFonts w:eastAsia="仿宋_GB2312"/>
          <w:sz w:val="32"/>
          <w:szCs w:val="32"/>
        </w:rPr>
      </w:pPr>
      <w:r>
        <w:rPr>
          <w:rFonts w:eastAsia="仿宋_GB2312"/>
          <w:sz w:val="32"/>
          <w:szCs w:val="32"/>
        </w:rPr>
        <w:t>（二）按预征率计算预缴税款</w:t>
      </w:r>
    </w:p>
    <w:p>
      <w:pPr>
        <w:shd w:val="clear" w:color="auto" w:fill="FFFFFF"/>
        <w:ind w:firstLine="645"/>
        <w:rPr>
          <w:rFonts w:eastAsia="仿宋_GB2312"/>
          <w:sz w:val="32"/>
          <w:szCs w:val="32"/>
        </w:rPr>
      </w:pPr>
      <w:r>
        <w:rPr>
          <w:rFonts w:eastAsia="仿宋_GB2312"/>
          <w:sz w:val="32"/>
          <w:szCs w:val="32"/>
        </w:rPr>
        <w:t>分支机构以当期实现的全部应税销售收入按预征率计算预缴增值税，就地申报预缴税款。</w:t>
      </w:r>
    </w:p>
    <w:p>
      <w:pPr>
        <w:shd w:val="clear" w:color="auto" w:fill="FFFFFF"/>
        <w:ind w:firstLine="645"/>
        <w:rPr>
          <w:rFonts w:eastAsia="仿宋_GB2312"/>
          <w:sz w:val="32"/>
          <w:szCs w:val="32"/>
        </w:rPr>
      </w:pPr>
      <w:r>
        <w:rPr>
          <w:rFonts w:eastAsia="仿宋_GB2312"/>
          <w:sz w:val="32"/>
          <w:szCs w:val="32"/>
        </w:rPr>
        <w:t>分支机构预缴增值税=分支机构当期应税销售收入×预征率+转让不动产预缴税款</w:t>
      </w:r>
    </w:p>
    <w:p>
      <w:pPr>
        <w:shd w:val="clear" w:color="auto" w:fill="FFFFFF"/>
        <w:ind w:firstLine="645"/>
        <w:rPr>
          <w:rFonts w:eastAsia="仿宋_GB2312"/>
          <w:sz w:val="32"/>
          <w:szCs w:val="32"/>
        </w:rPr>
      </w:pPr>
      <w:r>
        <w:rPr>
          <w:rFonts w:eastAsia="仿宋_GB2312"/>
          <w:sz w:val="32"/>
          <w:szCs w:val="32"/>
        </w:rPr>
        <w:t>总机构统一核算销售收入、销项税额、进项税额、预缴税款和应纳税额，进行纳税申报。</w:t>
      </w:r>
    </w:p>
    <w:p>
      <w:pPr>
        <w:shd w:val="clear" w:color="auto" w:fill="FFFFFF"/>
        <w:ind w:firstLine="645"/>
        <w:rPr>
          <w:rFonts w:eastAsia="仿宋_GB2312"/>
          <w:sz w:val="32"/>
          <w:szCs w:val="32"/>
        </w:rPr>
      </w:pPr>
      <w:r>
        <w:rPr>
          <w:rFonts w:eastAsia="仿宋_GB2312"/>
          <w:sz w:val="32"/>
          <w:szCs w:val="32"/>
        </w:rPr>
        <w:t>总机构应纳增值税=当期销项税额-当期进项税额-期初留抵税额+简易计税项目应纳税额-全部分支机构预缴税款</w:t>
      </w:r>
    </w:p>
    <w:p>
      <w:pPr>
        <w:shd w:val="clear" w:color="auto" w:fill="FFFFFF"/>
        <w:ind w:firstLine="645"/>
        <w:rPr>
          <w:rFonts w:eastAsia="仿宋_GB2312"/>
          <w:sz w:val="32"/>
          <w:szCs w:val="32"/>
        </w:rPr>
      </w:pPr>
      <w:r>
        <w:rPr>
          <w:rFonts w:eastAsia="仿宋_GB2312"/>
          <w:sz w:val="32"/>
          <w:szCs w:val="32"/>
        </w:rPr>
        <w:t>（三）按累计销售收入比例分配税款</w:t>
      </w:r>
    </w:p>
    <w:p>
      <w:pPr>
        <w:shd w:val="clear" w:color="auto" w:fill="FFFFFF"/>
        <w:ind w:firstLine="645"/>
        <w:rPr>
          <w:rFonts w:eastAsia="仿宋_GB2312"/>
          <w:sz w:val="32"/>
          <w:szCs w:val="32"/>
        </w:rPr>
      </w:pPr>
      <w:r>
        <w:rPr>
          <w:rFonts w:eastAsia="仿宋_GB2312"/>
          <w:sz w:val="32"/>
          <w:szCs w:val="32"/>
        </w:rPr>
        <w:t>总机构统一计算当期增值税销项税额、进项税额和应纳税总额，按各分支机构当年累计应税销售收入占总分支机构当年全部累计应税销售收入的比重，确定各分支机构分配税款，由总分支机构分别就地纳税申报。</w:t>
      </w:r>
    </w:p>
    <w:p>
      <w:pPr>
        <w:shd w:val="clear" w:color="auto" w:fill="FFFFFF"/>
        <w:ind w:firstLine="645"/>
        <w:rPr>
          <w:rFonts w:eastAsia="仿宋_GB2312"/>
          <w:sz w:val="32"/>
          <w:szCs w:val="32"/>
        </w:rPr>
      </w:pPr>
      <w:r>
        <w:rPr>
          <w:rFonts w:eastAsia="仿宋_GB2312"/>
          <w:sz w:val="32"/>
          <w:szCs w:val="32"/>
        </w:rPr>
        <w:t>总分支机构当期应纳增值税总额=当期销项税额-当期进项税额-期初留抵税额+简易计税项目应纳税额-转让不动产预缴税款</w:t>
      </w:r>
    </w:p>
    <w:p>
      <w:pPr>
        <w:shd w:val="clear" w:color="auto" w:fill="FFFFFF"/>
        <w:ind w:firstLine="645"/>
        <w:rPr>
          <w:rFonts w:eastAsia="仿宋_GB2312"/>
          <w:sz w:val="32"/>
          <w:szCs w:val="32"/>
        </w:rPr>
      </w:pPr>
      <w:r>
        <w:rPr>
          <w:rFonts w:eastAsia="仿宋_GB2312"/>
          <w:sz w:val="32"/>
          <w:szCs w:val="32"/>
        </w:rPr>
        <w:t>分支机构当期申报增值税额=总分支机构当期应纳增值税总额×（分支机构当年累计应税销售收入÷总分支机构当年全部累计应税销售收入）+转让不动产预缴税款</w:t>
      </w:r>
    </w:p>
    <w:p>
      <w:pPr>
        <w:shd w:val="clear" w:color="auto" w:fill="FFFFFF"/>
        <w:ind w:firstLine="645"/>
        <w:rPr>
          <w:rFonts w:eastAsia="仿宋_GB2312"/>
          <w:sz w:val="32"/>
          <w:szCs w:val="32"/>
        </w:rPr>
      </w:pPr>
      <w:r>
        <w:rPr>
          <w:rFonts w:eastAsia="仿宋_GB2312"/>
          <w:sz w:val="32"/>
          <w:szCs w:val="32"/>
        </w:rPr>
        <w:t>总机构当期申报增值税额=总分支机构当期应纳增值税总额+转让不动产预缴税款-分支机构当期申报增值税额</w:t>
      </w:r>
    </w:p>
    <w:p>
      <w:pPr>
        <w:widowControl/>
        <w:adjustRightInd w:val="0"/>
        <w:spacing w:line="600" w:lineRule="exact"/>
        <w:ind w:firstLine="640" w:firstLineChars="200"/>
        <w:rPr>
          <w:rFonts w:hint="default" w:eastAsia="黑体"/>
          <w:sz w:val="32"/>
          <w:szCs w:val="32"/>
        </w:rPr>
      </w:pPr>
      <w:r>
        <w:rPr>
          <w:rFonts w:hint="default" w:eastAsia="黑体"/>
          <w:sz w:val="32"/>
          <w:szCs w:val="32"/>
        </w:rPr>
        <w:t>三、核准程序</w:t>
      </w:r>
    </w:p>
    <w:p>
      <w:pPr>
        <w:shd w:val="clear" w:color="auto" w:fill="FFFFFF"/>
        <w:spacing w:line="600" w:lineRule="exact"/>
        <w:ind w:firstLine="640"/>
        <w:rPr>
          <w:rFonts w:eastAsia="仿宋_GB2312"/>
          <w:sz w:val="32"/>
          <w:szCs w:val="32"/>
        </w:rPr>
      </w:pPr>
      <w:r>
        <w:rPr>
          <w:rFonts w:eastAsia="仿宋_GB2312"/>
          <w:sz w:val="32"/>
          <w:szCs w:val="32"/>
        </w:rPr>
        <w:t>（一）跨地区经营固定业户总分支机构申请适用本办法，由省级财税部门核准。其中，仅在同一市州范围内跨县（市、区）经营的固定业户总分支机构申请按本办法第二条第三款方式计算缴纳增值税的，由市级税务部门核准。纳税人正式提交申请资料前，总机构所在地主管税务机关应就税款计算缴纳方式、纳税主体确定方式、增值税发票领用方式等相关问题对其开展纳税辅导。</w:t>
      </w:r>
    </w:p>
    <w:p>
      <w:pPr>
        <w:shd w:val="clear" w:color="auto" w:fill="FFFFFF"/>
        <w:spacing w:line="600" w:lineRule="exact"/>
        <w:ind w:firstLine="645"/>
        <w:rPr>
          <w:rFonts w:eastAsia="仿宋_GB2312"/>
          <w:sz w:val="32"/>
          <w:szCs w:val="32"/>
        </w:rPr>
      </w:pPr>
      <w:r>
        <w:rPr>
          <w:rFonts w:eastAsia="仿宋_GB2312"/>
          <w:sz w:val="32"/>
          <w:szCs w:val="32"/>
        </w:rPr>
        <w:t>（二）申请资料</w:t>
      </w:r>
    </w:p>
    <w:p>
      <w:pPr>
        <w:shd w:val="clear" w:color="auto" w:fill="FFFFFF"/>
        <w:spacing w:line="600" w:lineRule="exact"/>
        <w:ind w:firstLine="645"/>
        <w:rPr>
          <w:rFonts w:eastAsia="仿宋_GB2312"/>
          <w:sz w:val="32"/>
          <w:szCs w:val="32"/>
        </w:rPr>
      </w:pPr>
      <w:r>
        <w:rPr>
          <w:rFonts w:eastAsia="仿宋_GB2312"/>
          <w:sz w:val="32"/>
          <w:szCs w:val="32"/>
        </w:rPr>
        <w:t>1.书面报告（式样见附件1），并附《跨地区经营总分支机构清册》（附件2）。</w:t>
      </w:r>
    </w:p>
    <w:p>
      <w:pPr>
        <w:shd w:val="clear" w:color="auto" w:fill="FFFFFF"/>
        <w:spacing w:line="600" w:lineRule="exact"/>
        <w:ind w:firstLine="645"/>
        <w:rPr>
          <w:rFonts w:eastAsia="仿宋_GB2312"/>
          <w:sz w:val="32"/>
          <w:szCs w:val="32"/>
        </w:rPr>
      </w:pPr>
      <w:r>
        <w:rPr>
          <w:rFonts w:eastAsia="仿宋_GB2312"/>
          <w:sz w:val="32"/>
          <w:szCs w:val="32"/>
        </w:rPr>
        <w:t>2.批准设立分支机构的文件复印件。</w:t>
      </w:r>
    </w:p>
    <w:p>
      <w:pPr>
        <w:shd w:val="clear" w:color="auto" w:fill="FFFFFF"/>
        <w:spacing w:line="600" w:lineRule="exact"/>
        <w:ind w:firstLine="640"/>
        <w:rPr>
          <w:rFonts w:eastAsia="仿宋_GB2312"/>
          <w:sz w:val="32"/>
          <w:szCs w:val="32"/>
        </w:rPr>
      </w:pPr>
      <w:r>
        <w:rPr>
          <w:rFonts w:eastAsia="仿宋_GB2312"/>
          <w:sz w:val="32"/>
          <w:szCs w:val="32"/>
        </w:rPr>
        <w:t>3.纳税人统一财务管理制度和统一财务经营管理软件使用说明书。</w:t>
      </w:r>
    </w:p>
    <w:p>
      <w:pPr>
        <w:shd w:val="clear" w:color="auto" w:fill="FFFFFF"/>
        <w:spacing w:line="600" w:lineRule="exact"/>
        <w:ind w:firstLine="645"/>
        <w:rPr>
          <w:rFonts w:eastAsia="仿宋_GB2312"/>
          <w:sz w:val="32"/>
          <w:szCs w:val="32"/>
        </w:rPr>
      </w:pPr>
      <w:r>
        <w:rPr>
          <w:rFonts w:eastAsia="仿宋_GB2312"/>
          <w:sz w:val="32"/>
          <w:szCs w:val="32"/>
        </w:rPr>
        <w:t>（三）申请流程</w:t>
      </w:r>
    </w:p>
    <w:p>
      <w:pPr>
        <w:shd w:val="clear" w:color="auto" w:fill="FFFFFF"/>
        <w:spacing w:line="600" w:lineRule="exact"/>
        <w:ind w:firstLine="645"/>
        <w:rPr>
          <w:rFonts w:eastAsia="仿宋_GB2312"/>
          <w:sz w:val="32"/>
          <w:szCs w:val="32"/>
        </w:rPr>
      </w:pPr>
      <w:r>
        <w:rPr>
          <w:rFonts w:eastAsia="仿宋_GB2312"/>
          <w:sz w:val="32"/>
          <w:szCs w:val="32"/>
        </w:rPr>
        <w:t>1.申请“总机构统一缴纳”或“按预征率计算预缴税款”方式的纳税人，应向总机构所在地县级财政部门提交申请资料，经县级、市级财政部门初审、复审同意后，申请资料主送省级财政部门。经核准允许纳税人适用上述缴税方式的，由省级财政部门会同税务部门制发文件确认总分支机构纳税人名单及纳税申报方式等，并上报财政部、国家税务总局备案；不允许纳税人适用上述缴税方式的，及时通知纳税人，并说明原因。</w:t>
      </w:r>
    </w:p>
    <w:p>
      <w:pPr>
        <w:shd w:val="clear" w:color="auto" w:fill="FFFFFF"/>
        <w:spacing w:line="600" w:lineRule="exact"/>
        <w:ind w:firstLine="640"/>
        <w:rPr>
          <w:rFonts w:eastAsia="仿宋_GB2312"/>
          <w:sz w:val="32"/>
          <w:szCs w:val="32"/>
        </w:rPr>
      </w:pPr>
      <w:r>
        <w:rPr>
          <w:rFonts w:eastAsia="仿宋_GB2312"/>
          <w:sz w:val="32"/>
          <w:szCs w:val="32"/>
        </w:rPr>
        <w:t>2.申请“按累计销售收入比例分配税款”方式的纳税人，属于跨市州经营的，应向总机构所在地县级主管税务部门提交申请资料，经县级、市级税务部门初审、复审同意后，申请资料主送省级税务部门。经核准允许纳税人适用上述缴税方式的，由省级税务部门会同省级财政部门制发文件确认总分支机构纳税人名单及纳税申报方式等；不允许纳税人适用上述缴税方式的，及时通知纳税人，并说明原因。</w:t>
      </w:r>
    </w:p>
    <w:p>
      <w:pPr>
        <w:shd w:val="clear" w:color="auto" w:fill="FFFFFF"/>
        <w:spacing w:line="600" w:lineRule="exact"/>
        <w:ind w:firstLine="645"/>
        <w:rPr>
          <w:rFonts w:eastAsia="仿宋_GB2312"/>
          <w:sz w:val="32"/>
          <w:szCs w:val="32"/>
        </w:rPr>
      </w:pPr>
      <w:r>
        <w:rPr>
          <w:rFonts w:eastAsia="仿宋_GB2312"/>
          <w:sz w:val="32"/>
          <w:szCs w:val="32"/>
        </w:rPr>
        <w:t>申请“按累计销售收入比例分配税款”方式的纳税人，属于仅在同一市州范围内跨县（市、区）经营的，具体申请流程由各市州税务局另行确定。</w:t>
      </w:r>
    </w:p>
    <w:p>
      <w:pPr>
        <w:shd w:val="clear" w:color="auto" w:fill="FFFFFF"/>
        <w:spacing w:line="600" w:lineRule="exact"/>
        <w:ind w:firstLine="645"/>
        <w:rPr>
          <w:rFonts w:eastAsia="仿宋_GB2312"/>
          <w:sz w:val="32"/>
          <w:szCs w:val="32"/>
        </w:rPr>
      </w:pPr>
      <w:r>
        <w:rPr>
          <w:rFonts w:eastAsia="仿宋_GB2312"/>
          <w:sz w:val="32"/>
          <w:szCs w:val="32"/>
        </w:rPr>
        <w:t>（四）分支机构调整备案</w:t>
      </w:r>
    </w:p>
    <w:p>
      <w:pPr>
        <w:shd w:val="clear" w:color="auto" w:fill="FFFFFF"/>
        <w:spacing w:line="600" w:lineRule="exact"/>
        <w:ind w:firstLine="645"/>
        <w:rPr>
          <w:rFonts w:eastAsia="仿宋_GB2312"/>
          <w:sz w:val="32"/>
          <w:szCs w:val="32"/>
        </w:rPr>
      </w:pPr>
      <w:r>
        <w:rPr>
          <w:rFonts w:eastAsia="仿宋_GB2312"/>
          <w:sz w:val="32"/>
          <w:szCs w:val="32"/>
        </w:rPr>
        <w:t>经核准适用本办法的固定业户总分支机构，分支机构发生增加、变更、减少的，由总机构报送变动报告及变动前后的《跨地区经营总分支机构清册》报送省级税务部门进行备案调整，具体流程由省级税务部门另行规定。属于本条第三款第一项情形的纳税人，省级税务部门定期将变动备案情况报送省级财政部门。</w:t>
      </w:r>
    </w:p>
    <w:p>
      <w:pPr>
        <w:widowControl/>
        <w:adjustRightInd w:val="0"/>
        <w:spacing w:line="600" w:lineRule="exact"/>
        <w:ind w:firstLine="640" w:firstLineChars="200"/>
        <w:rPr>
          <w:rFonts w:hint="default" w:eastAsia="黑体"/>
          <w:sz w:val="32"/>
          <w:szCs w:val="32"/>
        </w:rPr>
      </w:pPr>
      <w:r>
        <w:rPr>
          <w:rFonts w:hint="default" w:eastAsia="黑体"/>
          <w:sz w:val="32"/>
          <w:szCs w:val="32"/>
        </w:rPr>
        <w:t>四、其他事项</w:t>
      </w:r>
    </w:p>
    <w:p>
      <w:pPr>
        <w:shd w:val="clear" w:color="auto" w:fill="FFFFFF"/>
        <w:spacing w:line="600" w:lineRule="exact"/>
        <w:ind w:firstLine="645"/>
        <w:rPr>
          <w:rFonts w:eastAsia="仿宋_GB2312"/>
          <w:sz w:val="32"/>
          <w:szCs w:val="32"/>
        </w:rPr>
      </w:pPr>
      <w:r>
        <w:rPr>
          <w:rFonts w:eastAsia="仿宋_GB2312"/>
          <w:sz w:val="32"/>
          <w:szCs w:val="32"/>
        </w:rPr>
        <w:t>（一）总分支机构增值税计算缴纳方式经核准后，一个纳税年度内不得变更。申请变更增值税计算缴纳方式的固定业户总分支机构，按本办法规定程序予以核准。</w:t>
      </w:r>
    </w:p>
    <w:p>
      <w:pPr>
        <w:shd w:val="clear" w:color="auto" w:fill="FFFFFF"/>
        <w:spacing w:line="600" w:lineRule="exact"/>
        <w:ind w:firstLine="645"/>
        <w:rPr>
          <w:rFonts w:eastAsia="仿宋_GB2312"/>
          <w:sz w:val="32"/>
          <w:szCs w:val="32"/>
        </w:rPr>
      </w:pPr>
      <w:r>
        <w:rPr>
          <w:rFonts w:eastAsia="仿宋_GB2312"/>
          <w:sz w:val="32"/>
          <w:szCs w:val="32"/>
        </w:rPr>
        <w:t>（二）总分支机构生产经营情况发生变化，已不符合本办法第一条规定所列任一条件的，核准机关可以停止其适用本办法规定。</w:t>
      </w:r>
    </w:p>
    <w:p>
      <w:pPr>
        <w:shd w:val="clear" w:color="auto" w:fill="FFFFFF"/>
        <w:spacing w:line="600" w:lineRule="exact"/>
        <w:ind w:firstLine="645"/>
        <w:rPr>
          <w:rFonts w:eastAsia="仿宋_GB2312"/>
          <w:sz w:val="32"/>
          <w:szCs w:val="32"/>
        </w:rPr>
      </w:pPr>
      <w:r>
        <w:rPr>
          <w:rFonts w:eastAsia="仿宋_GB2312"/>
          <w:sz w:val="32"/>
          <w:szCs w:val="32"/>
        </w:rPr>
        <w:t>（三）跨地区经营固定业户总分支机构增值税的具体征收管理细则由省税务局制定。</w:t>
      </w:r>
    </w:p>
    <w:p>
      <w:pPr>
        <w:shd w:val="clear" w:color="auto" w:fill="FFFFFF"/>
        <w:spacing w:line="600" w:lineRule="exact"/>
        <w:ind w:firstLine="645"/>
        <w:rPr>
          <w:rFonts w:eastAsia="仿宋_GB2312"/>
          <w:sz w:val="32"/>
          <w:szCs w:val="32"/>
        </w:rPr>
      </w:pPr>
      <w:r>
        <w:rPr>
          <w:rFonts w:eastAsia="仿宋_GB2312"/>
          <w:sz w:val="32"/>
          <w:szCs w:val="32"/>
        </w:rPr>
        <w:t>本办法自2019年6月1日起施行，有效期2年。本办法公布前已经审批按“总机构统一申报缴纳”、“按预征率计算预缴税款”或“按累计销售收入比例分配税款”计算缴纳增值税的跨地区经营总分支机构纳税人适用本办法，但不再重新办理核准手续。</w:t>
      </w:r>
    </w:p>
    <w:p>
      <w:pPr>
        <w:shd w:val="clear" w:color="auto" w:fill="FFFFFF"/>
        <w:spacing w:line="600" w:lineRule="exact"/>
        <w:ind w:firstLine="645"/>
        <w:rPr>
          <w:rFonts w:hint="default" w:eastAsia="仿宋_GB2312"/>
          <w:sz w:val="32"/>
          <w:szCs w:val="32"/>
        </w:rPr>
      </w:pPr>
    </w:p>
    <w:p>
      <w:pPr>
        <w:spacing w:line="600" w:lineRule="exact"/>
        <w:ind w:firstLine="640" w:firstLineChars="200"/>
        <w:rPr>
          <w:rFonts w:hint="default" w:eastAsia="仿宋_GB2312"/>
          <w:sz w:val="32"/>
          <w:szCs w:val="32"/>
        </w:rPr>
      </w:pPr>
      <w:r>
        <w:rPr>
          <w:rFonts w:hint="default" w:eastAsia="仿宋_GB2312"/>
          <w:sz w:val="32"/>
          <w:szCs w:val="32"/>
        </w:rPr>
        <w:t>附件：1、申请报告（样式）</w:t>
      </w:r>
    </w:p>
    <w:p>
      <w:pPr>
        <w:spacing w:line="600" w:lineRule="exact"/>
        <w:ind w:firstLine="1600" w:firstLineChars="500"/>
        <w:rPr>
          <w:rFonts w:hint="default" w:eastAsia="仿宋_GB2312"/>
          <w:bCs/>
          <w:sz w:val="32"/>
          <w:szCs w:val="32"/>
        </w:rPr>
      </w:pPr>
      <w:r>
        <w:rPr>
          <w:rFonts w:hint="default" w:eastAsia="仿宋_GB2312"/>
          <w:sz w:val="32"/>
          <w:szCs w:val="32"/>
        </w:rPr>
        <w:t>2、跨地区经营</w:t>
      </w:r>
      <w:r>
        <w:rPr>
          <w:rFonts w:hint="default" w:eastAsia="仿宋_GB2312"/>
          <w:bCs/>
          <w:sz w:val="32"/>
          <w:szCs w:val="32"/>
        </w:rPr>
        <w:t>总分支机构清册</w:t>
      </w:r>
    </w:p>
    <w:p>
      <w:pPr>
        <w:spacing w:line="600" w:lineRule="exact"/>
        <w:rPr>
          <w:rFonts w:hint="default" w:eastAsia="仿宋_GB2312"/>
          <w:sz w:val="32"/>
          <w:szCs w:val="32"/>
        </w:rPr>
      </w:pPr>
      <w:r>
        <w:rPr>
          <w:rFonts w:hint="default" w:eastAsia="仿宋_GB2312"/>
          <w:sz w:val="32"/>
          <w:szCs w:val="32"/>
        </w:rPr>
        <w:t xml:space="preserve">         </w:t>
      </w: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黑体"/>
          <w:sz w:val="32"/>
          <w:szCs w:val="32"/>
        </w:rPr>
      </w:pPr>
      <w:r>
        <w:rPr>
          <w:rFonts w:hint="default" w:eastAsia="黑体"/>
          <w:sz w:val="32"/>
          <w:szCs w:val="32"/>
        </w:rPr>
        <w:t>附件1</w:t>
      </w:r>
    </w:p>
    <w:p>
      <w:pPr>
        <w:spacing w:line="600" w:lineRule="exact"/>
        <w:rPr>
          <w:rFonts w:hint="default" w:eastAsia="仿宋"/>
          <w:sz w:val="32"/>
          <w:szCs w:val="32"/>
        </w:rPr>
      </w:pPr>
    </w:p>
    <w:p>
      <w:pPr>
        <w:spacing w:line="600" w:lineRule="exact"/>
        <w:jc w:val="center"/>
        <w:rPr>
          <w:rFonts w:hint="default" w:eastAsia="方正小标宋_GBK"/>
          <w:sz w:val="36"/>
          <w:szCs w:val="36"/>
        </w:rPr>
      </w:pPr>
      <w:r>
        <w:rPr>
          <w:rFonts w:hint="default" w:eastAsia="方正小标宋_GBK"/>
          <w:sz w:val="36"/>
          <w:szCs w:val="36"/>
        </w:rPr>
        <w:t>申请报告（样式）</w:t>
      </w:r>
    </w:p>
    <w:p>
      <w:pPr>
        <w:spacing w:line="600" w:lineRule="exact"/>
        <w:rPr>
          <w:rFonts w:hint="default" w:eastAsia="仿宋"/>
          <w:sz w:val="32"/>
          <w:szCs w:val="32"/>
        </w:rPr>
      </w:pPr>
    </w:p>
    <w:p>
      <w:pPr>
        <w:spacing w:line="600" w:lineRule="exact"/>
        <w:rPr>
          <w:rFonts w:hint="default" w:eastAsia="仿宋_GB2312"/>
          <w:sz w:val="32"/>
          <w:szCs w:val="32"/>
        </w:rPr>
      </w:pPr>
      <w:r>
        <w:rPr>
          <w:rFonts w:hint="default" w:eastAsia="仿宋_GB2312"/>
          <w:sz w:val="32"/>
          <w:szCs w:val="32"/>
        </w:rPr>
        <w:t>湖南省财政厅、国家税务总局湖南省税务局：</w:t>
      </w:r>
    </w:p>
    <w:p>
      <w:pPr>
        <w:spacing w:line="600" w:lineRule="exact"/>
        <w:ind w:firstLine="645"/>
        <w:rPr>
          <w:rFonts w:hint="default" w:eastAsia="仿宋_GB2312"/>
          <w:sz w:val="32"/>
          <w:szCs w:val="32"/>
        </w:rPr>
      </w:pPr>
      <w:r>
        <w:rPr>
          <w:rFonts w:hint="default" w:eastAsia="仿宋_GB2312"/>
          <w:sz w:val="32"/>
          <w:szCs w:val="32"/>
        </w:rPr>
        <w:t>因财务管理和业务发展的需要，现提出总分支机构增值税征收管理申请，具体内容如下。</w:t>
      </w:r>
    </w:p>
    <w:p>
      <w:pPr>
        <w:spacing w:line="600" w:lineRule="exact"/>
        <w:ind w:firstLine="640" w:firstLineChars="200"/>
        <w:rPr>
          <w:rFonts w:hint="default" w:eastAsia="黑体"/>
          <w:sz w:val="32"/>
          <w:szCs w:val="32"/>
        </w:rPr>
      </w:pPr>
      <w:r>
        <w:rPr>
          <w:rFonts w:hint="default" w:eastAsia="黑体"/>
          <w:sz w:val="32"/>
          <w:szCs w:val="32"/>
        </w:rPr>
        <w:t>一、企业基本情况</w:t>
      </w:r>
    </w:p>
    <w:p>
      <w:pPr>
        <w:spacing w:line="600" w:lineRule="exact"/>
        <w:ind w:firstLine="640" w:firstLineChars="200"/>
        <w:rPr>
          <w:rFonts w:hint="default" w:eastAsia="仿宋_GB2312"/>
          <w:sz w:val="32"/>
          <w:szCs w:val="32"/>
        </w:rPr>
      </w:pPr>
      <w:r>
        <w:rPr>
          <w:rFonts w:hint="default" w:eastAsia="仿宋_GB2312"/>
          <w:sz w:val="32"/>
          <w:szCs w:val="32"/>
        </w:rPr>
        <w:t>（一）总体情况。包括企业成立时间、目前规模、人员结构，组织架构、生产经营状况、纳税信用等级情况等。</w:t>
      </w:r>
    </w:p>
    <w:p>
      <w:pPr>
        <w:spacing w:line="600" w:lineRule="exact"/>
        <w:ind w:firstLine="640" w:firstLineChars="200"/>
        <w:rPr>
          <w:rFonts w:hint="default" w:eastAsia="仿宋_GB2312"/>
          <w:sz w:val="32"/>
          <w:szCs w:val="32"/>
        </w:rPr>
      </w:pPr>
      <w:r>
        <w:rPr>
          <w:rFonts w:hint="default" w:eastAsia="仿宋_GB2312"/>
          <w:sz w:val="32"/>
          <w:szCs w:val="32"/>
        </w:rPr>
        <w:t>（二）财务管理情况。包括企业总机构和分支机构财务管理部门的设置及相关职责，使用的财务核算软件。</w:t>
      </w:r>
    </w:p>
    <w:p>
      <w:pPr>
        <w:spacing w:line="600" w:lineRule="exact"/>
        <w:ind w:firstLine="640" w:firstLineChars="200"/>
        <w:rPr>
          <w:rFonts w:hint="default" w:eastAsia="仿宋_GB2312"/>
          <w:sz w:val="32"/>
          <w:szCs w:val="32"/>
        </w:rPr>
      </w:pPr>
      <w:r>
        <w:rPr>
          <w:rFonts w:hint="default" w:eastAsia="仿宋_GB2312"/>
          <w:sz w:val="32"/>
          <w:szCs w:val="32"/>
        </w:rPr>
        <w:t>（三）业务管理情况。企业相关业务的业务流程及管理情况。</w:t>
      </w:r>
    </w:p>
    <w:p>
      <w:pPr>
        <w:spacing w:line="600" w:lineRule="exact"/>
        <w:ind w:firstLine="640" w:firstLineChars="200"/>
        <w:rPr>
          <w:rFonts w:hint="default" w:eastAsia="仿宋_GB2312"/>
          <w:sz w:val="32"/>
          <w:szCs w:val="32"/>
        </w:rPr>
      </w:pPr>
      <w:r>
        <w:rPr>
          <w:rFonts w:hint="default" w:eastAsia="仿宋_GB2312"/>
          <w:sz w:val="32"/>
          <w:szCs w:val="32"/>
        </w:rPr>
        <w:t>（四）其他情况说明。本企业是否存在骗取出口退税、留抵退税情况；是否存在虚开虚抵增值税扣税凭证的情况；是否存在欠缴税款、滞纳金、罚款；法定代表人（负责人）、财务服务责任人是否担任非正常户的法定代表人（负责人）、财务负责人；是否存在未结案的税务违法违规案件；是否发生其他税务违法违规行为。</w:t>
      </w:r>
    </w:p>
    <w:p>
      <w:pPr>
        <w:spacing w:line="600" w:lineRule="exact"/>
        <w:ind w:firstLine="640" w:firstLineChars="200"/>
        <w:rPr>
          <w:rFonts w:hint="default" w:eastAsia="黑体"/>
          <w:sz w:val="32"/>
          <w:szCs w:val="32"/>
        </w:rPr>
      </w:pPr>
      <w:r>
        <w:rPr>
          <w:rFonts w:hint="default" w:eastAsia="黑体"/>
          <w:sz w:val="32"/>
          <w:szCs w:val="32"/>
        </w:rPr>
        <w:t>二、企业增值税征收管理的相关申请</w:t>
      </w:r>
    </w:p>
    <w:p>
      <w:pPr>
        <w:spacing w:line="600" w:lineRule="exact"/>
        <w:ind w:firstLine="640" w:firstLineChars="200"/>
        <w:rPr>
          <w:rFonts w:hint="default" w:eastAsia="仿宋_GB2312"/>
          <w:sz w:val="32"/>
          <w:szCs w:val="32"/>
        </w:rPr>
      </w:pPr>
      <w:r>
        <w:rPr>
          <w:rFonts w:hint="default" w:eastAsia="仿宋_GB2312"/>
          <w:sz w:val="32"/>
          <w:szCs w:val="32"/>
        </w:rPr>
        <w:t>（一）税款计算缴纳方式。明确选择“总机构统一申报缴纳”、“按预征率计算预缴税款”或“按累计销售收入比例分配税款”其中一种方式提出申请。如选择按预征率计算预缴税款，提出预征率设定值的建议。</w:t>
      </w:r>
    </w:p>
    <w:p>
      <w:pPr>
        <w:spacing w:line="600" w:lineRule="exact"/>
        <w:ind w:firstLine="640" w:firstLineChars="200"/>
        <w:rPr>
          <w:rFonts w:hint="default" w:eastAsia="仿宋_GB2312"/>
          <w:sz w:val="32"/>
          <w:szCs w:val="32"/>
        </w:rPr>
      </w:pPr>
      <w:r>
        <w:rPr>
          <w:rFonts w:hint="default" w:eastAsia="仿宋_GB2312"/>
          <w:sz w:val="32"/>
          <w:szCs w:val="32"/>
        </w:rPr>
        <w:t>（二）增值税发票领用方式。企业总机构、分支机构拟选用的发票领用方式。同一设区市内的县（市、区）级分支机构是否需要选择使用设区市级分支机构统一领用的发票。</w:t>
      </w:r>
    </w:p>
    <w:p>
      <w:pPr>
        <w:spacing w:line="600" w:lineRule="exact"/>
        <w:ind w:firstLine="640" w:firstLineChars="200"/>
        <w:rPr>
          <w:rFonts w:hint="default" w:eastAsia="仿宋_GB2312"/>
          <w:sz w:val="32"/>
          <w:szCs w:val="32"/>
        </w:rPr>
      </w:pPr>
      <w:r>
        <w:rPr>
          <w:rFonts w:hint="default" w:eastAsia="仿宋_GB2312"/>
          <w:sz w:val="32"/>
          <w:szCs w:val="32"/>
        </w:rPr>
        <w:t>（三）纳税主体确认方式。同一县（市、区）范围内的多个分支机构，选择以其中一个分支机构的名义合并缴纳税款的，应当在报送的总分支机构清册中予以注明。</w:t>
      </w: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rPr>
          <w:rFonts w:hint="default" w:eastAsia="仿宋_GB2312"/>
          <w:sz w:val="32"/>
          <w:szCs w:val="32"/>
        </w:rPr>
      </w:pPr>
    </w:p>
    <w:p>
      <w:pPr>
        <w:spacing w:line="600" w:lineRule="exact"/>
        <w:ind w:firstLine="640" w:firstLineChars="200"/>
        <w:rPr>
          <w:rFonts w:hint="default" w:eastAsia="仿宋_GB2312"/>
          <w:sz w:val="32"/>
          <w:szCs w:val="32"/>
        </w:rPr>
      </w:pPr>
      <w:r>
        <w:rPr>
          <w:rFonts w:hint="default" w:eastAsia="仿宋_GB2312"/>
          <w:sz w:val="32"/>
          <w:szCs w:val="32"/>
        </w:rPr>
        <w:t xml:space="preserve">                         企业（公章）</w:t>
      </w:r>
    </w:p>
    <w:p>
      <w:pPr>
        <w:spacing w:line="600" w:lineRule="exact"/>
        <w:ind w:firstLine="640" w:firstLineChars="200"/>
        <w:rPr>
          <w:rFonts w:hint="default" w:eastAsia="仿宋_GB2312"/>
          <w:sz w:val="32"/>
          <w:szCs w:val="32"/>
        </w:rPr>
      </w:pPr>
      <w:r>
        <w:rPr>
          <w:rFonts w:hint="default" w:eastAsia="仿宋_GB2312"/>
          <w:sz w:val="32"/>
          <w:szCs w:val="32"/>
        </w:rPr>
        <w:t xml:space="preserve">                         年  月   日</w:t>
      </w:r>
    </w:p>
    <w:p>
      <w:pPr>
        <w:spacing w:line="600" w:lineRule="exact"/>
        <w:rPr>
          <w:rFonts w:hint="default" w:eastAsia="仿宋_GB2312"/>
          <w:bCs/>
          <w:sz w:val="32"/>
          <w:szCs w:val="32"/>
        </w:rPr>
      </w:pPr>
    </w:p>
    <w:p>
      <w:pPr>
        <w:rPr>
          <w:rFonts w:hint="default" w:eastAsia="仿宋"/>
          <w:bCs/>
          <w:sz w:val="32"/>
          <w:szCs w:val="32"/>
        </w:rPr>
      </w:pPr>
    </w:p>
    <w:p>
      <w:pPr>
        <w:rPr>
          <w:rFonts w:hint="default" w:eastAsia="仿宋"/>
          <w:bCs/>
          <w:sz w:val="32"/>
          <w:szCs w:val="32"/>
        </w:rPr>
      </w:pPr>
    </w:p>
    <w:p>
      <w:pPr>
        <w:rPr>
          <w:rFonts w:hint="default" w:eastAsia="仿宋"/>
          <w:bCs/>
          <w:sz w:val="32"/>
          <w:szCs w:val="32"/>
        </w:rPr>
      </w:pPr>
    </w:p>
    <w:p>
      <w:pPr>
        <w:rPr>
          <w:rFonts w:hint="default" w:eastAsia="仿宋"/>
          <w:bCs/>
          <w:sz w:val="32"/>
          <w:szCs w:val="32"/>
        </w:rPr>
      </w:pPr>
    </w:p>
    <w:p>
      <w:pPr>
        <w:rPr>
          <w:rFonts w:hint="default" w:eastAsia="仿宋"/>
          <w:bCs/>
          <w:sz w:val="32"/>
          <w:szCs w:val="32"/>
        </w:rPr>
      </w:pPr>
    </w:p>
    <w:p>
      <w:pPr>
        <w:rPr>
          <w:rFonts w:hint="default" w:eastAsia="仿宋"/>
          <w:bCs/>
          <w:sz w:val="32"/>
          <w:szCs w:val="32"/>
        </w:rPr>
      </w:pPr>
    </w:p>
    <w:p>
      <w:pPr>
        <w:rPr>
          <w:rFonts w:hint="default" w:eastAsia="仿宋"/>
          <w:bCs/>
          <w:sz w:val="32"/>
          <w:szCs w:val="32"/>
        </w:rPr>
      </w:pPr>
    </w:p>
    <w:p>
      <w:pPr>
        <w:spacing w:before="156" w:beforeLines="50" w:after="156" w:afterLines="50"/>
        <w:rPr>
          <w:rFonts w:hint="default" w:eastAsia="黑体"/>
          <w:bCs/>
          <w:sz w:val="32"/>
          <w:szCs w:val="32"/>
        </w:rPr>
      </w:pPr>
      <w:r>
        <w:rPr>
          <w:rFonts w:hint="default" w:eastAsia="黑体"/>
          <w:bCs/>
          <w:sz w:val="32"/>
          <w:szCs w:val="32"/>
        </w:rPr>
        <w:t>附件2</w:t>
      </w:r>
    </w:p>
    <w:p>
      <w:pPr>
        <w:spacing w:before="156" w:beforeLines="50" w:after="156" w:afterLines="50"/>
        <w:jc w:val="center"/>
        <w:rPr>
          <w:rFonts w:hint="default" w:eastAsia="方正小标宋_GBK"/>
          <w:sz w:val="36"/>
          <w:szCs w:val="36"/>
        </w:rPr>
      </w:pPr>
      <w:r>
        <w:rPr>
          <w:rFonts w:hint="default" w:eastAsia="方正小标宋_GBK"/>
          <w:sz w:val="36"/>
          <w:szCs w:val="36"/>
        </w:rPr>
        <w:t>跨地区经营总分支机构清册</w:t>
      </w:r>
    </w:p>
    <w:tbl>
      <w:tblPr>
        <w:tblStyle w:val="5"/>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56"/>
        <w:gridCol w:w="1120"/>
        <w:gridCol w:w="959"/>
        <w:gridCol w:w="855"/>
        <w:gridCol w:w="1080"/>
        <w:gridCol w:w="360"/>
        <w:gridCol w:w="720"/>
        <w:gridCol w:w="1263"/>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3" w:type="dxa"/>
            <w:gridSpan w:val="2"/>
            <w:noWrap w:val="0"/>
            <w:vAlign w:val="top"/>
          </w:tcPr>
          <w:p>
            <w:pPr>
              <w:spacing w:line="440" w:lineRule="exact"/>
              <w:jc w:val="center"/>
              <w:rPr>
                <w:rFonts w:hint="default" w:eastAsia="仿宋_GB2312"/>
                <w:sz w:val="24"/>
                <w:szCs w:val="24"/>
              </w:rPr>
            </w:pPr>
            <w:r>
              <w:rPr>
                <w:rFonts w:hint="default" w:eastAsia="仿宋_GB2312"/>
                <w:sz w:val="24"/>
                <w:szCs w:val="24"/>
              </w:rPr>
              <w:t>总机构名称</w:t>
            </w:r>
          </w:p>
        </w:tc>
        <w:tc>
          <w:tcPr>
            <w:tcW w:w="2079" w:type="dxa"/>
            <w:gridSpan w:val="2"/>
            <w:noWrap w:val="0"/>
            <w:vAlign w:val="top"/>
          </w:tcPr>
          <w:p>
            <w:pPr>
              <w:spacing w:line="440" w:lineRule="exact"/>
              <w:jc w:val="center"/>
              <w:rPr>
                <w:rFonts w:hint="default" w:eastAsia="仿宋_GB2312"/>
                <w:sz w:val="24"/>
                <w:szCs w:val="24"/>
              </w:rPr>
            </w:pPr>
          </w:p>
        </w:tc>
        <w:tc>
          <w:tcPr>
            <w:tcW w:w="2295" w:type="dxa"/>
            <w:gridSpan w:val="3"/>
            <w:noWrap w:val="0"/>
            <w:vAlign w:val="top"/>
          </w:tcPr>
          <w:p>
            <w:pPr>
              <w:spacing w:line="440" w:lineRule="exact"/>
              <w:jc w:val="center"/>
              <w:rPr>
                <w:rFonts w:hint="default" w:eastAsia="仿宋_GB2312"/>
                <w:sz w:val="24"/>
                <w:szCs w:val="24"/>
              </w:rPr>
            </w:pPr>
            <w:r>
              <w:rPr>
                <w:rFonts w:hint="default" w:eastAsia="仿宋_GB2312"/>
                <w:sz w:val="24"/>
                <w:szCs w:val="24"/>
              </w:rPr>
              <w:t>纳税人识别号</w:t>
            </w:r>
          </w:p>
        </w:tc>
        <w:tc>
          <w:tcPr>
            <w:tcW w:w="2613" w:type="dxa"/>
            <w:gridSpan w:val="3"/>
            <w:noWrap w:val="0"/>
            <w:vAlign w:val="top"/>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3" w:type="dxa"/>
            <w:gridSpan w:val="2"/>
            <w:noWrap w:val="0"/>
            <w:vAlign w:val="top"/>
          </w:tcPr>
          <w:p>
            <w:pPr>
              <w:spacing w:line="440" w:lineRule="exact"/>
              <w:jc w:val="center"/>
              <w:rPr>
                <w:rFonts w:hint="default" w:eastAsia="仿宋_GB2312"/>
                <w:sz w:val="24"/>
                <w:szCs w:val="24"/>
              </w:rPr>
            </w:pPr>
            <w:r>
              <w:rPr>
                <w:rFonts w:hint="default" w:eastAsia="仿宋_GB2312"/>
                <w:sz w:val="24"/>
                <w:szCs w:val="24"/>
              </w:rPr>
              <w:t>经营地址</w:t>
            </w:r>
          </w:p>
        </w:tc>
        <w:tc>
          <w:tcPr>
            <w:tcW w:w="2079" w:type="dxa"/>
            <w:gridSpan w:val="2"/>
            <w:noWrap w:val="0"/>
            <w:vAlign w:val="top"/>
          </w:tcPr>
          <w:p>
            <w:pPr>
              <w:spacing w:line="440" w:lineRule="exact"/>
              <w:jc w:val="center"/>
              <w:rPr>
                <w:rFonts w:hint="default" w:eastAsia="仿宋_GB2312"/>
                <w:sz w:val="24"/>
                <w:szCs w:val="24"/>
              </w:rPr>
            </w:pPr>
          </w:p>
        </w:tc>
        <w:tc>
          <w:tcPr>
            <w:tcW w:w="2295" w:type="dxa"/>
            <w:gridSpan w:val="3"/>
            <w:noWrap w:val="0"/>
            <w:vAlign w:val="top"/>
          </w:tcPr>
          <w:p>
            <w:pPr>
              <w:spacing w:line="440" w:lineRule="exact"/>
              <w:jc w:val="center"/>
              <w:rPr>
                <w:rFonts w:hint="default" w:eastAsia="仿宋_GB2312"/>
                <w:sz w:val="24"/>
                <w:szCs w:val="24"/>
              </w:rPr>
            </w:pPr>
            <w:r>
              <w:rPr>
                <w:rFonts w:hint="default" w:eastAsia="仿宋_GB2312"/>
                <w:sz w:val="24"/>
                <w:szCs w:val="24"/>
              </w:rPr>
              <w:t>开业年月</w:t>
            </w:r>
          </w:p>
        </w:tc>
        <w:tc>
          <w:tcPr>
            <w:tcW w:w="2613" w:type="dxa"/>
            <w:gridSpan w:val="3"/>
            <w:noWrap w:val="0"/>
            <w:vAlign w:val="top"/>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3" w:type="dxa"/>
            <w:gridSpan w:val="2"/>
            <w:noWrap w:val="0"/>
            <w:vAlign w:val="top"/>
          </w:tcPr>
          <w:p>
            <w:pPr>
              <w:spacing w:line="440" w:lineRule="exact"/>
              <w:jc w:val="center"/>
              <w:rPr>
                <w:rFonts w:hint="default" w:eastAsia="仿宋_GB2312"/>
                <w:sz w:val="24"/>
                <w:szCs w:val="24"/>
              </w:rPr>
            </w:pPr>
            <w:r>
              <w:rPr>
                <w:rFonts w:hint="default" w:eastAsia="仿宋_GB2312"/>
                <w:sz w:val="24"/>
                <w:szCs w:val="24"/>
              </w:rPr>
              <w:t>法定代表人或负责人</w:t>
            </w:r>
          </w:p>
        </w:tc>
        <w:tc>
          <w:tcPr>
            <w:tcW w:w="2079" w:type="dxa"/>
            <w:gridSpan w:val="2"/>
            <w:noWrap w:val="0"/>
            <w:vAlign w:val="top"/>
          </w:tcPr>
          <w:p>
            <w:pPr>
              <w:spacing w:line="440" w:lineRule="exact"/>
              <w:jc w:val="center"/>
              <w:rPr>
                <w:rFonts w:hint="default" w:eastAsia="仿宋_GB2312"/>
                <w:sz w:val="24"/>
                <w:szCs w:val="24"/>
              </w:rPr>
            </w:pPr>
          </w:p>
        </w:tc>
        <w:tc>
          <w:tcPr>
            <w:tcW w:w="2295" w:type="dxa"/>
            <w:gridSpan w:val="3"/>
            <w:noWrap w:val="0"/>
            <w:vAlign w:val="top"/>
          </w:tcPr>
          <w:p>
            <w:pPr>
              <w:spacing w:line="440" w:lineRule="exact"/>
              <w:jc w:val="center"/>
              <w:rPr>
                <w:rFonts w:hint="default" w:eastAsia="仿宋_GB2312"/>
                <w:sz w:val="24"/>
                <w:szCs w:val="24"/>
              </w:rPr>
            </w:pPr>
            <w:r>
              <w:rPr>
                <w:rFonts w:hint="default" w:eastAsia="仿宋_GB2312"/>
                <w:sz w:val="24"/>
                <w:szCs w:val="24"/>
              </w:rPr>
              <w:t>财务负责人</w:t>
            </w:r>
          </w:p>
        </w:tc>
        <w:tc>
          <w:tcPr>
            <w:tcW w:w="2613" w:type="dxa"/>
            <w:gridSpan w:val="3"/>
            <w:noWrap w:val="0"/>
            <w:vAlign w:val="top"/>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3" w:type="dxa"/>
            <w:gridSpan w:val="2"/>
            <w:noWrap w:val="0"/>
            <w:vAlign w:val="top"/>
          </w:tcPr>
          <w:p>
            <w:pPr>
              <w:spacing w:line="440" w:lineRule="exact"/>
              <w:jc w:val="center"/>
              <w:rPr>
                <w:rFonts w:hint="default" w:eastAsia="仿宋_GB2312"/>
                <w:sz w:val="24"/>
                <w:szCs w:val="24"/>
              </w:rPr>
            </w:pPr>
            <w:r>
              <w:rPr>
                <w:rFonts w:hint="default" w:eastAsia="仿宋_GB2312"/>
                <w:sz w:val="24"/>
                <w:szCs w:val="24"/>
              </w:rPr>
              <w:t>联系电话</w:t>
            </w:r>
          </w:p>
        </w:tc>
        <w:tc>
          <w:tcPr>
            <w:tcW w:w="2079" w:type="dxa"/>
            <w:gridSpan w:val="2"/>
            <w:noWrap w:val="0"/>
            <w:vAlign w:val="top"/>
          </w:tcPr>
          <w:p>
            <w:pPr>
              <w:spacing w:line="440" w:lineRule="exact"/>
              <w:jc w:val="center"/>
              <w:rPr>
                <w:rFonts w:hint="default" w:eastAsia="仿宋_GB2312"/>
                <w:sz w:val="24"/>
                <w:szCs w:val="24"/>
              </w:rPr>
            </w:pPr>
          </w:p>
        </w:tc>
        <w:tc>
          <w:tcPr>
            <w:tcW w:w="2295" w:type="dxa"/>
            <w:gridSpan w:val="3"/>
            <w:noWrap w:val="0"/>
            <w:vAlign w:val="top"/>
          </w:tcPr>
          <w:p>
            <w:pPr>
              <w:spacing w:line="440" w:lineRule="exact"/>
              <w:jc w:val="center"/>
              <w:rPr>
                <w:rFonts w:hint="default" w:eastAsia="仿宋_GB2312"/>
                <w:sz w:val="24"/>
                <w:szCs w:val="24"/>
              </w:rPr>
            </w:pPr>
            <w:r>
              <w:rPr>
                <w:rFonts w:hint="default" w:eastAsia="仿宋_GB2312"/>
                <w:sz w:val="24"/>
                <w:szCs w:val="24"/>
              </w:rPr>
              <w:t>联系电话</w:t>
            </w:r>
          </w:p>
        </w:tc>
        <w:tc>
          <w:tcPr>
            <w:tcW w:w="2613" w:type="dxa"/>
            <w:gridSpan w:val="3"/>
            <w:noWrap w:val="0"/>
            <w:vAlign w:val="top"/>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3" w:type="dxa"/>
            <w:gridSpan w:val="2"/>
            <w:noWrap w:val="0"/>
            <w:vAlign w:val="top"/>
          </w:tcPr>
          <w:p>
            <w:pPr>
              <w:spacing w:line="440" w:lineRule="exact"/>
              <w:jc w:val="center"/>
              <w:rPr>
                <w:rFonts w:hint="default" w:eastAsia="仿宋_GB2312"/>
                <w:sz w:val="24"/>
                <w:szCs w:val="24"/>
              </w:rPr>
            </w:pPr>
            <w:r>
              <w:rPr>
                <w:rFonts w:hint="default" w:eastAsia="仿宋_GB2312"/>
                <w:sz w:val="24"/>
                <w:szCs w:val="24"/>
              </w:rPr>
              <w:t>主管税务机关</w:t>
            </w:r>
          </w:p>
        </w:tc>
        <w:tc>
          <w:tcPr>
            <w:tcW w:w="6987" w:type="dxa"/>
            <w:gridSpan w:val="8"/>
            <w:noWrap w:val="0"/>
            <w:vAlign w:val="top"/>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800" w:type="dxa"/>
            <w:gridSpan w:val="10"/>
            <w:tcBorders>
              <w:bottom w:val="single" w:color="auto" w:sz="4" w:space="0"/>
            </w:tcBorders>
            <w:noWrap w:val="0"/>
            <w:vAlign w:val="top"/>
          </w:tcPr>
          <w:p>
            <w:pPr>
              <w:spacing w:line="440" w:lineRule="exact"/>
              <w:jc w:val="center"/>
              <w:rPr>
                <w:rFonts w:hint="default" w:eastAsia="仿宋_GB2312"/>
                <w:sz w:val="24"/>
                <w:szCs w:val="24"/>
              </w:rPr>
            </w:pPr>
            <w:r>
              <w:rPr>
                <w:rFonts w:hint="default" w:eastAsia="仿宋_GB2312"/>
                <w:sz w:val="24"/>
                <w:szCs w:val="24"/>
              </w:rPr>
              <w:t>分支机构情况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40" w:lineRule="exact"/>
              <w:jc w:val="center"/>
              <w:rPr>
                <w:rFonts w:hint="default" w:eastAsia="仿宋_GB2312"/>
                <w:sz w:val="24"/>
                <w:szCs w:val="24"/>
              </w:rPr>
            </w:pPr>
            <w:r>
              <w:rPr>
                <w:rFonts w:hint="default" w:eastAsia="仿宋_GB2312"/>
                <w:sz w:val="24"/>
                <w:szCs w:val="24"/>
              </w:rPr>
              <w:t>序</w:t>
            </w:r>
          </w:p>
          <w:p>
            <w:pPr>
              <w:spacing w:line="440" w:lineRule="exact"/>
              <w:jc w:val="center"/>
              <w:rPr>
                <w:rFonts w:hint="default" w:eastAsia="仿宋_GB2312"/>
                <w:sz w:val="24"/>
                <w:szCs w:val="24"/>
              </w:rPr>
            </w:pPr>
            <w:r>
              <w:rPr>
                <w:rFonts w:hint="default" w:eastAsia="仿宋_GB2312"/>
                <w:sz w:val="24"/>
                <w:szCs w:val="24"/>
              </w:rPr>
              <w:t>号</w:t>
            </w:r>
          </w:p>
        </w:tc>
        <w:tc>
          <w:tcPr>
            <w:tcW w:w="13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default" w:eastAsia="仿宋_GB2312"/>
                <w:sz w:val="24"/>
                <w:szCs w:val="24"/>
              </w:rPr>
            </w:pPr>
            <w:r>
              <w:rPr>
                <w:rFonts w:hint="default" w:eastAsia="仿宋_GB2312"/>
                <w:sz w:val="24"/>
                <w:szCs w:val="24"/>
              </w:rPr>
              <w:t>机构</w:t>
            </w:r>
          </w:p>
          <w:p>
            <w:pPr>
              <w:spacing w:line="440" w:lineRule="exact"/>
              <w:jc w:val="center"/>
              <w:rPr>
                <w:rFonts w:hint="default" w:eastAsia="仿宋_GB2312"/>
                <w:sz w:val="24"/>
                <w:szCs w:val="24"/>
              </w:rPr>
            </w:pPr>
            <w:r>
              <w:rPr>
                <w:rFonts w:hint="default" w:eastAsia="仿宋_GB2312"/>
                <w:sz w:val="24"/>
                <w:szCs w:val="24"/>
              </w:rPr>
              <w:t>名称</w:t>
            </w:r>
          </w:p>
        </w:tc>
        <w:tc>
          <w:tcPr>
            <w:tcW w:w="11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40" w:lineRule="exact"/>
              <w:jc w:val="center"/>
              <w:rPr>
                <w:rFonts w:hint="default" w:eastAsia="仿宋_GB2312"/>
                <w:sz w:val="24"/>
                <w:szCs w:val="24"/>
              </w:rPr>
            </w:pPr>
            <w:r>
              <w:rPr>
                <w:rFonts w:hint="default" w:eastAsia="仿宋_GB2312"/>
                <w:sz w:val="24"/>
                <w:szCs w:val="24"/>
              </w:rPr>
              <w:t>纳税人识别号</w:t>
            </w:r>
          </w:p>
        </w:tc>
        <w:tc>
          <w:tcPr>
            <w:tcW w:w="9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40" w:lineRule="exact"/>
              <w:jc w:val="center"/>
              <w:rPr>
                <w:rFonts w:hint="default" w:eastAsia="仿宋_GB2312"/>
                <w:sz w:val="24"/>
                <w:szCs w:val="24"/>
              </w:rPr>
            </w:pPr>
            <w:r>
              <w:rPr>
                <w:rFonts w:hint="default" w:eastAsia="仿宋_GB2312"/>
                <w:sz w:val="24"/>
                <w:szCs w:val="24"/>
              </w:rPr>
              <w:t>经营</w:t>
            </w:r>
          </w:p>
          <w:p>
            <w:pPr>
              <w:spacing w:line="440" w:lineRule="exact"/>
              <w:jc w:val="center"/>
              <w:rPr>
                <w:rFonts w:hint="default" w:eastAsia="仿宋_GB2312"/>
                <w:sz w:val="24"/>
                <w:szCs w:val="24"/>
              </w:rPr>
            </w:pPr>
            <w:r>
              <w:rPr>
                <w:rFonts w:hint="default" w:eastAsia="仿宋_GB2312"/>
                <w:sz w:val="24"/>
                <w:szCs w:val="24"/>
              </w:rPr>
              <w:t>地址</w:t>
            </w: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default" w:eastAsia="仿宋_GB2312"/>
                <w:sz w:val="24"/>
                <w:szCs w:val="24"/>
              </w:rPr>
            </w:pPr>
            <w:r>
              <w:rPr>
                <w:rFonts w:hint="default" w:eastAsia="仿宋_GB2312"/>
                <w:sz w:val="24"/>
                <w:szCs w:val="24"/>
              </w:rPr>
              <w:t>开业</w:t>
            </w:r>
          </w:p>
          <w:p>
            <w:pPr>
              <w:spacing w:line="440" w:lineRule="exact"/>
              <w:jc w:val="center"/>
              <w:rPr>
                <w:rFonts w:hint="default" w:eastAsia="仿宋_GB2312"/>
                <w:sz w:val="24"/>
                <w:szCs w:val="24"/>
              </w:rPr>
            </w:pPr>
            <w:r>
              <w:rPr>
                <w:rFonts w:hint="default" w:eastAsia="仿宋_GB2312"/>
                <w:sz w:val="24"/>
                <w:szCs w:val="24"/>
              </w:rPr>
              <w:t>年月</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default" w:eastAsia="仿宋_GB2312"/>
                <w:sz w:val="24"/>
                <w:szCs w:val="24"/>
              </w:rPr>
            </w:pPr>
            <w:r>
              <w:rPr>
                <w:rFonts w:hint="default" w:eastAsia="仿宋_GB2312"/>
                <w:sz w:val="24"/>
                <w:szCs w:val="24"/>
              </w:rPr>
              <w:t>财务</w:t>
            </w:r>
          </w:p>
          <w:p>
            <w:pPr>
              <w:spacing w:line="440" w:lineRule="exact"/>
              <w:jc w:val="center"/>
              <w:rPr>
                <w:rFonts w:hint="default" w:eastAsia="仿宋_GB2312"/>
                <w:sz w:val="24"/>
                <w:szCs w:val="24"/>
              </w:rPr>
            </w:pPr>
            <w:r>
              <w:rPr>
                <w:rFonts w:hint="default" w:eastAsia="仿宋_GB2312"/>
                <w:sz w:val="24"/>
                <w:szCs w:val="24"/>
              </w:rPr>
              <w:t>负责人</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default" w:eastAsia="仿宋_GB2312"/>
                <w:sz w:val="24"/>
                <w:szCs w:val="24"/>
              </w:rPr>
            </w:pPr>
            <w:r>
              <w:rPr>
                <w:rFonts w:hint="default" w:eastAsia="仿宋_GB2312"/>
                <w:sz w:val="24"/>
                <w:szCs w:val="24"/>
              </w:rPr>
              <w:t>联系</w:t>
            </w:r>
          </w:p>
          <w:p>
            <w:pPr>
              <w:spacing w:line="440" w:lineRule="exact"/>
              <w:jc w:val="center"/>
              <w:rPr>
                <w:rFonts w:hint="default" w:eastAsia="仿宋_GB2312"/>
                <w:sz w:val="24"/>
                <w:szCs w:val="24"/>
              </w:rPr>
            </w:pPr>
            <w:r>
              <w:rPr>
                <w:rFonts w:hint="default" w:eastAsia="仿宋_GB2312"/>
                <w:sz w:val="24"/>
                <w:szCs w:val="24"/>
              </w:rPr>
              <w:t>电话</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440" w:lineRule="exact"/>
              <w:jc w:val="center"/>
              <w:rPr>
                <w:rFonts w:hint="default" w:eastAsia="仿宋_GB2312"/>
                <w:sz w:val="24"/>
                <w:szCs w:val="24"/>
              </w:rPr>
            </w:pPr>
            <w:r>
              <w:rPr>
                <w:rFonts w:hint="default" w:eastAsia="仿宋_GB2312"/>
                <w:sz w:val="24"/>
                <w:szCs w:val="24"/>
              </w:rPr>
              <w:t>主管</w:t>
            </w:r>
          </w:p>
          <w:p>
            <w:pPr>
              <w:spacing w:line="440" w:lineRule="exact"/>
              <w:jc w:val="center"/>
              <w:rPr>
                <w:rFonts w:hint="default" w:eastAsia="仿宋_GB2312"/>
                <w:sz w:val="24"/>
                <w:szCs w:val="24"/>
              </w:rPr>
            </w:pPr>
            <w:r>
              <w:rPr>
                <w:rFonts w:hint="default" w:eastAsia="仿宋_GB2312"/>
                <w:sz w:val="24"/>
                <w:szCs w:val="24"/>
              </w:rPr>
              <w:t>税务机关</w:t>
            </w:r>
          </w:p>
        </w:tc>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40" w:lineRule="exact"/>
              <w:jc w:val="center"/>
              <w:rPr>
                <w:rFonts w:hint="default" w:eastAsia="仿宋_GB2312"/>
                <w:sz w:val="24"/>
                <w:szCs w:val="24"/>
              </w:rPr>
            </w:pPr>
            <w:r>
              <w:rPr>
                <w:rFonts w:hint="default"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12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12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12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12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12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12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default" w:eastAsia="仿宋_GB2312"/>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仿宋_GB2312"/>
                <w:sz w:val="24"/>
                <w:szCs w:val="24"/>
              </w:rPr>
            </w:pPr>
          </w:p>
        </w:tc>
      </w:tr>
    </w:tbl>
    <w:p>
      <w:pPr>
        <w:ind w:firstLine="600" w:firstLineChars="200"/>
        <w:jc w:val="left"/>
        <w:rPr>
          <w:rFonts w:hint="default" w:eastAsia="仿宋_GB2312"/>
          <w:sz w:val="30"/>
          <w:szCs w:val="30"/>
        </w:rPr>
      </w:pPr>
      <w:r>
        <w:rPr>
          <w:rFonts w:hint="default" w:eastAsia="仿宋_GB2312"/>
          <w:sz w:val="30"/>
          <w:szCs w:val="30"/>
        </w:rPr>
        <w:t>说明：分支机构发生增加（变更、减少）的，由总机构填写本表，在备注栏次注明，报省税务局备案；当年度分支机构有变化的，总机构应当于次年1月31日前在本表中填列上年度变化后的所有总分支机构，并报省税务局备案。分支机构发生增加（变更、减少）和同一县（市、区）范围内的多个分支机构选择以其中一个分支机构名义合并缴纳税款的，请在“备注”栏中注明。</w:t>
      </w:r>
    </w:p>
    <w:p>
      <w:pPr>
        <w:tabs>
          <w:tab w:val="left" w:pos="4185"/>
        </w:tabs>
        <w:spacing w:line="600" w:lineRule="exact"/>
        <w:rPr>
          <w:rFonts w:hint="default" w:eastAsia="仿宋_GB2312"/>
          <w:sz w:val="32"/>
        </w:rPr>
      </w:pPr>
      <w:bookmarkStart w:id="0" w:name="_GoBack"/>
      <w:bookmarkEnd w:id="0"/>
    </w:p>
    <w:sectPr>
      <w:headerReference r:id="rId4" w:type="first"/>
      <w:footerReference r:id="rId6" w:type="first"/>
      <w:headerReference r:id="rId3" w:type="default"/>
      <w:footerReference r:id="rId5" w:type="default"/>
      <w:pgSz w:w="11906" w:h="16838"/>
      <w:pgMar w:top="1418" w:right="1588" w:bottom="1418" w:left="1588"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t>—</w:t>
    </w:r>
    <w:r>
      <w:rPr>
        <w:rFonts w:hint="eastAsia" w:ascii="宋体" w:hAnsi="宋体"/>
        <w:sz w:val="28"/>
        <w:szCs w:val="28"/>
      </w:rPr>
      <w:fldChar w:fldCharType="begin"/>
    </w:r>
    <w:r>
      <w:rPr>
        <w:rStyle w:val="7"/>
        <w:rFonts w:hint="eastAsia" w:ascii="宋体" w:hAnsi="宋体"/>
        <w:sz w:val="28"/>
        <w:szCs w:val="28"/>
      </w:rPr>
      <w:instrText xml:space="preserve"> PAGE </w:instrText>
    </w:r>
    <w:r>
      <w:rPr>
        <w:rFonts w:hint="eastAsia" w:ascii="宋体" w:hAnsi="宋体"/>
        <w:sz w:val="28"/>
        <w:szCs w:val="28"/>
      </w:rPr>
      <w:fldChar w:fldCharType="separate"/>
    </w:r>
    <w:r>
      <w:rPr>
        <w:rStyle w:val="7"/>
        <w:rFonts w:hint="eastAsia" w:ascii="宋体" w:hAnsi="宋体"/>
        <w:sz w:val="28"/>
        <w:szCs w:val="28"/>
      </w:rPr>
      <w:t>9</w:t>
    </w:r>
    <w:r>
      <w:rPr>
        <w:rFonts w:hint="eastAsia"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4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Autospacing="1" w:after="100" w:afterAutospacing="1"/>
      <w:jc w:val="left"/>
    </w:pPr>
    <w:rPr>
      <w:rFonts w:ascii="宋体" w:hAnsi="宋体"/>
      <w:kern w:val="0"/>
      <w:sz w:val="24"/>
      <w:szCs w:val="24"/>
    </w:rPr>
  </w:style>
  <w:style w:type="character" w:styleId="7">
    <w:name w:val="page number"/>
    <w:uiPriority w:val="0"/>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2019-05-22T03:51:02Z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