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11</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岳阳市南湖新区恒瑞南湖大药房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b w:val="0"/>
          <w:bCs w:val="0"/>
          <w:kern w:val="1"/>
          <w:sz w:val="32"/>
          <w:szCs w:val="32"/>
          <w:u w:val="single"/>
          <w:lang w:val="en-US" w:eastAsia="zh-CN"/>
        </w:rPr>
        <w:t xml:space="preserve">91430600MA4PRT7X8W </w:t>
      </w:r>
      <w:r>
        <w:rPr>
          <w:rFonts w:hint="eastAsia" w:ascii="Times New Roman" w:hAnsi="Times New Roman" w:eastAsia="仿宋_GB2312" w:cs="Mongolian Baiti"/>
          <w:kern w:val="1"/>
          <w:sz w:val="32"/>
          <w:szCs w:val="32"/>
        </w:rPr>
        <w:t xml:space="preserve">                                 </w:t>
      </w:r>
    </w:p>
    <w:p>
      <w:pPr>
        <w:spacing w:line="520" w:lineRule="exact"/>
        <w:ind w:left="140" w:hanging="140"/>
        <w:rPr>
          <w:rFonts w:hint="default"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药品许可证编号：</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b w:val="0"/>
          <w:bCs w:val="0"/>
          <w:kern w:val="1"/>
          <w:sz w:val="32"/>
          <w:szCs w:val="32"/>
          <w:u w:val="single"/>
          <w:lang w:val="en-US" w:eastAsia="zh-CN"/>
        </w:rPr>
        <w:t>湘DB73010068</w:t>
      </w:r>
      <w:r>
        <w:rPr>
          <w:rFonts w:hint="eastAsia" w:ascii="Times New Roman" w:hAnsi="Times New Roman" w:eastAsia="仿宋_GB2312" w:cs="Mongolian Baiti"/>
          <w:kern w:val="1"/>
          <w:sz w:val="32"/>
          <w:szCs w:val="32"/>
          <w:u w:val="single"/>
          <w:lang w:val="en-US" w:eastAsia="zh-CN"/>
        </w:rPr>
        <w:t xml:space="preserve">        </w:t>
      </w:r>
    </w:p>
    <w:p>
      <w:pPr>
        <w:spacing w:line="520" w:lineRule="exact"/>
        <w:ind w:left="140" w:hanging="140"/>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法定代表人： </w:t>
      </w:r>
      <w:r>
        <w:rPr>
          <w:rFonts w:hint="eastAsia" w:ascii="Times New Roman" w:hAnsi="Times New Roman" w:eastAsia="仿宋_GB2312" w:cs="Mongolian Baiti"/>
          <w:kern w:val="1"/>
          <w:sz w:val="32"/>
          <w:szCs w:val="32"/>
          <w:u w:val="single"/>
          <w:lang w:val="en-US" w:eastAsia="zh-CN"/>
        </w:rPr>
        <w:t>李霞</w:t>
      </w:r>
      <w:r>
        <w:rPr>
          <w:rFonts w:hint="eastAsia" w:ascii="Times New Roman" w:hAnsi="Times New Roman" w:eastAsia="仿宋_GB2312" w:cs="Mongolian Baiti"/>
          <w:kern w:val="1"/>
          <w:sz w:val="32"/>
          <w:szCs w:val="32"/>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岳阳市南湖新区求索办事处渔光社区天鹅湖三期5栋103-104号</w:t>
      </w:r>
      <w:bookmarkStart w:id="0" w:name="_GoBack"/>
      <w:bookmarkEnd w:id="0"/>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2019年9月19日我局行政执法人员对</w:t>
      </w:r>
      <w:r>
        <w:rPr>
          <w:rFonts w:hint="eastAsia" w:ascii="Times New Roman" w:hAnsi="Times New Roman" w:eastAsia="仿宋" w:cs="仿宋"/>
          <w:color w:val="000000"/>
          <w:sz w:val="32"/>
          <w:szCs w:val="32"/>
          <w:u w:val="single"/>
          <w:lang w:val="en-US" w:eastAsia="zh-CN"/>
        </w:rPr>
        <w:t>岳阳市南湖新区恒瑞南湖大药房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购进销售“头孢克肟片”（标示生产厂家：湖南方盛制药股份有限公司；标示批准文号：国药准字H20093161；标示批号：190304）</w:t>
      </w:r>
      <w:r>
        <w:rPr>
          <w:rFonts w:hint="eastAsia" w:ascii="仿宋_GB2312" w:hAnsi="Mongolian Baiti" w:eastAsia="仿宋_GB2312" w:cs="Mongolian Baiti"/>
          <w:sz w:val="32"/>
          <w:szCs w:val="32"/>
          <w:u w:val="single"/>
        </w:rPr>
        <w:t xml:space="preserve"> </w:t>
      </w:r>
      <w:r>
        <w:rPr>
          <w:rFonts w:hint="eastAsia" w:ascii="仿宋_GB2312" w:hAnsi="Mongolian Baiti" w:eastAsia="仿宋_GB2312" w:cs="Mongolian Baiti"/>
          <w:sz w:val="32"/>
          <w:szCs w:val="32"/>
          <w:u w:val="single"/>
          <w:lang w:val="en-US" w:eastAsia="zh-CN"/>
        </w:rPr>
        <w:t>两盒，不能提供购进票据，上述行为在2019年8月23日的检查中也曾发现并下达了《责令改正通知书》，该单位逾期仍未改正。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《现场检查笔录》（时间：2019年9月19日）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销售“头孢克肟片”（标示生产厂家：湖南方盛制药股份有限公司；标示批准文号：国药准字H20093161；标示批号：190304）两盒，不能提供购进票据的事实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《询问笔录》（2019年9月19日）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.《现场检查笔录》（时间：2019年8月23日）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销售“唯达宁”（标示生产厂家：辽宁新高制药有限公司；标示规格:10g:1.0g；标示批号：190207）五盒，不能提供购进票据的事实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《询问笔录》（2019年8月23日）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2019年9月26日向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岳阳市南湖新区恒瑞南湖大药房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2000元。罚</w:t>
      </w:r>
      <w:r>
        <w:rPr>
          <w:rFonts w:hint="eastAsia" w:ascii="仿宋" w:hAnsi="仿宋" w:eastAsia="仿宋" w:cs="仿宋"/>
          <w:b w:val="0"/>
          <w:bCs w:val="0"/>
          <w:sz w:val="32"/>
          <w:szCs w:val="32"/>
          <w:u w:val="single" w:color="000000" w:themeColor="text1"/>
          <w:lang w:val="en-US" w:eastAsia="zh-CN"/>
        </w:rPr>
        <w:t>没款合计人民币贰</w:t>
      </w:r>
      <w:r>
        <w:rPr>
          <w:rFonts w:hint="eastAsia" w:ascii="仿宋" w:hAnsi="仿宋" w:eastAsia="仿宋" w:cs="仿宋"/>
          <w:b w:val="0"/>
          <w:bCs w:val="0"/>
          <w:sz w:val="32"/>
          <w:szCs w:val="32"/>
          <w:u w:val="single" w:color="000000" w:themeColor="text1"/>
          <w:shd w:val="clear" w:color="auto" w:fill="FFFFFF"/>
          <w:lang w:val="en-US" w:eastAsia="zh-CN"/>
        </w:rPr>
        <w:t>仟</w:t>
      </w:r>
      <w:r>
        <w:rPr>
          <w:rFonts w:hint="eastAsia" w:ascii="仿宋" w:hAnsi="仿宋" w:eastAsia="仿宋" w:cs="仿宋"/>
          <w:b w:val="0"/>
          <w:bCs w:val="0"/>
          <w:sz w:val="32"/>
          <w:szCs w:val="32"/>
          <w:u w:val="single" w:color="000000" w:themeColor="text1"/>
          <w:shd w:val="clear" w:color="auto" w:fill="FFFFFF"/>
          <w:lang w:eastAsia="zh-CN"/>
        </w:rPr>
        <w:t>圆整（</w:t>
      </w:r>
      <w:r>
        <w:rPr>
          <w:rFonts w:hint="eastAsia" w:ascii="仿宋" w:hAnsi="仿宋" w:eastAsia="仿宋" w:cs="仿宋"/>
          <w:b w:val="0"/>
          <w:bCs w:val="0"/>
          <w:sz w:val="32"/>
          <w:szCs w:val="32"/>
          <w:u w:val="single" w:color="000000" w:themeColor="text1"/>
          <w:shd w:val="clear" w:color="auto" w:fill="FFFFFF"/>
          <w:lang w:val="en-US" w:eastAsia="zh-CN"/>
        </w:rPr>
        <w:t>RMB：</w:t>
      </w:r>
      <w:r>
        <w:rPr>
          <w:rFonts w:hint="eastAsia" w:ascii="仿宋" w:hAnsi="仿宋" w:eastAsia="仿宋" w:cs="仿宋"/>
          <w:b w:val="0"/>
          <w:bCs w:val="0"/>
          <w:i w:val="0"/>
          <w:caps w:val="0"/>
          <w:color w:val="333333"/>
          <w:spacing w:val="0"/>
          <w:sz w:val="32"/>
          <w:szCs w:val="32"/>
          <w:u w:val="single" w:color="000000" w:themeColor="text1"/>
          <w:shd w:val="clear" w:color="auto" w:fill="FFFFFF"/>
        </w:rPr>
        <w:t>¥</w:t>
      </w:r>
      <w:r>
        <w:rPr>
          <w:rFonts w:hint="eastAsia" w:ascii="仿宋" w:hAnsi="仿宋" w:eastAsia="仿宋" w:cs="仿宋"/>
          <w:b w:val="0"/>
          <w:bCs w:val="0"/>
          <w:sz w:val="32"/>
          <w:szCs w:val="32"/>
          <w:u w:val="single" w:color="000000" w:themeColor="text1"/>
          <w:shd w:val="clear" w:color="auto" w:fill="FFFFFF"/>
          <w:lang w:val="en-US" w:eastAsia="zh-CN"/>
        </w:rPr>
        <w:t>2000元</w:t>
      </w:r>
      <w:r>
        <w:rPr>
          <w:rFonts w:hint="eastAsia" w:ascii="仿宋" w:hAnsi="仿宋" w:eastAsia="仿宋" w:cs="仿宋"/>
          <w:b w:val="0"/>
          <w:bCs w:val="0"/>
          <w:sz w:val="32"/>
          <w:szCs w:val="32"/>
          <w:u w:val="single" w:color="000000" w:themeColor="text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9</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1FFE154E"/>
    <w:rsid w:val="353609DB"/>
    <w:rsid w:val="3C1A3B34"/>
    <w:rsid w:val="43C15A6C"/>
    <w:rsid w:val="4C43614D"/>
    <w:rsid w:val="51BC3912"/>
    <w:rsid w:val="68B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