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Cs/>
          <w:sz w:val="44"/>
          <w:szCs w:val="44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  <w:u w:val="none"/>
          <w:lang w:eastAsia="zh-CN"/>
        </w:rPr>
        <w:t>岳阳市</w:t>
      </w:r>
      <w:r>
        <w:rPr>
          <w:rFonts w:hint="eastAsia" w:asciiTheme="minorEastAsia" w:hAnsiTheme="minorEastAsia" w:eastAsiaTheme="minorEastAsia" w:cstheme="minorEastAsia"/>
          <w:bCs/>
          <w:sz w:val="52"/>
          <w:szCs w:val="52"/>
        </w:rPr>
        <w:t>市场监督管理局</w:t>
      </w:r>
    </w:p>
    <w:p>
      <w:pPr>
        <w:pStyle w:val="2"/>
        <w:keepNext w:val="0"/>
        <w:numPr>
          <w:ilvl w:val="0"/>
          <w:numId w:val="2"/>
        </w:numPr>
        <w:spacing w:before="0" w:beforeLines="0" w:after="0" w:afterLines="0" w:line="640" w:lineRule="exact"/>
        <w:jc w:val="center"/>
        <w:rPr>
          <w:rFonts w:hint="eastAsia" w:asciiTheme="minorEastAsia" w:hAnsiTheme="minorEastAsia" w:eastAsiaTheme="minorEastAsia" w:cstheme="minorEastAsia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行政处罚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 w:eastAsia="zh-CN"/>
        </w:rPr>
        <w:t>决定</w:t>
      </w:r>
      <w:r>
        <w:rPr>
          <w:rFonts w:hint="eastAsia" w:asciiTheme="minorEastAsia" w:hAnsiTheme="minorEastAsia" w:eastAsiaTheme="minorEastAsia" w:cstheme="minorEastAsia"/>
          <w:sz w:val="52"/>
          <w:szCs w:val="52"/>
          <w:lang w:val="en-US"/>
        </w:rPr>
        <w:t>书</w:t>
      </w:r>
    </w:p>
    <w:p>
      <w:pPr>
        <w:spacing w:before="312" w:beforeLines="100" w:after="312" w:afterLines="100" w:line="520" w:lineRule="exact"/>
        <w:jc w:val="center"/>
        <w:rPr>
          <w:rFonts w:hint="eastAsia" w:ascii="Times New Roman" w:hAnsi="Times New Roman" w:eastAsia="仿宋_GB2312" w:cs="仿宋"/>
          <w:sz w:val="32"/>
          <w:szCs w:val="32"/>
          <w:u w:val="none"/>
        </w:rPr>
      </w:pP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岳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市监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eastAsia="zh-CN"/>
        </w:rPr>
        <w:t>南处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字〔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2020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none"/>
          <w:lang w:val="en-US" w:eastAsia="zh-CN"/>
        </w:rPr>
        <w:t>13</w:t>
      </w:r>
      <w:r>
        <w:rPr>
          <w:rFonts w:hint="eastAsia" w:ascii="Times New Roman" w:hAnsi="Times New Roman" w:eastAsia="仿宋_GB2312" w:cs="仿宋"/>
          <w:sz w:val="32"/>
          <w:szCs w:val="32"/>
          <w:u w:val="none"/>
        </w:rPr>
        <w:t>号</w:t>
      </w:r>
    </w:p>
    <w:p>
      <w:pPr>
        <w:spacing w:line="120" w:lineRule="exact"/>
        <w:rPr>
          <w:rFonts w:hint="eastAsia" w:ascii="Times New Roman" w:hAnsi="方正小标宋简体" w:eastAsia="方正小标宋简体" w:cs="方正小标宋简体"/>
          <w:bCs/>
          <w:color w:val="000000"/>
          <w:sz w:val="72"/>
          <w:szCs w:val="72"/>
        </w:rPr>
      </w:pPr>
      <w:r>
        <w:rPr>
          <w:rFonts w:hint="eastAsia" w:ascii="仿宋_GB2312" w:eastAsia="仿宋_GB2312"/>
          <w:sz w:val="32"/>
          <w:szCs w:val="32"/>
          <w:u w:val="thick"/>
        </w:rPr>
        <w:t xml:space="preserve">                                                    </w:t>
      </w: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关于岳阳市南湖新区朝阳大药房南湖店（普通合伙）未按规定明码标价销售商品的行政处罚决定书</w:t>
      </w:r>
    </w:p>
    <w:p>
      <w:pPr>
        <w:spacing w:line="520" w:lineRule="exact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当事人：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岳阳市南湖新区朝阳大药房南湖店（普通合伙）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9143060009197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执行事务合伙人：付蓉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经营场所：南湖新区南湖广场财政局新楼临街门面（求索东路南郡财苑</w:t>
      </w:r>
      <w:r>
        <w:rPr>
          <w:rFonts w:hint="eastAsia" w:ascii="仿宋" w:hAnsi="仿宋" w:eastAsia="仿宋" w:cs="仿宋"/>
          <w:sz w:val="32"/>
          <w:szCs w:val="32"/>
        </w:rPr>
        <w:t>*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号门面）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类型：普通合伙企业</w:t>
      </w:r>
      <w:r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成立日期：2013年12月19日；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合伙期限：长期；</w:t>
      </w:r>
    </w:p>
    <w:p>
      <w:pPr>
        <w:spacing w:line="52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经营范围：中药材、中药饮片、西药、一类西药器械、二类医疗器械、中成药、预包装食品、散装食品、乳制品、化妆品、日用百货零售，保健食品、消毒剂、保健品的销售。（依法须经批准的项目，经相关部门批准后方可经营）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年2月7日，我所执法人员在冠状肺炎疫情防控期间对价格行为进行监督检查时，发现当事人未按规定明码标价销售商品，涉嫌违反《中华人民共和国价格法》第十三条规定，遂对当事人经营场所进行检查、记录、拍照。同日，经局领导批准对此立案，并指定执法人员严晗、易张正办理。2020年32月5日，对当事人进行询问、记录，并收集关联证明材料。本案调查过程中没有采取行政强制措施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经查，2019年11月11日至2020年3月3日，当事人未按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规定明码标价，未注明商品的品名、产地、规格、等级、计价单位、价格等有关情况，以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159.6元/盒和160元/盒的价格销售“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  <w:t>养生堂牌天然维生素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C咀嚼片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”2盒，获利151.6元；以134.4元/盒的价格销售“养生堂牌天然维生素E软胶囊”2盒，获利100.8元。合计获利252.4元。上述商品附着标识符合相的相关规定。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上述事实，主要有以下证据证明：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证据一、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2020年3月3日，当事人提供的居民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身份证复印件一份，证明其个人基本信息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适格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                         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证据二、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2020年3月3日，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经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盖章确认的《营业执照》复印件一份</w:t>
      </w:r>
      <w:r>
        <w:rPr>
          <w:rFonts w:hint="eastAsia" w:ascii="仿宋" w:hAnsi="仿宋" w:eastAsia="仿宋" w:cs="仿宋"/>
          <w:sz w:val="32"/>
          <w:szCs w:val="32"/>
          <w:u w:val="none"/>
        </w:rPr>
        <w:t>，证明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当事人具备合法的市场主体资格；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证据三、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2020年3月5日，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调查人员对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制作的《询问（调查）笔录》一份</w:t>
      </w:r>
      <w:r>
        <w:rPr>
          <w:rFonts w:hint="eastAsia" w:ascii="仿宋" w:hAnsi="仿宋" w:eastAsia="仿宋" w:cs="仿宋"/>
          <w:sz w:val="32"/>
          <w:szCs w:val="32"/>
          <w:u w:val="none"/>
        </w:rPr>
        <w:t>，证明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当事人销售未明码标价“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养生堂牌天然维生素C咀嚼片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”等两种商品的违法事实；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证据四、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2020年3月3日，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经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盖章确认的现场检查拍摄图片六张，证明当事人销售未明码标价“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养生堂牌天然维生素C咀嚼片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”等两种商品的违法事实；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证据五、2020年3月5日，经当事人盖章确认的进货台账和销售台账图片一张，证明当事人销售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未明码标价“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养生堂牌天然维生素C咀嚼片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”等两种商品的违法事实；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证据六、2020年3月3日，经当事人盖章确认的《现场检查笔录》一份，证明当事人销售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未明码标价“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养生堂牌天然维生素C咀嚼片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”等两种商品的违法事实。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以上证据均由本局执法人员依法取得，具有真实性、合法性、关联性，且经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签字确定无异议，符合证据要求，可以作为本案定性的依据。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的上述行为违法了《中国人民共和国价格法》第十三条“经营者销售、收购商品和提供服务，应当按照政府价格主管部门的规定明码标价，注明商品的品名、产地、规格、等级、计价单位、价格或者服务的项目、收费标准等有关情况”的规定，属于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未按规定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明码标价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销售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商品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的行为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                      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  <w:t>依据《中华人民共和国价格法》第四十二条“经营者违法明码标价规定的，责令改正，没收违法所得，可以并处五千元以下的罚款”之规定，鉴于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eastAsia="zh-CN"/>
        </w:rPr>
        <w:t>当事人的上述行为发生在全国新型冠状病毒肺炎疫情期间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，</w:t>
      </w:r>
      <w:r>
        <w:rPr>
          <w:rFonts w:hint="eastAsia" w:ascii="Times New Roman" w:hAnsi="Times New Roman" w:eastAsia="仿宋_GB2312" w:cs="仿宋_GB2312"/>
          <w:bCs/>
          <w:sz w:val="32"/>
          <w:szCs w:val="32"/>
          <w:u w:val="none"/>
          <w:lang w:val="en-US" w:eastAsia="zh-CN"/>
        </w:rPr>
        <w:t>为贯彻执行《市场监管理总局关于规范市场监督管理行政处罚裁量权胡指导意见》在发生自然灾害、事故灾难、公共卫生或者社会安全事件期间实施违法行为的，可以依法从重行政处罚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  <w:t>建议责令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  <w:t>立即改正，并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对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当事人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作如下行政</w:t>
      </w:r>
      <w:r>
        <w:rPr>
          <w:rFonts w:hint="eastAsia" w:ascii="仿宋" w:hAnsi="仿宋" w:eastAsia="仿宋" w:cs="仿宋"/>
          <w:bCs/>
          <w:sz w:val="32"/>
          <w:szCs w:val="32"/>
          <w:u w:val="none"/>
          <w:lang w:eastAsia="zh-CN"/>
        </w:rPr>
        <w:t>处罚：</w:t>
      </w:r>
    </w:p>
    <w:p>
      <w:pPr>
        <w:numPr>
          <w:ilvl w:val="0"/>
          <w:numId w:val="3"/>
        </w:numPr>
        <w:spacing w:line="52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没收非法所得252.4元；</w:t>
      </w:r>
    </w:p>
    <w:p>
      <w:pPr>
        <w:numPr>
          <w:ilvl w:val="0"/>
          <w:numId w:val="3"/>
        </w:num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2、罚款人民币5000元。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u w:val="none"/>
          <w:lang w:val="en-US" w:eastAsia="zh-CN"/>
        </w:rPr>
        <w:t>以上两项合计罚没5252.4元，上缴国库。</w:t>
      </w:r>
    </w:p>
    <w:p>
      <w:pP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当事人应当在接到本处罚决定书之日起十五日内，到本局财务室开具一般缴款书，持一般缴款书到所指定的银行交清上述罚款。（户名：岳阳市非税收入征收管理局，账号：4366007100181600</w:t>
      </w:r>
      <w:r>
        <w:rPr>
          <w:rFonts w:hint="eastAsia" w:ascii="仿宋" w:hAnsi="仿宋" w:eastAsia="仿宋" w:cs="仿宋"/>
          <w:sz w:val="32"/>
          <w:szCs w:val="32"/>
        </w:rPr>
        <w:t>*****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，开户行：岳阳市交通银行府东支行）。本局财务室地址：岳阳市青年中路72号岳阳市工商行政管理局南湖分局三楼307室，电话：0730-8802611。逾期不缴纳，本局每日按罚款数额的百分之三、违法所得千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分之二加处罚款。</w:t>
      </w:r>
    </w:p>
    <w:p>
      <w:pPr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当事人如对本处罚决定不服，可以在收到本处罚决定之日六十日内，向湖南省市场监督管理局或岳阳市人民政府申请行政复议；对行政复议决定不服的，可以依法向岳阳市君山区人民法院提起诉讼。行政复议或行政诉讼期间不停止本决定的执行。</w:t>
      </w:r>
    </w:p>
    <w:p>
      <w:pPr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ind w:firstLine="6080" w:firstLineChars="19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（印 章）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</w:p>
    <w:p>
      <w:pPr>
        <w:wordWrap w:val="0"/>
        <w:spacing w:line="520" w:lineRule="exact"/>
        <w:ind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   年   月   日 </w:t>
      </w:r>
    </w:p>
    <w:p>
      <w:pPr>
        <w:wordWrap w:val="0"/>
        <w:spacing w:line="520" w:lineRule="exact"/>
        <w:ind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ind w:firstLine="5440" w:firstLineChars="1700"/>
        <w:jc w:val="both"/>
        <w:rPr>
          <w:rFonts w:hint="eastAsia" w:ascii="仿宋" w:hAnsi="仿宋" w:eastAsia="仿宋" w:cs="仿宋"/>
          <w:sz w:val="32"/>
          <w:szCs w:val="32"/>
          <w:u w:val="none"/>
        </w:rPr>
      </w:pP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</w:p>
    <w:p>
      <w:pPr>
        <w:wordWrap w:val="0"/>
        <w:spacing w:line="520" w:lineRule="exact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wordWrap w:val="0"/>
        <w:spacing w:line="520" w:lineRule="exact"/>
        <w:ind w:firstLine="960" w:firstLineChars="300"/>
        <w:jc w:val="both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（本行政处罚决定信息将依法向社会进行公示）</w:t>
      </w:r>
      <w:r>
        <w:rPr>
          <w:rFonts w:hint="eastAsia" w:ascii="仿宋" w:hAnsi="仿宋" w:eastAsia="仿宋" w:cs="仿宋"/>
          <w:sz w:val="32"/>
          <w:szCs w:val="32"/>
        </w:rPr>
        <w:t xml:space="preserve">     </w:t>
      </w: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520" w:lineRule="exact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4pt;margin-top:1638.35pt;height:0.1pt;width:453.75pt;z-index:251696128;mso-width-relative:page;mso-height-relative:page;" filled="f" stroked="t" coordsize="21600,21600" o:gfxdata="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fKK/XXAAAACwEAAA8A&#10;AAAAAAAAAQAgAAAAIgAAAGRycy9kb3ducmV2LnhtbFBLAQIUABQAAAAIAIdO4kDNRLp73wEAAJcD&#10;AAAOAAAAAAAAAAEAIAAAACYBAABkcnMvZTJvRG9jLnhtbFBLBQYAAAAABgAGAFkBAAB3BQAAAAA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172085</wp:posOffset>
                </wp:positionV>
                <wp:extent cx="555053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3pt;margin-top:13.55pt;height:0.05pt;width:437.05pt;z-index:251698176;mso-width-relative:page;mso-height-relative:page;" filled="f" stroked="t" coordsize="21600,21600" o:gfxdata="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HRn11QAAAAcBAAAPAAAAAAAAAAEA&#10;IAAAACIAAABkcnMvZG93bnJldi54bWxQSwECFAAUAAAACACHTuJAnawxfdkBAACZAwAADgAAAAAA&#10;AAABACAAAAAkAQAAZHJzL2Uyb0RvYy54bWxQSwUGAAAAAAYABgBZAQAAb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ordWrap w:val="0"/>
        <w:spacing w:line="520" w:lineRule="exact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本文书一式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三份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份送达，一份归档，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一份办案机关留存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C3CBD0"/>
    <w:multiLevelType w:val="singleLevel"/>
    <w:tmpl w:val="A6C3CBD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0000000A"/>
    <w:multiLevelType w:val="multilevel"/>
    <w:tmpl w:val="0000000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934D4"/>
    <w:rsid w:val="00396128"/>
    <w:rsid w:val="069934D4"/>
    <w:rsid w:val="1C0F6A00"/>
    <w:rsid w:val="21121910"/>
    <w:rsid w:val="21400634"/>
    <w:rsid w:val="29374ABF"/>
    <w:rsid w:val="2C8D02D1"/>
    <w:rsid w:val="40282A18"/>
    <w:rsid w:val="449723DD"/>
    <w:rsid w:val="4B7D168D"/>
    <w:rsid w:val="5A1B5709"/>
    <w:rsid w:val="614969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beforeLines="0" w:after="120" w:afterLines="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2020-02-22T06:23:00Z</dcterms:created>
  <dc:creator>lenovo</dc:creator>
  <cp:lastModifiedBy>Administrator</cp:lastModifiedBy>
  <cp:lastPrinted>2020-03-08T00:13:00Z</cp:lastPrinted>
  <dcterms:modified xsi:type="dcterms:W3CDTF">2020-09-21T02:03:14Z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