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Cs/>
          <w:sz w:val="44"/>
          <w:szCs w:val="4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52"/>
          <w:szCs w:val="52"/>
          <w:u w:val="none"/>
          <w:lang w:eastAsia="zh-CN"/>
        </w:rPr>
        <w:t>岳阳市</w:t>
      </w:r>
      <w:r>
        <w:rPr>
          <w:rFonts w:hint="eastAsia" w:asciiTheme="minorEastAsia" w:hAnsiTheme="minorEastAsia" w:eastAsiaTheme="minorEastAsia" w:cstheme="minorEastAsia"/>
          <w:bCs/>
          <w:sz w:val="52"/>
          <w:szCs w:val="52"/>
        </w:rPr>
        <w:t>市场监督管理局</w:t>
      </w:r>
    </w:p>
    <w:p>
      <w:pPr>
        <w:pStyle w:val="2"/>
        <w:keepNext w:val="0"/>
        <w:numPr>
          <w:ilvl w:val="0"/>
          <w:numId w:val="2"/>
        </w:numPr>
        <w:spacing w:before="0" w:beforeLines="0" w:after="0" w:afterLines="0" w:line="640" w:lineRule="exact"/>
        <w:jc w:val="center"/>
        <w:rPr>
          <w:rFonts w:hint="eastAsia" w:asciiTheme="minorEastAsia" w:hAnsiTheme="minorEastAsia" w:eastAsiaTheme="minorEastAsia" w:cstheme="minorEastAsia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sz w:val="52"/>
          <w:szCs w:val="52"/>
          <w:lang w:val="en-US"/>
        </w:rPr>
        <w:t>行政处罚</w:t>
      </w:r>
      <w:r>
        <w:rPr>
          <w:rFonts w:hint="eastAsia" w:asciiTheme="minorEastAsia" w:hAnsiTheme="minorEastAsia" w:eastAsiaTheme="minorEastAsia" w:cstheme="minorEastAsia"/>
          <w:sz w:val="52"/>
          <w:szCs w:val="52"/>
          <w:lang w:val="en-US" w:eastAsia="zh-CN"/>
        </w:rPr>
        <w:t>决定</w:t>
      </w:r>
      <w:r>
        <w:rPr>
          <w:rFonts w:hint="eastAsia" w:asciiTheme="minorEastAsia" w:hAnsiTheme="minorEastAsia" w:eastAsiaTheme="minorEastAsia" w:cstheme="minorEastAsia"/>
          <w:sz w:val="52"/>
          <w:szCs w:val="52"/>
          <w:lang w:val="en-US"/>
        </w:rPr>
        <w:t>书</w:t>
      </w:r>
    </w:p>
    <w:p>
      <w:pPr>
        <w:spacing w:before="312" w:beforeLines="100" w:after="312" w:afterLines="100" w:line="520" w:lineRule="exact"/>
        <w:jc w:val="center"/>
        <w:rPr>
          <w:rFonts w:hint="eastAsia" w:ascii="Times New Roman" w:hAnsi="Times New Roman" w:eastAsia="仿宋_GB2312" w:cs="仿宋"/>
          <w:sz w:val="32"/>
          <w:szCs w:val="32"/>
          <w:u w:val="non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none"/>
          <w:lang w:eastAsia="zh-CN"/>
        </w:rPr>
        <w:t>岳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市监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eastAsia="zh-CN"/>
        </w:rPr>
        <w:t>南处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字〔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>2020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>23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号</w:t>
      </w:r>
    </w:p>
    <w:p>
      <w:pPr>
        <w:spacing w:line="120" w:lineRule="exact"/>
        <w:rPr>
          <w:rFonts w:hint="eastAsia" w:ascii="Times New Roman" w:hAnsi="方正小标宋简体" w:eastAsia="方正小标宋简体" w:cs="方正小标宋简体"/>
          <w:bCs/>
          <w:color w:val="000000"/>
          <w:sz w:val="72"/>
          <w:szCs w:val="72"/>
        </w:rPr>
      </w:pPr>
      <w:r>
        <w:rPr>
          <w:rFonts w:hint="eastAsia" w:ascii="仿宋_GB2312" w:eastAsia="仿宋_GB2312"/>
          <w:sz w:val="32"/>
          <w:szCs w:val="32"/>
          <w:u w:val="thick"/>
        </w:rPr>
        <w:t xml:space="preserve">                                                    </w:t>
      </w: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关于岳阳</w:t>
      </w:r>
      <w:r>
        <w:rPr>
          <w:rFonts w:hint="eastAsia" w:ascii="黑体" w:hAnsi="黑体" w:eastAsia="黑体" w:cs="黑体"/>
          <w:sz w:val="36"/>
          <w:szCs w:val="36"/>
        </w:rPr>
        <w:t>南湖新区好邻居蔬菜园店使用不合格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计量器具的行政处罚决定书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当事人：</w:t>
      </w:r>
      <w:r>
        <w:rPr>
          <w:rFonts w:hint="eastAsia" w:ascii="仿宋" w:hAnsi="仿宋" w:eastAsia="仿宋" w:cs="仿宋"/>
          <w:sz w:val="30"/>
          <w:szCs w:val="30"/>
        </w:rPr>
        <w:t>名称：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岳阳南湖新区好邻居蔬菜园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类型：个体工商户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经营者：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黎纯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统一社会信用代码：92430600MA4M2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920" w:hanging="1800" w:hangingChars="600"/>
        <w:jc w:val="left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经营场所：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湖南省岳阳市南湖新区南湖游路刘三庙社区</w:t>
      </w:r>
      <w:r>
        <w:rPr>
          <w:rFonts w:hint="eastAsia" w:ascii="仿宋" w:hAnsi="仿宋" w:eastAsia="仿宋" w:cs="仿宋"/>
          <w:sz w:val="32"/>
          <w:szCs w:val="32"/>
        </w:rPr>
        <w:t>**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经营范围：肉制品销售，调味品、预包装食品、果品及蔬菜的零售。（依法须经批准的项目，经相关部门批准后方可开展经营活动）。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食品经营许可证：经营者名称：岳阳南湖新区好邻居蔬菜园店；统一社会信用代码：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92430600MA4M2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；法定代表人：黎纯；住所：湖南省岳阳市南湖新区；经营场所：湖南省岳阳市南湖新区南湖游路刘山庙社区</w:t>
      </w:r>
      <w:r>
        <w:rPr>
          <w:rFonts w:hint="eastAsia" w:ascii="仿宋" w:hAnsi="仿宋" w:eastAsia="仿宋" w:cs="仿宋"/>
          <w:sz w:val="32"/>
          <w:szCs w:val="32"/>
        </w:rPr>
        <w:t>**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号；许可证编号：JY143067300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；有效期至：2024年09月11日。</w:t>
      </w:r>
      <w:r>
        <w:rPr>
          <w:rFonts w:hint="eastAsia" w:ascii="仿宋" w:hAnsi="仿宋" w:eastAsia="仿宋" w:cs="仿宋"/>
          <w:sz w:val="30"/>
          <w:szCs w:val="30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2020年2月13日，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本局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执法人员在冠状肺炎疫情防控期间进行计量专项监督检查，发现当事人用来对猪肉称重的电子秤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每100克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存在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5克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的误差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，涉嫌违反</w:t>
      </w: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《</w:t>
      </w:r>
      <w:r>
        <w:rPr>
          <w:rFonts w:hint="eastAsia" w:ascii="仿宋" w:hAnsi="仿宋" w:eastAsia="仿宋" w:cs="仿宋"/>
          <w:bCs/>
          <w:color w:val="333333"/>
          <w:sz w:val="30"/>
          <w:szCs w:val="30"/>
          <w:shd w:val="clear" w:color="auto" w:fill="FFFFFF"/>
        </w:rPr>
        <w:t>中华人民共和国计量法实施细则</w:t>
      </w: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》第五章</w:t>
      </w:r>
      <w:r>
        <w:rPr>
          <w:rFonts w:hint="eastAsia" w:ascii="仿宋" w:hAnsi="仿宋" w:eastAsia="仿宋" w:cs="仿宋"/>
          <w:bCs/>
          <w:color w:val="333333"/>
          <w:kern w:val="0"/>
          <w:sz w:val="30"/>
          <w:szCs w:val="30"/>
        </w:rPr>
        <w:t>第二十二条相关规定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遂对当事人经营场所进行检查、记录、拍照。同日，经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分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局领导批准对此立案，并指定执法人员办理。2020年2月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日，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本局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执法人员委托岳阳市计量测试检定所对该电子秤进行检验，并对当事人制作了现场检查笔录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2020年2月20日，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对当事人进行询问、记录，并收集关联证明材料。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本案调查过程中没有采取行政强制措施。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经查，</w:t>
      </w:r>
      <w:r>
        <w:rPr>
          <w:rFonts w:hint="eastAsia" w:ascii="仿宋" w:hAnsi="仿宋" w:eastAsia="仿宋" w:cs="仿宋"/>
          <w:sz w:val="30"/>
          <w:szCs w:val="30"/>
        </w:rPr>
        <w:t>2020年2月13日，当事人从湖南省海泰食品有限公司进购白条肉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九十</w:t>
      </w:r>
      <w:r>
        <w:rPr>
          <w:rFonts w:hint="eastAsia" w:ascii="仿宋" w:hAnsi="仿宋" w:eastAsia="仿宋" w:cs="仿宋"/>
          <w:sz w:val="30"/>
          <w:szCs w:val="30"/>
        </w:rPr>
        <w:t>千克（公斤）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每斤31.8元价格销售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，由于当天当事人用于肉类称重的电子称损坏，遂找出上任店家遗留下的电子秤进行使用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(电子秤型号/规格：ACS-30;出厂编码：19085031；制造单位：永康市一东衡器有限公司）。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截止当天上午十点二十时，九十</w:t>
      </w:r>
      <w:r>
        <w:rPr>
          <w:rFonts w:hint="eastAsia" w:ascii="仿宋" w:hAnsi="仿宋" w:eastAsia="仿宋" w:cs="仿宋"/>
          <w:sz w:val="30"/>
          <w:szCs w:val="30"/>
        </w:rPr>
        <w:t>千克（公斤）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猪肉已售罄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2020年2月17日我所委托岳阳市计量测试检定所对该电子称进行检定。2020年2月20日岳阳市计量测试检定所出具(证书编号：YJK202002-00001)检定结果通知书，检定结果为不合格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，在收到检测结果通知书后，当事人丈夫方韬，主动对不合格电子称进行了销毁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。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按我所执法人员检测该计量器具每一百克多五克，当事人进购</w:t>
      </w:r>
      <w:r>
        <w:rPr>
          <w:rFonts w:hint="eastAsia" w:ascii="仿宋" w:hAnsi="仿宋" w:eastAsia="仿宋" w:cs="仿宋"/>
          <w:sz w:val="30"/>
          <w:szCs w:val="30"/>
        </w:rPr>
        <w:t>白条肉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九十</w:t>
      </w:r>
      <w:r>
        <w:rPr>
          <w:rFonts w:hint="eastAsia" w:ascii="仿宋" w:hAnsi="仿宋" w:eastAsia="仿宋" w:cs="仿宋"/>
          <w:sz w:val="30"/>
          <w:szCs w:val="30"/>
        </w:rPr>
        <w:t>千克（公斤）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，遂多出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4.5千克（公斤）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，经计算，当事人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违法所得为286.2元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</w:rPr>
      </w:pPr>
      <w:r>
        <w:rPr>
          <w:rFonts w:hint="eastAsia" w:ascii="仿宋" w:hAnsi="仿宋" w:eastAsia="仿宋" w:cs="仿宋"/>
          <w:sz w:val="30"/>
          <w:szCs w:val="30"/>
          <w:u w:val="none"/>
        </w:rPr>
        <w:t>上述事实，主要有以下证据证明：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证据一、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2020年2月13日，</w:t>
      </w:r>
      <w:r>
        <w:rPr>
          <w:rFonts w:hint="eastAsia" w:ascii="仿宋" w:hAnsi="仿宋" w:eastAsia="仿宋" w:cs="仿宋"/>
          <w:sz w:val="30"/>
          <w:szCs w:val="30"/>
        </w:rPr>
        <w:t>当事人提供的《营业执照》、经营者身份证复印件各一份，证明当事人的主体资格；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证据二、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2020年2月20日，</w:t>
      </w:r>
      <w:r>
        <w:rPr>
          <w:rFonts w:hint="eastAsia" w:ascii="仿宋" w:hAnsi="仿宋" w:eastAsia="仿宋" w:cs="仿宋"/>
          <w:sz w:val="30"/>
          <w:szCs w:val="30"/>
        </w:rPr>
        <w:t>调查人员对当事人制作的《询问（调查）笔录》一份。证明当事人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eastAsia="zh-CN"/>
        </w:rPr>
        <w:t>使用不合格计量器具</w:t>
      </w:r>
      <w:r>
        <w:rPr>
          <w:rFonts w:hint="eastAsia" w:ascii="仿宋" w:hAnsi="仿宋" w:eastAsia="仿宋" w:cs="仿宋"/>
          <w:sz w:val="30"/>
          <w:szCs w:val="30"/>
        </w:rPr>
        <w:t>的事实；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证据三、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2020年2月20日，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被委托检测单位岳阳市计量测试检定所出具的证书编号：YJK202002-00001检定结果通知书，</w:t>
      </w:r>
      <w:r>
        <w:rPr>
          <w:rFonts w:hint="eastAsia" w:ascii="仿宋" w:hAnsi="仿宋" w:eastAsia="仿宋" w:cs="仿宋"/>
          <w:sz w:val="30"/>
          <w:szCs w:val="30"/>
        </w:rPr>
        <w:t>证明当事人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eastAsia="zh-CN"/>
        </w:rPr>
        <w:t>使用不合格计量器具</w:t>
      </w:r>
      <w:r>
        <w:rPr>
          <w:rFonts w:hint="eastAsia" w:ascii="仿宋" w:hAnsi="仿宋" w:eastAsia="仿宋" w:cs="仿宋"/>
          <w:sz w:val="30"/>
          <w:szCs w:val="30"/>
        </w:rPr>
        <w:t>的事实；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证据四、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2020年2月13日，</w:t>
      </w:r>
      <w:r>
        <w:rPr>
          <w:rFonts w:hint="eastAsia" w:ascii="仿宋" w:hAnsi="仿宋" w:eastAsia="仿宋" w:cs="仿宋"/>
          <w:sz w:val="30"/>
          <w:szCs w:val="30"/>
        </w:rPr>
        <w:t>当事人提供的动物检疫合格证明、肉品品质检验合格证一份，证明当事人进购肉品质量，数量及进购时间；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证据五、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2020年2月13日和2020年2月17日，</w:t>
      </w:r>
      <w:r>
        <w:rPr>
          <w:rFonts w:hint="eastAsia" w:ascii="仿宋" w:hAnsi="仿宋" w:eastAsia="仿宋" w:cs="仿宋"/>
          <w:sz w:val="30"/>
          <w:szCs w:val="30"/>
        </w:rPr>
        <w:t>调查人员对当事人制作的《现场检查笔录》两份。证明当事人用该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计量器具</w:t>
      </w:r>
      <w:r>
        <w:rPr>
          <w:rFonts w:hint="eastAsia" w:ascii="仿宋" w:hAnsi="仿宋" w:eastAsia="仿宋" w:cs="仿宋"/>
          <w:sz w:val="30"/>
          <w:szCs w:val="30"/>
        </w:rPr>
        <w:t>对猪肉进行称售的事实；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证据六、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2020年2月20日，</w:t>
      </w:r>
      <w:r>
        <w:rPr>
          <w:rFonts w:hint="eastAsia" w:ascii="仿宋" w:hAnsi="仿宋" w:eastAsia="仿宋" w:cs="仿宋"/>
          <w:sz w:val="30"/>
          <w:szCs w:val="30"/>
        </w:rPr>
        <w:t>岳阳市南湖新区好邻居蔬菜园方韬现场销毁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不合格计量器具</w:t>
      </w:r>
      <w:r>
        <w:rPr>
          <w:rFonts w:hint="eastAsia" w:ascii="仿宋" w:hAnsi="仿宋" w:eastAsia="仿宋" w:cs="仿宋"/>
          <w:sz w:val="30"/>
          <w:szCs w:val="30"/>
        </w:rPr>
        <w:t>照片2张；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证据七、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2020年2月13日，</w:t>
      </w:r>
      <w:r>
        <w:rPr>
          <w:rFonts w:hint="eastAsia" w:ascii="仿宋" w:hAnsi="仿宋" w:eastAsia="仿宋" w:cs="仿宋"/>
          <w:sz w:val="30"/>
          <w:szCs w:val="30"/>
        </w:rPr>
        <w:t>现场检查拍摄照片4张，证明当事人使用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不合格计量器具</w:t>
      </w:r>
      <w:r>
        <w:rPr>
          <w:rFonts w:hint="eastAsia" w:ascii="仿宋" w:hAnsi="仿宋" w:eastAsia="仿宋" w:cs="仿宋"/>
          <w:sz w:val="30"/>
          <w:szCs w:val="30"/>
        </w:rPr>
        <w:t>对猪肉进行称重的事实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以上证据均由本局执法人员依法取得，具有真实性、合法性、关联性，且经当事人签字确定无异议，符合证据要求，可以作为本案定性的依据。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本局于2020年4月23日，对当事人直接送达了行政处罚听证告知书（岳市监南听告字〔2020〕23号），当事人在规定期限内未行使陈诉、申辩权，未要求举行听证。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当事人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eastAsia="zh-CN"/>
        </w:rPr>
        <w:t>的行为</w:t>
      </w: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违反了《</w:t>
      </w:r>
      <w:r>
        <w:rPr>
          <w:rFonts w:hint="eastAsia" w:ascii="仿宋" w:hAnsi="仿宋" w:eastAsia="仿宋" w:cs="仿宋"/>
          <w:bCs/>
          <w:color w:val="333333"/>
          <w:sz w:val="30"/>
          <w:szCs w:val="30"/>
          <w:shd w:val="clear" w:color="auto" w:fill="FFFFFF"/>
        </w:rPr>
        <w:t>中华人民共和国计量法实施细则</w:t>
      </w: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》第五章</w:t>
      </w:r>
      <w:r>
        <w:rPr>
          <w:rFonts w:hint="eastAsia" w:ascii="仿宋" w:hAnsi="仿宋" w:eastAsia="仿宋" w:cs="仿宋"/>
          <w:bCs/>
          <w:color w:val="333333"/>
          <w:kern w:val="0"/>
          <w:sz w:val="30"/>
          <w:szCs w:val="30"/>
        </w:rPr>
        <w:t>第二十二条</w:t>
      </w:r>
      <w:r>
        <w:rPr>
          <w:rFonts w:hint="eastAsia" w:ascii="仿宋" w:hAnsi="仿宋" w:eastAsia="仿宋" w:cs="仿宋"/>
          <w:bCs/>
          <w:color w:val="333333"/>
          <w:kern w:val="0"/>
          <w:sz w:val="30"/>
          <w:szCs w:val="30"/>
          <w:lang w:eastAsia="zh-CN"/>
        </w:rPr>
        <w:t>：“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任何单位和个人不准在工作岗位上使用无检定合格印、证或者超过检定周期以及经检定不合格的计量器具。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eastAsia="zh-CN"/>
        </w:rPr>
        <w:t>”之规定，属于使用不合格计量器具的行为。</w:t>
      </w:r>
      <w:r>
        <w:rPr>
          <w:rFonts w:hint="eastAsia" w:ascii="仿宋" w:hAnsi="仿宋" w:eastAsia="仿宋" w:cs="仿宋"/>
          <w:sz w:val="30"/>
          <w:szCs w:val="30"/>
          <w:u w:val="non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依据《中华人民共和国行政处罚法》第二十三条和</w:t>
      </w: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《中华人民共和国计量法实施细则》</w:t>
      </w:r>
      <w:r>
        <w:rPr>
          <w:rFonts w:hint="eastAsia" w:ascii="仿宋" w:hAnsi="仿宋" w:eastAsia="仿宋" w:cs="仿宋"/>
          <w:sz w:val="30"/>
          <w:szCs w:val="30"/>
        </w:rPr>
        <w:t>第十章</w:t>
      </w:r>
      <w:r>
        <w:rPr>
          <w:rFonts w:hint="eastAsia" w:ascii="仿宋" w:hAnsi="仿宋" w:eastAsia="仿宋" w:cs="仿宋"/>
          <w:bCs/>
          <w:color w:val="333333"/>
          <w:kern w:val="0"/>
          <w:sz w:val="30"/>
          <w:szCs w:val="30"/>
        </w:rPr>
        <w:t>第四十六条之规定</w:t>
      </w:r>
      <w:r>
        <w:rPr>
          <w:rFonts w:hint="eastAsia" w:ascii="仿宋" w:hAnsi="仿宋" w:eastAsia="仿宋" w:cs="仿宋"/>
          <w:bCs/>
          <w:color w:val="333333"/>
          <w:kern w:val="0"/>
          <w:sz w:val="30"/>
          <w:szCs w:val="30"/>
          <w:lang w:eastAsia="zh-CN"/>
        </w:rPr>
        <w:t>“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使用不合格计量器具或者破坏计量器具准确度和伪造数据，给国家和消费者造成损失的，责令其赔偿损失，没收计量器具和全部违法所得，可并处2000元以下的罚款。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eastAsia="zh-CN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之规定，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鉴于当</w:t>
      </w:r>
      <w:r>
        <w:rPr>
          <w:rFonts w:hint="eastAsia" w:ascii="仿宋" w:hAnsi="仿宋" w:eastAsia="仿宋" w:cs="仿宋"/>
          <w:b w:val="0"/>
          <w:bCs/>
          <w:sz w:val="30"/>
          <w:szCs w:val="30"/>
          <w:u w:val="none"/>
          <w:lang w:eastAsia="zh-CN"/>
        </w:rPr>
        <w:t>事人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eastAsia="zh-CN"/>
        </w:rPr>
        <w:t>配合调查工作，并</w:t>
      </w:r>
      <w:r>
        <w:rPr>
          <w:rFonts w:hint="eastAsia" w:ascii="仿宋" w:hAnsi="仿宋" w:eastAsia="仿宋" w:cs="仿宋"/>
          <w:b w:val="0"/>
          <w:bCs/>
          <w:sz w:val="30"/>
          <w:szCs w:val="30"/>
          <w:u w:val="none"/>
          <w:lang w:eastAsia="zh-CN"/>
        </w:rPr>
        <w:t>主动销毁不合格电子秤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本局决定</w:t>
      </w:r>
      <w:r>
        <w:rPr>
          <w:rFonts w:hint="eastAsia" w:ascii="仿宋" w:hAnsi="仿宋" w:eastAsia="仿宋" w:cs="仿宋"/>
          <w:sz w:val="30"/>
          <w:szCs w:val="30"/>
        </w:rPr>
        <w:t>责令当事人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eastAsia="zh-CN"/>
        </w:rPr>
        <w:t>立即</w:t>
      </w:r>
      <w:r>
        <w:rPr>
          <w:rFonts w:hint="eastAsia" w:ascii="仿宋" w:hAnsi="仿宋" w:eastAsia="仿宋" w:cs="仿宋"/>
          <w:sz w:val="30"/>
          <w:szCs w:val="30"/>
        </w:rPr>
        <w:t>改正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eastAsia="zh-CN"/>
        </w:rPr>
        <w:t>并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对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eastAsia="zh-CN"/>
        </w:rPr>
        <w:t>当事人适中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作如下行政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eastAsia="zh-CN"/>
        </w:rPr>
        <w:t>处罚：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1、没收非法所得</w:t>
      </w:r>
      <w:r>
        <w:rPr>
          <w:rFonts w:hint="eastAsia" w:ascii="仿宋" w:hAnsi="仿宋" w:eastAsia="仿宋" w:cs="仿宋"/>
          <w:bCs/>
          <w:sz w:val="30"/>
          <w:szCs w:val="30"/>
        </w:rPr>
        <w:t>286.2</w:t>
      </w: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2、罚款人民币1000元。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u w:val="none"/>
          <w:lang w:val="en-US" w:eastAsia="zh-CN"/>
        </w:rPr>
        <w:t>以上两项合计罚没1286.2元，上缴国库。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  当事人应当在接到本处罚决定书之日起十五日内，到本局财务室开具一般缴款书，持一般缴款书到所指定的银行交清上述罚款。（户名：岳阳市财政局非税收入汇缴结算户，账号：4366007100181600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，开户行：岳阳市交通银行府东支行）。本局财务室地址：岳阳市青年中路72号岳阳市市场监督管理局南湖新区分局三楼307室，电话：0730-8802611。逾期不缴纳，本局每日按罚款数额的百分之三加处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罚款。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当事人如对本处罚决定不服，可以在收到本处罚决定之日六十日内，向湖南省市场监督管理局或岳阳市人民政府申请行政复议；也可在六个月内向岳阳市君山区人民法院提起诉讼。行政复议或行政诉讼期间不停止本决定的执行。</w:t>
      </w:r>
    </w:p>
    <w:p>
      <w:pPr>
        <w:rPr>
          <w:rFonts w:hint="eastAsia" w:ascii="仿宋" w:hAnsi="仿宋" w:eastAsia="仿宋" w:cs="仿宋"/>
          <w:sz w:val="32"/>
          <w:szCs w:val="32"/>
          <w:u w:val="none"/>
        </w:rPr>
      </w:pPr>
    </w:p>
    <w:p>
      <w:pPr>
        <w:wordWrap w:val="0"/>
        <w:spacing w:line="520" w:lineRule="exact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</w:p>
    <w:p>
      <w:pPr>
        <w:wordWrap w:val="0"/>
        <w:spacing w:line="520" w:lineRule="exact"/>
        <w:ind w:firstLine="6080" w:firstLineChars="19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（印 章）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wordWrap w:val="0"/>
        <w:spacing w:line="520" w:lineRule="exact"/>
        <w:ind w:firstLine="5440" w:firstLineChars="1700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2020</w:t>
      </w:r>
      <w:r>
        <w:rPr>
          <w:rFonts w:hint="eastAsia" w:ascii="仿宋" w:hAnsi="仿宋" w:eastAsia="仿宋" w:cs="仿宋"/>
          <w:sz w:val="32"/>
          <w:szCs w:val="32"/>
          <w:u w:val="none"/>
        </w:rPr>
        <w:t>年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04</w:t>
      </w:r>
      <w:r>
        <w:rPr>
          <w:rFonts w:hint="eastAsia" w:ascii="仿宋" w:hAnsi="仿宋" w:eastAsia="仿宋" w:cs="仿宋"/>
          <w:sz w:val="32"/>
          <w:szCs w:val="32"/>
          <w:u w:val="none"/>
        </w:rPr>
        <w:t>月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日 </w:t>
      </w:r>
    </w:p>
    <w:p>
      <w:pPr>
        <w:wordWrap w:val="0"/>
        <w:spacing w:line="520" w:lineRule="exact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</w:p>
    <w:p>
      <w:pPr>
        <w:wordWrap w:val="0"/>
        <w:spacing w:line="520" w:lineRule="exact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wordWrap w:val="0"/>
        <w:spacing w:line="520" w:lineRule="exact"/>
        <w:ind w:firstLine="960" w:firstLineChars="300"/>
        <w:jc w:val="both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（本行政处罚决定信息将依法向社会进行公示）</w:t>
      </w: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spacing w:line="520" w:lineRule="exact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4pt;margin-top:1638.35pt;height:0.1pt;width:453.75pt;z-index:251696128;mso-width-relative:page;mso-height-relative:page;" filled="f" stroked="t" coordsize="21600,21600" o:gfxdata="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fKK/XXAAAACwEAAA8A&#10;AAAAAAAAAQAgAAAAIgAAAGRycy9kb3ducmV2LnhtbFBLAQIUABQAAAAIAIdO4kDNRLp73wEAAJcD&#10;AAAOAAAAAAAAAAEAIAAAACYBAABkcnMvZTJvRG9jLnhtbFBLBQYAAAAABgAGAFkBAAB3BQAAAAA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172085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3pt;margin-top:13.55pt;height:0.05pt;width:437.05pt;z-index:251698176;mso-width-relative:page;mso-height-relative:page;" filled="f" stroked="t" coordsize="21600,21600" o:gfxdata="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HRn11QAAAAcBAAAPAAAAAAAAAAEA&#10;IAAAACIAAABkcnMvZG93bnJldi54bWxQSwECFAAUAAAACACHTuJAnawxfdkBAACZAwAADgAAAAAA&#10;AAABACAAAAAkAQAAZHJzL2Uyb0RvYy54bWxQSwUGAAAAAAYABgBZAQAAb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ordWrap w:val="0"/>
        <w:spacing w:line="520" w:lineRule="exac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本文书一式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三份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份送达，一份归档，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一份办案机关留存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934D4"/>
    <w:rsid w:val="00396128"/>
    <w:rsid w:val="069934D4"/>
    <w:rsid w:val="169600F2"/>
    <w:rsid w:val="194275C8"/>
    <w:rsid w:val="1C0F6A00"/>
    <w:rsid w:val="21121910"/>
    <w:rsid w:val="21400634"/>
    <w:rsid w:val="29374ABF"/>
    <w:rsid w:val="2C8D02D1"/>
    <w:rsid w:val="37BE0B7D"/>
    <w:rsid w:val="40282A18"/>
    <w:rsid w:val="46EC408C"/>
    <w:rsid w:val="48F8063F"/>
    <w:rsid w:val="51143B95"/>
    <w:rsid w:val="588A5A35"/>
    <w:rsid w:val="5A1B5709"/>
    <w:rsid w:val="6149694C"/>
    <w:rsid w:val="67625F19"/>
    <w:rsid w:val="6C397617"/>
    <w:rsid w:val="6D303646"/>
    <w:rsid w:val="775A1748"/>
    <w:rsid w:val="79FA46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beforeLines="0" w:after="120" w:afterLines="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2020-02-22T06:23:00Z</dcterms:created>
  <dc:creator>lenovo</dc:creator>
  <cp:lastModifiedBy>Administrator</cp:lastModifiedBy>
  <cp:lastPrinted>2020-09-18T05:59:00Z</cp:lastPrinted>
  <dcterms:modified xsi:type="dcterms:W3CDTF">2020-09-21T02:05:32Z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