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bCs/>
          <w:sz w:val="44"/>
          <w:szCs w:val="44"/>
          <w:u w:val="none"/>
        </w:rPr>
        <w:t xml:space="preserve"> </w:t>
      </w:r>
      <w:r>
        <w:rPr>
          <w:rFonts w:hint="eastAsia" w:asciiTheme="minorEastAsia" w:hAnsiTheme="minorEastAsia" w:eastAsiaTheme="minorEastAsia" w:cstheme="minorEastAsia"/>
          <w:bCs/>
          <w:sz w:val="52"/>
          <w:szCs w:val="52"/>
          <w:u w:val="none"/>
          <w:lang w:eastAsia="zh-CN"/>
        </w:rPr>
        <w:t>岳阳市</w:t>
      </w:r>
      <w:r>
        <w:rPr>
          <w:rFonts w:hint="eastAsia" w:asciiTheme="minorEastAsia" w:hAnsiTheme="minorEastAsia" w:eastAsiaTheme="minorEastAsia" w:cstheme="minorEastAsia"/>
          <w:bCs/>
          <w:sz w:val="52"/>
          <w:szCs w:val="52"/>
        </w:rPr>
        <w:t>市场监督管理局</w:t>
      </w:r>
    </w:p>
    <w:p>
      <w:pPr>
        <w:pStyle w:val="2"/>
        <w:keepNext w:val="0"/>
        <w:numPr>
          <w:ilvl w:val="0"/>
          <w:numId w:val="2"/>
        </w:numPr>
        <w:spacing w:before="0" w:beforeLines="0" w:after="0" w:afterLines="0" w:line="640" w:lineRule="exact"/>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sz w:val="52"/>
          <w:szCs w:val="52"/>
          <w:lang w:val="en-US"/>
        </w:rPr>
        <w:t>行政处罚</w:t>
      </w:r>
      <w:r>
        <w:rPr>
          <w:rFonts w:hint="eastAsia" w:asciiTheme="minorEastAsia" w:hAnsiTheme="minorEastAsia" w:eastAsiaTheme="minorEastAsia" w:cstheme="minorEastAsia"/>
          <w:sz w:val="52"/>
          <w:szCs w:val="52"/>
          <w:lang w:val="en-US" w:eastAsia="zh-CN"/>
        </w:rPr>
        <w:t>决定</w:t>
      </w:r>
      <w:r>
        <w:rPr>
          <w:rFonts w:hint="eastAsia" w:asciiTheme="minorEastAsia" w:hAnsiTheme="minorEastAsia" w:eastAsiaTheme="minorEastAsia" w:cstheme="minorEastAsia"/>
          <w:sz w:val="52"/>
          <w:szCs w:val="52"/>
          <w:lang w:val="en-US"/>
        </w:rPr>
        <w:t>书</w:t>
      </w:r>
    </w:p>
    <w:p>
      <w:pPr>
        <w:spacing w:before="312" w:beforeLines="100" w:after="312" w:afterLines="100" w:line="520" w:lineRule="exact"/>
        <w:jc w:val="center"/>
        <w:rPr>
          <w:rFonts w:hint="eastAsia" w:ascii="Times New Roman" w:hAnsi="Times New Roman" w:eastAsia="仿宋_GB2312" w:cs="仿宋"/>
          <w:sz w:val="32"/>
          <w:szCs w:val="32"/>
          <w:u w:val="none"/>
        </w:rPr>
      </w:pPr>
      <w:r>
        <w:rPr>
          <w:rFonts w:hint="eastAsia" w:ascii="Times New Roman" w:hAnsi="Times New Roman" w:eastAsia="仿宋_GB2312" w:cs="仿宋"/>
          <w:sz w:val="32"/>
          <w:szCs w:val="32"/>
          <w:u w:val="none"/>
          <w:lang w:eastAsia="zh-CN"/>
        </w:rPr>
        <w:t>岳</w:t>
      </w:r>
      <w:r>
        <w:rPr>
          <w:rFonts w:hint="eastAsia" w:ascii="Times New Roman" w:hAnsi="Times New Roman" w:eastAsia="仿宋_GB2312" w:cs="仿宋"/>
          <w:sz w:val="32"/>
          <w:szCs w:val="32"/>
          <w:u w:val="none"/>
        </w:rPr>
        <w:t>市监</w:t>
      </w:r>
      <w:r>
        <w:rPr>
          <w:rFonts w:hint="eastAsia" w:ascii="Times New Roman" w:hAnsi="Times New Roman" w:eastAsia="仿宋_GB2312" w:cs="仿宋"/>
          <w:sz w:val="32"/>
          <w:szCs w:val="32"/>
          <w:u w:val="none"/>
          <w:lang w:eastAsia="zh-CN"/>
        </w:rPr>
        <w:t>南处</w:t>
      </w:r>
      <w:r>
        <w:rPr>
          <w:rFonts w:hint="eastAsia" w:ascii="Times New Roman" w:hAnsi="Times New Roman" w:eastAsia="仿宋_GB2312" w:cs="仿宋"/>
          <w:sz w:val="32"/>
          <w:szCs w:val="32"/>
          <w:u w:val="none"/>
        </w:rPr>
        <w:t>字〔</w:t>
      </w:r>
      <w:r>
        <w:rPr>
          <w:rFonts w:hint="eastAsia" w:ascii="Times New Roman" w:hAnsi="Times New Roman" w:eastAsia="仿宋_GB2312" w:cs="仿宋"/>
          <w:sz w:val="32"/>
          <w:szCs w:val="32"/>
          <w:u w:val="none"/>
          <w:lang w:val="en-US" w:eastAsia="zh-CN"/>
        </w:rPr>
        <w:t>2020</w:t>
      </w:r>
      <w:r>
        <w:rPr>
          <w:rFonts w:hint="eastAsia" w:ascii="Times New Roman" w:hAnsi="Times New Roman" w:eastAsia="仿宋_GB2312" w:cs="仿宋"/>
          <w:sz w:val="32"/>
          <w:szCs w:val="32"/>
          <w:u w:val="none"/>
        </w:rPr>
        <w:t>〕</w:t>
      </w:r>
      <w:r>
        <w:rPr>
          <w:rFonts w:hint="eastAsia" w:ascii="Times New Roman" w:hAnsi="Times New Roman" w:eastAsia="仿宋_GB2312" w:cs="仿宋"/>
          <w:sz w:val="32"/>
          <w:szCs w:val="32"/>
          <w:u w:val="none"/>
          <w:lang w:val="en-US" w:eastAsia="zh-CN"/>
        </w:rPr>
        <w:t>7</w:t>
      </w:r>
      <w:r>
        <w:rPr>
          <w:rFonts w:hint="eastAsia" w:ascii="Times New Roman" w:hAnsi="Times New Roman" w:eastAsia="仿宋_GB2312" w:cs="仿宋"/>
          <w:sz w:val="32"/>
          <w:szCs w:val="32"/>
          <w:u w:val="none"/>
        </w:rPr>
        <w:t>号</w:t>
      </w:r>
    </w:p>
    <w:p>
      <w:pPr>
        <w:spacing w:line="120" w:lineRule="exact"/>
        <w:rPr>
          <w:rFonts w:hint="eastAsia"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rPr>
          <w:rFonts w:hint="eastAsia"/>
        </w:rPr>
      </w:pPr>
    </w:p>
    <w:p>
      <w:pPr>
        <w:jc w:val="center"/>
        <w:rPr>
          <w:rFonts w:hint="eastAsia" w:ascii="黑体" w:hAnsi="黑体" w:eastAsia="黑体" w:cs="黑体"/>
          <w:sz w:val="36"/>
          <w:szCs w:val="36"/>
          <w:lang w:eastAsia="zh-CN"/>
        </w:rPr>
      </w:pPr>
      <w:r>
        <w:rPr>
          <w:rFonts w:hint="eastAsia" w:ascii="黑体" w:hAnsi="黑体" w:eastAsia="黑体" w:cs="黑体"/>
          <w:sz w:val="36"/>
          <w:szCs w:val="36"/>
        </w:rPr>
        <w:t xml:space="preserve"> </w:t>
      </w:r>
      <w:r>
        <w:rPr>
          <w:rFonts w:hint="eastAsia" w:ascii="黑体" w:hAnsi="黑体" w:eastAsia="黑体" w:cs="黑体"/>
          <w:sz w:val="36"/>
          <w:szCs w:val="36"/>
          <w:lang w:eastAsia="zh-CN"/>
        </w:rPr>
        <w:t>关于南湖新区东方红超市（陈其福）未按规定明码标价销售商品的行政处罚决定书</w:t>
      </w:r>
    </w:p>
    <w:p>
      <w:pPr>
        <w:spacing w:line="520" w:lineRule="exact"/>
        <w:ind w:firstLine="640" w:firstLineChars="200"/>
        <w:rPr>
          <w:rFonts w:hint="eastAsia" w:ascii="仿宋" w:hAnsi="仿宋" w:eastAsia="仿宋" w:cs="仿宋"/>
          <w:sz w:val="32"/>
          <w:szCs w:val="32"/>
          <w:u w:val="none"/>
          <w:lang w:eastAsia="zh-CN"/>
        </w:rPr>
      </w:pP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仿宋" w:hAnsi="仿宋" w:eastAsia="仿宋" w:cs="仿宋"/>
          <w:sz w:val="32"/>
          <w:szCs w:val="32"/>
          <w:u w:val="none"/>
          <w:lang w:eastAsia="zh-CN"/>
        </w:rPr>
        <w:t>当事人：</w:t>
      </w:r>
      <w:r>
        <w:rPr>
          <w:rFonts w:hint="eastAsia" w:ascii="Times New Roman" w:hAnsi="Times New Roman" w:eastAsia="仿宋_GB2312" w:cs="仿宋_GB2312"/>
          <w:sz w:val="32"/>
          <w:szCs w:val="32"/>
          <w:u w:val="none"/>
          <w:lang w:val="en-US" w:eastAsia="zh-CN"/>
        </w:rPr>
        <w:t>南湖新区东方红超市</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统一社会信用代码：92430600MA4N0</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经营者：陈其福；</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经营场所：湖南省岳阳市南湖新区求索东路</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号；</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组成形式：个人经营；</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经营范围：预包装食品、散装食品、乳制品（含婴幼儿配方乳粉）、烟、百货、针织、鞋类、五金交电、文化用品、洗涤用品、化妆品、儿童玩具、日杂用品、鱼肉类、蔬菜、水果批零兼售。（依法须经批准的项目，经相关部门批准后方可经营）；</w:t>
      </w:r>
    </w:p>
    <w:p>
      <w:pPr>
        <w:spacing w:line="520" w:lineRule="exact"/>
        <w:ind w:firstLine="640" w:firstLineChars="200"/>
        <w:rPr>
          <w:rFonts w:hint="eastAsia" w:ascii="Times New Roman" w:hAnsi="Times New Roman" w:eastAsia="仿宋_GB2312" w:cs="仿宋_GB2312"/>
          <w:sz w:val="32"/>
          <w:szCs w:val="32"/>
          <w:u w:val="none"/>
          <w:lang w:eastAsia="zh-CN"/>
        </w:rPr>
      </w:pPr>
      <w:r>
        <w:rPr>
          <w:rFonts w:hint="eastAsia" w:ascii="Times New Roman" w:hAnsi="Times New Roman" w:eastAsia="仿宋_GB2312" w:cs="仿宋_GB2312"/>
          <w:sz w:val="32"/>
          <w:szCs w:val="32"/>
          <w:u w:val="none"/>
          <w:lang w:val="en-US" w:eastAsia="zh-CN"/>
        </w:rPr>
        <w:t>经营者个人基本信息：</w:t>
      </w:r>
      <w:r>
        <w:rPr>
          <w:rFonts w:hint="eastAsia" w:ascii="Times New Roman" w:hAnsi="Times New Roman" w:eastAsia="仿宋_GB2312" w:cs="仿宋_GB2312"/>
          <w:sz w:val="32"/>
          <w:szCs w:val="32"/>
          <w:u w:val="none"/>
          <w:lang w:eastAsia="zh-CN"/>
        </w:rPr>
        <w:t>陈其福，男，汉族，</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eastAsia="zh-CN"/>
        </w:rPr>
        <w:t>身份证号码：</w:t>
      </w:r>
      <w:r>
        <w:rPr>
          <w:rFonts w:hint="eastAsia" w:ascii="Times New Roman" w:hAnsi="Times New Roman" w:eastAsia="仿宋_GB2312" w:cs="仿宋_GB2312"/>
          <w:sz w:val="32"/>
          <w:szCs w:val="32"/>
          <w:u w:val="none"/>
          <w:lang w:val="en-US" w:eastAsia="zh-CN"/>
        </w:rPr>
        <w:t>4306231972071</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w:t>
      </w:r>
    </w:p>
    <w:p>
      <w:pPr>
        <w:spacing w:line="520" w:lineRule="exact"/>
        <w:ind w:firstLine="640" w:firstLineChars="200"/>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住址：湖南省华容县城关镇陵园街。</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2020年2月7日，我所执法人员在冠状肺炎疫情防控期间对价格行为进行监督检查，发现当事人未按规定明码标价销售商品，涉嫌违反《中华人民共和国价格法》第十三条规定，遂对当事人经营场所进行检查、记录、拍照。同日，经局领导批准对此立案，并指定执法人员办理。2020年2月9日，对当事人委托代理人严振军进行询问、记录，并收集关联证明材料。本案调查过程中没有采取行政强制措施。</w:t>
      </w:r>
    </w:p>
    <w:p>
      <w:pPr>
        <w:ind w:firstLine="320" w:firstLineChars="1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经查，2019年12月19日至2020年2月9日，当事人未按</w:t>
      </w:r>
      <w:r>
        <w:rPr>
          <w:rFonts w:hint="eastAsia" w:ascii="仿宋" w:hAnsi="仿宋" w:eastAsia="仿宋" w:cs="仿宋"/>
          <w:sz w:val="32"/>
          <w:szCs w:val="32"/>
          <w:u w:val="none"/>
          <w:lang w:eastAsia="zh-CN"/>
        </w:rPr>
        <w:t>规定明码标价，未注明商品的品名、产地、规格、等级、计价单位、价格等有关情况，以</w:t>
      </w:r>
      <w:r>
        <w:rPr>
          <w:rFonts w:hint="eastAsia" w:ascii="仿宋" w:hAnsi="仿宋" w:eastAsia="仿宋" w:cs="仿宋"/>
          <w:sz w:val="32"/>
          <w:szCs w:val="32"/>
          <w:u w:val="none"/>
          <w:lang w:val="en-US" w:eastAsia="zh-CN"/>
        </w:rPr>
        <w:t>38元/个的价格销售“吉列速锋3刀架”1个，获利6元；以20元/个的价格销售“吉列威锋（三刀片）”2个，获利7元；以2.5元/个的价格销售“南孚碱性电池”65个，获利26元；以12元/个的价格销售“金稻谷火星人棒棒糖”9个，获利18元。合计获利57元。上述商品附着标识符合相的相关规定。</w:t>
      </w:r>
    </w:p>
    <w:p>
      <w:pPr>
        <w:spacing w:line="52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上述事实，主要有以下证据证明：</w:t>
      </w:r>
    </w:p>
    <w:p>
      <w:pPr>
        <w:spacing w:line="520" w:lineRule="exact"/>
        <w:ind w:firstLine="640" w:firstLineChars="200"/>
        <w:rPr>
          <w:rFonts w:hint="eastAsia" w:ascii="仿宋" w:hAnsi="仿宋" w:eastAsia="仿宋" w:cs="仿宋"/>
          <w:sz w:val="32"/>
          <w:szCs w:val="32"/>
          <w:u w:val="none"/>
          <w:lang w:val="en-US"/>
        </w:rPr>
      </w:pPr>
      <w:r>
        <w:rPr>
          <w:rFonts w:hint="eastAsia" w:ascii="仿宋" w:hAnsi="仿宋" w:eastAsia="仿宋" w:cs="仿宋"/>
          <w:sz w:val="32"/>
          <w:szCs w:val="32"/>
          <w:u w:val="none"/>
          <w:lang w:eastAsia="zh-CN"/>
        </w:rPr>
        <w:t>证据一、</w:t>
      </w:r>
      <w:r>
        <w:rPr>
          <w:rFonts w:hint="eastAsia" w:ascii="仿宋" w:hAnsi="仿宋" w:eastAsia="仿宋" w:cs="仿宋"/>
          <w:sz w:val="32"/>
          <w:szCs w:val="32"/>
          <w:u w:val="none"/>
          <w:lang w:val="en-US" w:eastAsia="zh-CN"/>
        </w:rPr>
        <w:t>2020年2月9日，</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提供的居民</w:t>
      </w:r>
      <w:r>
        <w:rPr>
          <w:rFonts w:hint="eastAsia" w:ascii="仿宋" w:hAnsi="仿宋" w:eastAsia="仿宋" w:cs="仿宋"/>
          <w:sz w:val="32"/>
          <w:szCs w:val="32"/>
          <w:u w:val="none"/>
          <w:lang w:eastAsia="zh-CN"/>
        </w:rPr>
        <w:t>身份证复印件一份，证明当事人个人基本信息</w:t>
      </w:r>
      <w:r>
        <w:rPr>
          <w:rFonts w:hint="eastAsia" w:ascii="仿宋" w:hAnsi="仿宋" w:eastAsia="仿宋" w:cs="仿宋"/>
          <w:sz w:val="32"/>
          <w:szCs w:val="32"/>
          <w:u w:val="none"/>
          <w:lang w:val="en-US" w:eastAsia="zh-CN"/>
        </w:rPr>
        <w:t>适格</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eastAsia="zh-CN"/>
        </w:rPr>
        <w:t>证据二、</w:t>
      </w:r>
      <w:r>
        <w:rPr>
          <w:rFonts w:hint="eastAsia" w:ascii="仿宋" w:hAnsi="仿宋" w:eastAsia="仿宋" w:cs="仿宋"/>
          <w:sz w:val="32"/>
          <w:szCs w:val="32"/>
          <w:u w:val="none"/>
          <w:lang w:val="en-US" w:eastAsia="zh-CN"/>
        </w:rPr>
        <w:t>2020年2月7日，</w:t>
      </w:r>
      <w:r>
        <w:rPr>
          <w:rFonts w:hint="eastAsia" w:ascii="仿宋" w:hAnsi="仿宋" w:eastAsia="仿宋" w:cs="仿宋"/>
          <w:sz w:val="32"/>
          <w:szCs w:val="32"/>
          <w:u w:val="none"/>
          <w:lang w:eastAsia="zh-CN"/>
        </w:rPr>
        <w:t>当事人盖章签字的授权委托书原件一份和委托代理人严振军的身份证复印件一份，证明委托代理人严振军处理本案事务的权利；</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eastAsia="zh-CN"/>
        </w:rPr>
        <w:t>证据三、</w:t>
      </w:r>
      <w:r>
        <w:rPr>
          <w:rFonts w:hint="eastAsia" w:ascii="仿宋" w:hAnsi="仿宋" w:eastAsia="仿宋" w:cs="仿宋"/>
          <w:sz w:val="32"/>
          <w:szCs w:val="32"/>
          <w:u w:val="none"/>
          <w:lang w:val="en-US" w:eastAsia="zh-CN"/>
        </w:rPr>
        <w:t>2020年2月7日，</w:t>
      </w:r>
      <w:r>
        <w:rPr>
          <w:rFonts w:hint="eastAsia" w:ascii="仿宋" w:hAnsi="仿宋" w:eastAsia="仿宋" w:cs="仿宋"/>
          <w:sz w:val="32"/>
          <w:szCs w:val="32"/>
          <w:u w:val="none"/>
          <w:lang w:eastAsia="zh-CN"/>
        </w:rPr>
        <w:t>经当事人的委托代理人</w:t>
      </w:r>
      <w:r>
        <w:rPr>
          <w:rFonts w:hint="eastAsia" w:ascii="仿宋" w:hAnsi="仿宋" w:eastAsia="仿宋" w:cs="仿宋"/>
          <w:sz w:val="32"/>
          <w:szCs w:val="32"/>
          <w:u w:val="none"/>
          <w:lang w:val="en-US" w:eastAsia="zh-CN"/>
        </w:rPr>
        <w:t>严振军</w:t>
      </w:r>
      <w:r>
        <w:rPr>
          <w:rFonts w:hint="eastAsia" w:ascii="仿宋" w:hAnsi="仿宋" w:eastAsia="仿宋" w:cs="仿宋"/>
          <w:sz w:val="32"/>
          <w:szCs w:val="32"/>
          <w:u w:val="none"/>
          <w:lang w:eastAsia="zh-CN"/>
        </w:rPr>
        <w:t>盖章确认的《营业执照》复印件一份</w:t>
      </w:r>
      <w:r>
        <w:rPr>
          <w:rFonts w:hint="eastAsia" w:ascii="仿宋" w:hAnsi="仿宋" w:eastAsia="仿宋" w:cs="仿宋"/>
          <w:sz w:val="32"/>
          <w:szCs w:val="32"/>
          <w:u w:val="none"/>
        </w:rPr>
        <w:t>，证明</w:t>
      </w:r>
      <w:r>
        <w:rPr>
          <w:rFonts w:hint="eastAsia" w:ascii="仿宋" w:hAnsi="仿宋" w:eastAsia="仿宋" w:cs="仿宋"/>
          <w:sz w:val="32"/>
          <w:szCs w:val="32"/>
          <w:u w:val="none"/>
          <w:lang w:eastAsia="zh-CN"/>
        </w:rPr>
        <w:t>当事人具备合法的市场主体资格；</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eastAsia="zh-CN"/>
        </w:rPr>
        <w:t>证据四、</w:t>
      </w:r>
      <w:r>
        <w:rPr>
          <w:rFonts w:hint="eastAsia" w:ascii="仿宋" w:hAnsi="仿宋" w:eastAsia="仿宋" w:cs="仿宋"/>
          <w:sz w:val="32"/>
          <w:szCs w:val="32"/>
          <w:u w:val="none"/>
          <w:lang w:val="en-US" w:eastAsia="zh-CN"/>
        </w:rPr>
        <w:t>2020年2月9日，</w:t>
      </w:r>
      <w:r>
        <w:rPr>
          <w:rFonts w:hint="eastAsia" w:ascii="仿宋" w:hAnsi="仿宋" w:eastAsia="仿宋" w:cs="仿宋"/>
          <w:sz w:val="32"/>
          <w:szCs w:val="32"/>
          <w:u w:val="none"/>
          <w:lang w:eastAsia="zh-CN"/>
        </w:rPr>
        <w:t>调查人员对当事人的委托代理人</w:t>
      </w:r>
      <w:r>
        <w:rPr>
          <w:rFonts w:hint="eastAsia" w:ascii="仿宋" w:hAnsi="仿宋" w:eastAsia="仿宋" w:cs="仿宋"/>
          <w:sz w:val="32"/>
          <w:szCs w:val="32"/>
          <w:u w:val="none"/>
          <w:lang w:val="en-US" w:eastAsia="zh-CN"/>
        </w:rPr>
        <w:t>严振军</w:t>
      </w:r>
      <w:r>
        <w:rPr>
          <w:rFonts w:hint="eastAsia" w:ascii="仿宋" w:hAnsi="仿宋" w:eastAsia="仿宋" w:cs="仿宋"/>
          <w:sz w:val="32"/>
          <w:szCs w:val="32"/>
          <w:u w:val="none"/>
          <w:lang w:eastAsia="zh-CN"/>
        </w:rPr>
        <w:t>制作的《询问（调查）笔录》一份</w:t>
      </w:r>
      <w:r>
        <w:rPr>
          <w:rFonts w:hint="eastAsia" w:ascii="仿宋" w:hAnsi="仿宋" w:eastAsia="仿宋" w:cs="仿宋"/>
          <w:sz w:val="32"/>
          <w:szCs w:val="32"/>
          <w:u w:val="none"/>
        </w:rPr>
        <w:t>，证明</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未按规定</w:t>
      </w:r>
      <w:r>
        <w:rPr>
          <w:rFonts w:hint="eastAsia" w:ascii="仿宋" w:hAnsi="仿宋" w:eastAsia="仿宋" w:cs="仿宋"/>
          <w:sz w:val="32"/>
          <w:szCs w:val="32"/>
          <w:u w:val="none"/>
          <w:lang w:eastAsia="zh-CN"/>
        </w:rPr>
        <w:t>明码标价销售“南孚碱性电池”等四种商品的违法事实；</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b w:val="0"/>
          <w:bCs w:val="0"/>
          <w:sz w:val="32"/>
          <w:szCs w:val="32"/>
          <w:u w:val="none"/>
          <w:lang w:val="en-US" w:eastAsia="zh-CN"/>
        </w:rPr>
        <w:t>证据五、2020年2月7日，经</w:t>
      </w:r>
      <w:r>
        <w:rPr>
          <w:rFonts w:hint="eastAsia" w:ascii="仿宋" w:hAnsi="仿宋" w:eastAsia="仿宋" w:cs="仿宋"/>
          <w:sz w:val="32"/>
          <w:szCs w:val="32"/>
          <w:u w:val="none"/>
          <w:lang w:eastAsia="zh-CN"/>
        </w:rPr>
        <w:t>当事人的委托代理人</w:t>
      </w:r>
      <w:r>
        <w:rPr>
          <w:rFonts w:hint="eastAsia" w:ascii="仿宋" w:hAnsi="仿宋" w:eastAsia="仿宋" w:cs="仿宋"/>
          <w:sz w:val="32"/>
          <w:szCs w:val="32"/>
          <w:u w:val="none"/>
          <w:lang w:val="en-US" w:eastAsia="zh-CN"/>
        </w:rPr>
        <w:t>严振军</w:t>
      </w:r>
      <w:r>
        <w:rPr>
          <w:rFonts w:hint="eastAsia" w:ascii="仿宋" w:hAnsi="仿宋" w:eastAsia="仿宋" w:cs="仿宋"/>
          <w:sz w:val="32"/>
          <w:szCs w:val="32"/>
          <w:u w:val="none"/>
          <w:lang w:eastAsia="zh-CN"/>
        </w:rPr>
        <w:t>盖章确认的现场检查拍摄图片九张，证明当事人</w:t>
      </w:r>
      <w:r>
        <w:rPr>
          <w:rFonts w:hint="eastAsia" w:ascii="仿宋" w:hAnsi="仿宋" w:eastAsia="仿宋" w:cs="仿宋"/>
          <w:sz w:val="32"/>
          <w:szCs w:val="32"/>
          <w:u w:val="none"/>
          <w:lang w:val="en-US" w:eastAsia="zh-CN"/>
        </w:rPr>
        <w:t>未按规定</w:t>
      </w:r>
      <w:r>
        <w:rPr>
          <w:rFonts w:hint="eastAsia" w:ascii="仿宋" w:hAnsi="仿宋" w:eastAsia="仿宋" w:cs="仿宋"/>
          <w:sz w:val="32"/>
          <w:szCs w:val="32"/>
          <w:u w:val="none"/>
          <w:lang w:eastAsia="zh-CN"/>
        </w:rPr>
        <w:t>明码标价销售“南孚碱性电池”等四种商品的违法事实；</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证据六、2020年2月9日，经</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的委托代理人严振军盖章确认的进货台账和销售台账图片一张，证明</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未按规定</w:t>
      </w:r>
      <w:r>
        <w:rPr>
          <w:rFonts w:hint="eastAsia" w:ascii="仿宋" w:hAnsi="仿宋" w:eastAsia="仿宋" w:cs="仿宋"/>
          <w:sz w:val="32"/>
          <w:szCs w:val="32"/>
          <w:u w:val="none"/>
          <w:lang w:eastAsia="zh-CN"/>
        </w:rPr>
        <w:t>明码标价销售“南孚碱性电池”等四种商品的违法事实；</w:t>
      </w:r>
      <w:r>
        <w:rPr>
          <w:rFonts w:hint="eastAsia" w:ascii="仿宋" w:hAnsi="仿宋" w:eastAsia="仿宋" w:cs="仿宋"/>
          <w:sz w:val="32"/>
          <w:szCs w:val="32"/>
          <w:u w:val="none"/>
          <w:lang w:val="en-US" w:eastAsia="zh-CN"/>
        </w:rPr>
        <w:t xml:space="preserve">                        </w:t>
      </w:r>
    </w:p>
    <w:p>
      <w:pPr>
        <w:spacing w:line="52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lang w:val="en-US" w:eastAsia="zh-CN"/>
        </w:rPr>
        <w:t>证据七、2020年2月7日，经</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的委托代理人严振军盖章确认的《现场检查笔录》一份，证明</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未按规定</w:t>
      </w:r>
      <w:r>
        <w:rPr>
          <w:rFonts w:hint="eastAsia" w:ascii="仿宋" w:hAnsi="仿宋" w:eastAsia="仿宋" w:cs="仿宋"/>
          <w:sz w:val="32"/>
          <w:szCs w:val="32"/>
          <w:u w:val="none"/>
          <w:lang w:eastAsia="zh-CN"/>
        </w:rPr>
        <w:t>明码标价销售“南孚碱性电池”等四种商品的违法事实。</w:t>
      </w:r>
    </w:p>
    <w:p>
      <w:pPr>
        <w:spacing w:line="520" w:lineRule="exact"/>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以上证据均由本局执法人员依法取得，具有真实性、合法性、关联性，且经</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或</w:t>
      </w:r>
      <w:r>
        <w:rPr>
          <w:rFonts w:hint="eastAsia" w:ascii="仿宋" w:hAnsi="仿宋" w:eastAsia="仿宋" w:cs="仿宋"/>
          <w:sz w:val="32"/>
          <w:szCs w:val="32"/>
          <w:u w:val="none"/>
          <w:lang w:eastAsia="zh-CN"/>
        </w:rPr>
        <w:t>当事人</w:t>
      </w:r>
      <w:r>
        <w:rPr>
          <w:rFonts w:hint="eastAsia" w:ascii="仿宋" w:hAnsi="仿宋" w:eastAsia="仿宋" w:cs="仿宋"/>
          <w:sz w:val="32"/>
          <w:szCs w:val="32"/>
          <w:u w:val="none"/>
          <w:lang w:val="en-US" w:eastAsia="zh-CN"/>
        </w:rPr>
        <w:t>的委托代理人签字确定无异议，符合证据要求，可以作为本案定性的依据。</w:t>
      </w:r>
    </w:p>
    <w:p>
      <w:pPr>
        <w:spacing w:line="52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sz w:val="32"/>
          <w:szCs w:val="32"/>
          <w:u w:val="none"/>
          <w:lang w:eastAsia="zh-CN"/>
        </w:rPr>
        <w:t>当事人的上述行为违法了《中国人民共和国价格法》第十三条“经营者销售、收购商品和提供服务，应当按照政府价格主管部门的规定明码标价，注明商品的品名、产地、规格、等级、计价单位、价格或者服务的项目、收费标准等有关情况”的规定，属于</w:t>
      </w:r>
      <w:r>
        <w:rPr>
          <w:rFonts w:hint="eastAsia" w:ascii="仿宋" w:hAnsi="仿宋" w:eastAsia="仿宋" w:cs="仿宋"/>
          <w:sz w:val="32"/>
          <w:szCs w:val="32"/>
          <w:u w:val="none"/>
          <w:lang w:val="en-US" w:eastAsia="zh-CN"/>
        </w:rPr>
        <w:t>未按规定</w:t>
      </w:r>
      <w:r>
        <w:rPr>
          <w:rFonts w:hint="eastAsia" w:ascii="仿宋" w:hAnsi="仿宋" w:eastAsia="仿宋" w:cs="仿宋"/>
          <w:sz w:val="32"/>
          <w:szCs w:val="32"/>
          <w:u w:val="none"/>
          <w:lang w:eastAsia="zh-CN"/>
        </w:rPr>
        <w:t>明码标价</w:t>
      </w:r>
      <w:r>
        <w:rPr>
          <w:rFonts w:hint="eastAsia" w:ascii="仿宋" w:hAnsi="仿宋" w:eastAsia="仿宋" w:cs="仿宋"/>
          <w:sz w:val="32"/>
          <w:szCs w:val="32"/>
          <w:u w:val="none"/>
          <w:lang w:val="en-US" w:eastAsia="zh-CN"/>
        </w:rPr>
        <w:t>销售</w:t>
      </w:r>
      <w:r>
        <w:rPr>
          <w:rFonts w:hint="eastAsia" w:ascii="仿宋" w:hAnsi="仿宋" w:eastAsia="仿宋" w:cs="仿宋"/>
          <w:sz w:val="32"/>
          <w:szCs w:val="32"/>
          <w:u w:val="none"/>
          <w:lang w:eastAsia="zh-CN"/>
        </w:rPr>
        <w:t>商品</w:t>
      </w:r>
      <w:r>
        <w:rPr>
          <w:rFonts w:hint="eastAsia" w:ascii="仿宋" w:hAnsi="仿宋" w:eastAsia="仿宋" w:cs="仿宋"/>
          <w:sz w:val="32"/>
          <w:szCs w:val="32"/>
          <w:u w:val="none"/>
          <w:lang w:val="en-US" w:eastAsia="zh-CN"/>
        </w:rPr>
        <w:t>的行为</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 xml:space="preserve">                       </w:t>
      </w:r>
    </w:p>
    <w:p>
      <w:pPr>
        <w:spacing w:line="520" w:lineRule="exact"/>
        <w:ind w:firstLine="640" w:firstLineChars="200"/>
        <w:rPr>
          <w:rFonts w:hint="eastAsia" w:ascii="仿宋" w:hAnsi="仿宋" w:eastAsia="仿宋" w:cs="仿宋"/>
          <w:bCs/>
          <w:sz w:val="32"/>
          <w:szCs w:val="32"/>
          <w:u w:val="none"/>
          <w:lang w:eastAsia="zh-CN"/>
        </w:rPr>
      </w:pPr>
      <w:r>
        <w:rPr>
          <w:rFonts w:hint="eastAsia" w:ascii="仿宋" w:hAnsi="仿宋" w:eastAsia="仿宋" w:cs="仿宋"/>
          <w:bCs/>
          <w:sz w:val="32"/>
          <w:szCs w:val="32"/>
          <w:u w:val="none"/>
          <w:lang w:eastAsia="zh-CN"/>
        </w:rPr>
        <w:t>依据《中华人民共和国价格法》第四十二条“经营者违法明码标价规定的，责令改正，没收违法所得，可以并处五千元以下的罚款”之规定，</w:t>
      </w:r>
      <w:r>
        <w:rPr>
          <w:rFonts w:hint="eastAsia" w:ascii="仿宋" w:hAnsi="仿宋" w:eastAsia="仿宋" w:cs="仿宋"/>
          <w:bCs/>
          <w:sz w:val="32"/>
          <w:szCs w:val="32"/>
          <w:u w:val="none"/>
          <w:lang w:val="en-US" w:eastAsia="zh-CN"/>
        </w:rPr>
        <w:t>鉴于当事人违法行为轻微，且</w:t>
      </w:r>
      <w:r>
        <w:rPr>
          <w:rFonts w:hint="eastAsia" w:ascii="仿宋" w:hAnsi="仿宋" w:eastAsia="仿宋" w:cs="仿宋"/>
          <w:bCs/>
          <w:sz w:val="32"/>
          <w:szCs w:val="32"/>
          <w:u w:val="none"/>
          <w:lang w:eastAsia="zh-CN"/>
        </w:rPr>
        <w:t>能配合调查，</w:t>
      </w:r>
      <w:r>
        <w:rPr>
          <w:rFonts w:hint="eastAsia" w:ascii="仿宋" w:hAnsi="仿宋" w:eastAsia="仿宋" w:cs="仿宋"/>
          <w:bCs/>
          <w:sz w:val="32"/>
          <w:szCs w:val="32"/>
          <w:u w:val="none"/>
          <w:lang w:val="en-US" w:eastAsia="zh-CN"/>
        </w:rPr>
        <w:t>有《市场监管理总局关于规范市场监督管理行政处罚裁量权胡指导意见》中可以从轻或者减轻行政处罚的情形，</w:t>
      </w:r>
      <w:r>
        <w:rPr>
          <w:rFonts w:hint="eastAsia" w:ascii="仿宋" w:hAnsi="仿宋" w:eastAsia="仿宋" w:cs="仿宋"/>
          <w:bCs/>
          <w:sz w:val="32"/>
          <w:szCs w:val="32"/>
          <w:u w:val="none"/>
          <w:lang w:eastAsia="zh-CN"/>
        </w:rPr>
        <w:t>本局决定责令</w:t>
      </w:r>
      <w:r>
        <w:rPr>
          <w:rFonts w:hint="eastAsia" w:ascii="仿宋" w:hAnsi="仿宋" w:eastAsia="仿宋" w:cs="仿宋"/>
          <w:sz w:val="32"/>
          <w:szCs w:val="32"/>
          <w:u w:val="none"/>
          <w:lang w:eastAsia="zh-CN"/>
        </w:rPr>
        <w:t>当事人</w:t>
      </w:r>
      <w:r>
        <w:rPr>
          <w:rFonts w:hint="eastAsia" w:ascii="仿宋" w:hAnsi="仿宋" w:eastAsia="仿宋" w:cs="仿宋"/>
          <w:bCs/>
          <w:sz w:val="32"/>
          <w:szCs w:val="32"/>
          <w:u w:val="none"/>
          <w:lang w:eastAsia="zh-CN"/>
        </w:rPr>
        <w:t>立即改正，并</w:t>
      </w:r>
      <w:r>
        <w:rPr>
          <w:rFonts w:hint="eastAsia" w:ascii="仿宋" w:hAnsi="仿宋" w:eastAsia="仿宋" w:cs="仿宋"/>
          <w:bCs/>
          <w:sz w:val="32"/>
          <w:szCs w:val="32"/>
          <w:u w:val="none"/>
          <w:lang w:val="en-US" w:eastAsia="zh-CN"/>
        </w:rPr>
        <w:t>对</w:t>
      </w:r>
      <w:r>
        <w:rPr>
          <w:rFonts w:hint="eastAsia" w:ascii="仿宋" w:hAnsi="仿宋" w:eastAsia="仿宋" w:cs="仿宋"/>
          <w:sz w:val="32"/>
          <w:szCs w:val="32"/>
          <w:u w:val="none"/>
          <w:lang w:eastAsia="zh-CN"/>
        </w:rPr>
        <w:t>当事人</w:t>
      </w:r>
      <w:r>
        <w:rPr>
          <w:rFonts w:hint="eastAsia" w:ascii="仿宋" w:hAnsi="仿宋" w:eastAsia="仿宋" w:cs="仿宋"/>
          <w:bCs/>
          <w:sz w:val="32"/>
          <w:szCs w:val="32"/>
          <w:u w:val="none"/>
          <w:lang w:val="en-US" w:eastAsia="zh-CN"/>
        </w:rPr>
        <w:t>作如下行政</w:t>
      </w:r>
      <w:r>
        <w:rPr>
          <w:rFonts w:hint="eastAsia" w:ascii="仿宋" w:hAnsi="仿宋" w:eastAsia="仿宋" w:cs="仿宋"/>
          <w:bCs/>
          <w:sz w:val="32"/>
          <w:szCs w:val="32"/>
          <w:u w:val="none"/>
          <w:lang w:eastAsia="zh-CN"/>
        </w:rPr>
        <w:t>处罚：</w:t>
      </w:r>
    </w:p>
    <w:p>
      <w:pPr>
        <w:numPr>
          <w:ilvl w:val="0"/>
          <w:numId w:val="3"/>
        </w:numPr>
        <w:spacing w:line="520" w:lineRule="exact"/>
        <w:ind w:firstLine="640" w:firstLineChars="200"/>
        <w:rPr>
          <w:rFonts w:hint="eastAsia" w:ascii="仿宋" w:hAnsi="仿宋" w:eastAsia="仿宋" w:cs="仿宋"/>
          <w:bCs/>
          <w:sz w:val="32"/>
          <w:szCs w:val="32"/>
          <w:u w:val="none"/>
          <w:lang w:val="en-US" w:eastAsia="zh-CN"/>
        </w:rPr>
      </w:pPr>
      <w:r>
        <w:rPr>
          <w:rFonts w:hint="eastAsia" w:ascii="仿宋" w:hAnsi="仿宋" w:eastAsia="仿宋" w:cs="仿宋"/>
          <w:bCs/>
          <w:sz w:val="32"/>
          <w:szCs w:val="32"/>
          <w:u w:val="none"/>
          <w:lang w:val="en-US" w:eastAsia="zh-CN"/>
        </w:rPr>
        <w:t>没收非法所得57元；</w:t>
      </w:r>
    </w:p>
    <w:p>
      <w:pPr>
        <w:numPr>
          <w:ilvl w:val="0"/>
          <w:numId w:val="3"/>
        </w:numPr>
        <w:spacing w:line="52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bCs/>
          <w:sz w:val="32"/>
          <w:szCs w:val="32"/>
          <w:u w:val="none"/>
          <w:lang w:val="en-US" w:eastAsia="zh-CN"/>
        </w:rPr>
        <w:t>2、罚款人民币3000元。</w:t>
      </w:r>
    </w:p>
    <w:p>
      <w:pPr>
        <w:numPr>
          <w:ilvl w:val="0"/>
          <w:numId w:val="0"/>
        </w:numPr>
        <w:spacing w:line="520" w:lineRule="exact"/>
        <w:ind w:firstLine="640" w:firstLineChars="200"/>
        <w:rPr>
          <w:rFonts w:hint="eastAsia" w:ascii="仿宋" w:hAnsi="仿宋" w:eastAsia="仿宋" w:cs="仿宋"/>
          <w:sz w:val="32"/>
          <w:szCs w:val="32"/>
          <w:u w:val="none"/>
          <w:lang w:eastAsia="zh-CN"/>
        </w:rPr>
      </w:pPr>
      <w:r>
        <w:rPr>
          <w:rFonts w:hint="eastAsia" w:ascii="仿宋" w:hAnsi="仿宋" w:eastAsia="仿宋" w:cs="仿宋"/>
          <w:bCs/>
          <w:sz w:val="32"/>
          <w:szCs w:val="32"/>
          <w:u w:val="none"/>
          <w:lang w:val="en-US" w:eastAsia="zh-CN"/>
        </w:rPr>
        <w:t>以上两项合计罚没3057元，上缴国库。</w:t>
      </w:r>
    </w:p>
    <w:p>
      <w:pPr>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 xml:space="preserve">   当事人应当在接到本处罚决定书之日起十五日内，到本局财务室开具一般缴款书，持一般缴款书到所指定的银行交清上述罚款。（户名：岳阳市非税收入征收管理局，账号：4366007100181600</w:t>
      </w:r>
      <w:r>
        <w:rPr>
          <w:rFonts w:hint="eastAsia" w:ascii="仿宋" w:hAnsi="仿宋" w:eastAsia="仿宋" w:cs="仿宋"/>
          <w:sz w:val="32"/>
          <w:szCs w:val="32"/>
        </w:rPr>
        <w:t>*****</w:t>
      </w:r>
      <w:r>
        <w:rPr>
          <w:rFonts w:hint="eastAsia" w:ascii="仿宋" w:hAnsi="仿宋" w:eastAsia="仿宋" w:cs="仿宋"/>
          <w:sz w:val="32"/>
          <w:szCs w:val="32"/>
          <w:u w:val="none"/>
          <w:lang w:val="en-US" w:eastAsia="zh-CN"/>
        </w:rPr>
        <w:t>，开户行：岳阳市交通银行府东支行）。本局财务室地址：岳阳市青年中路72号岳阳市工商行政管理局南湖分局三楼307室，电话：0730-8802611。逾期不缴纳，本局每日按罚款数额的百分之三、违法所得千分之二加处罚款。</w:t>
      </w:r>
    </w:p>
    <w:p>
      <w:pPr>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 xml:space="preserve">  当事人如对本处罚决定不服，可以在收到本处罚决定之日六十日内，向湖南省市场监督管理局或岳阳市人民政府申请行政复议；对行政复议决定不服</w:t>
      </w:r>
      <w:bookmarkStart w:id="0" w:name="_GoBack"/>
      <w:bookmarkEnd w:id="0"/>
      <w:r>
        <w:rPr>
          <w:rFonts w:hint="eastAsia" w:ascii="仿宋" w:hAnsi="仿宋" w:eastAsia="仿宋" w:cs="仿宋"/>
          <w:sz w:val="32"/>
          <w:szCs w:val="32"/>
          <w:u w:val="none"/>
          <w:lang w:val="en-US" w:eastAsia="zh-CN"/>
        </w:rPr>
        <w:t>的，可以依法向岳阳市君山区人民法院提起诉讼。行政复议或行政诉讼期间不停止本决定的执行。</w:t>
      </w:r>
    </w:p>
    <w:p>
      <w:pPr>
        <w:rPr>
          <w:rFonts w:hint="eastAsia" w:ascii="仿宋" w:hAnsi="仿宋" w:eastAsia="仿宋" w:cs="仿宋"/>
          <w:sz w:val="32"/>
          <w:szCs w:val="32"/>
          <w:u w:val="none"/>
        </w:rPr>
      </w:pPr>
    </w:p>
    <w:p>
      <w:pPr>
        <w:wordWrap w:val="0"/>
        <w:spacing w:line="520" w:lineRule="exact"/>
        <w:jc w:val="both"/>
        <w:rPr>
          <w:rFonts w:hint="eastAsia" w:ascii="仿宋" w:hAnsi="仿宋" w:eastAsia="仿宋" w:cs="仿宋"/>
          <w:sz w:val="32"/>
          <w:szCs w:val="32"/>
          <w:u w:val="none"/>
        </w:rPr>
      </w:pPr>
    </w:p>
    <w:p>
      <w:pPr>
        <w:wordWrap w:val="0"/>
        <w:spacing w:line="520" w:lineRule="exact"/>
        <w:ind w:firstLine="6080" w:firstLineChars="1900"/>
        <w:jc w:val="both"/>
        <w:rPr>
          <w:rFonts w:hint="eastAsia" w:ascii="仿宋" w:hAnsi="仿宋" w:eastAsia="仿宋" w:cs="仿宋"/>
          <w:sz w:val="32"/>
          <w:szCs w:val="32"/>
          <w:u w:val="none"/>
          <w:lang w:val="en-US" w:eastAsia="zh-CN"/>
        </w:rPr>
      </w:pPr>
      <w:r>
        <w:rPr>
          <w:rFonts w:hint="eastAsia" w:ascii="仿宋" w:hAnsi="仿宋" w:eastAsia="仿宋" w:cs="仿宋"/>
          <w:sz w:val="32"/>
          <w:szCs w:val="32"/>
          <w:u w:val="none"/>
        </w:rPr>
        <w:t xml:space="preserve">（印 章）            </w:t>
      </w:r>
      <w:r>
        <w:rPr>
          <w:rFonts w:hint="eastAsia" w:ascii="仿宋" w:hAnsi="仿宋" w:eastAsia="仿宋" w:cs="仿宋"/>
          <w:sz w:val="32"/>
          <w:szCs w:val="32"/>
          <w:u w:val="none"/>
          <w:lang w:val="en-US" w:eastAsia="zh-CN"/>
        </w:rPr>
        <w:t xml:space="preserve">   </w:t>
      </w:r>
    </w:p>
    <w:p>
      <w:pPr>
        <w:wordWrap w:val="0"/>
        <w:spacing w:line="520" w:lineRule="exact"/>
        <w:ind w:firstLine="5440" w:firstLineChars="1700"/>
        <w:jc w:val="both"/>
        <w:rPr>
          <w:rFonts w:hint="eastAsia" w:ascii="仿宋" w:hAnsi="仿宋" w:eastAsia="仿宋" w:cs="仿宋"/>
          <w:sz w:val="32"/>
          <w:szCs w:val="32"/>
          <w:u w:val="none"/>
        </w:rPr>
      </w:pPr>
      <w:r>
        <w:rPr>
          <w:rFonts w:hint="eastAsia" w:ascii="仿宋" w:hAnsi="仿宋" w:eastAsia="仿宋" w:cs="仿宋"/>
          <w:sz w:val="32"/>
          <w:szCs w:val="32"/>
          <w:u w:val="none"/>
        </w:rPr>
        <w:t xml:space="preserve">    年   月   日 </w:t>
      </w:r>
    </w:p>
    <w:p>
      <w:pPr>
        <w:wordWrap w:val="0"/>
        <w:spacing w:line="520" w:lineRule="exact"/>
        <w:ind w:firstLine="5440" w:firstLineChars="1700"/>
        <w:jc w:val="both"/>
        <w:rPr>
          <w:rFonts w:hint="eastAsia" w:ascii="仿宋" w:hAnsi="仿宋" w:eastAsia="仿宋" w:cs="仿宋"/>
          <w:sz w:val="32"/>
          <w:szCs w:val="32"/>
          <w:u w:val="none"/>
        </w:rPr>
      </w:pPr>
    </w:p>
    <w:p>
      <w:pPr>
        <w:wordWrap w:val="0"/>
        <w:spacing w:line="520" w:lineRule="exact"/>
        <w:ind w:firstLine="5440" w:firstLineChars="1700"/>
        <w:jc w:val="both"/>
        <w:rPr>
          <w:rFonts w:hint="eastAsia" w:ascii="仿宋" w:hAnsi="仿宋" w:eastAsia="仿宋" w:cs="仿宋"/>
          <w:sz w:val="32"/>
          <w:szCs w:val="32"/>
          <w:u w:val="none"/>
        </w:rPr>
      </w:pPr>
    </w:p>
    <w:p>
      <w:pPr>
        <w:wordWrap w:val="0"/>
        <w:spacing w:line="520" w:lineRule="exact"/>
        <w:jc w:val="both"/>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 xml:space="preserve">    </w:t>
      </w:r>
    </w:p>
    <w:p>
      <w:pPr>
        <w:wordWrap w:val="0"/>
        <w:spacing w:line="520" w:lineRule="exact"/>
        <w:jc w:val="both"/>
        <w:rPr>
          <w:rFonts w:hint="eastAsia" w:ascii="仿宋" w:hAnsi="仿宋" w:eastAsia="仿宋" w:cs="仿宋"/>
          <w:sz w:val="32"/>
          <w:szCs w:val="32"/>
          <w:u w:val="none"/>
          <w:lang w:val="en-US" w:eastAsia="zh-CN"/>
        </w:rPr>
      </w:pPr>
    </w:p>
    <w:p>
      <w:pPr>
        <w:wordWrap w:val="0"/>
        <w:spacing w:line="520" w:lineRule="exact"/>
        <w:ind w:firstLine="960" w:firstLineChars="300"/>
        <w:jc w:val="both"/>
        <w:rPr>
          <w:rFonts w:hint="eastAsia" w:ascii="仿宋" w:hAnsi="仿宋" w:eastAsia="仿宋" w:cs="仿宋"/>
          <w:bCs/>
          <w:color w:val="000000"/>
          <w:sz w:val="32"/>
          <w:szCs w:val="32"/>
        </w:rPr>
      </w:pPr>
      <w:r>
        <w:rPr>
          <w:rFonts w:hint="eastAsia" w:ascii="仿宋" w:hAnsi="仿宋" w:eastAsia="仿宋" w:cs="仿宋"/>
          <w:sz w:val="32"/>
          <w:szCs w:val="32"/>
          <w:u w:val="none"/>
          <w:lang w:val="en-US" w:eastAsia="zh-CN"/>
        </w:rPr>
        <w:t>（本行政处罚决定信息将依法向社会进行公示）</w:t>
      </w:r>
      <w:r>
        <w:rPr>
          <w:rFonts w:hint="eastAsia" w:ascii="仿宋" w:hAnsi="仿宋" w:eastAsia="仿宋" w:cs="仿宋"/>
          <w:sz w:val="32"/>
          <w:szCs w:val="32"/>
        </w:rPr>
        <w:t xml:space="preserve">     </w:t>
      </w:r>
    </w:p>
    <w:p>
      <w:pPr>
        <w:spacing w:line="520" w:lineRule="exact"/>
        <w:rPr>
          <w:rFonts w:hint="eastAsia" w:ascii="仿宋" w:hAnsi="仿宋" w:eastAsia="仿宋" w:cs="仿宋"/>
          <w:bCs/>
          <w:color w:val="000000"/>
          <w:sz w:val="32"/>
          <w:szCs w:val="32"/>
        </w:rPr>
      </w:pPr>
    </w:p>
    <w:p>
      <w:pPr>
        <w:spacing w:line="520" w:lineRule="exact"/>
        <w:rPr>
          <w:rFonts w:hint="eastAsia" w:ascii="仿宋" w:hAnsi="仿宋" w:eastAsia="仿宋" w:cs="仿宋"/>
          <w:bCs/>
          <w:color w:val="000000"/>
          <w:sz w:val="32"/>
          <w:szCs w:val="32"/>
        </w:rPr>
      </w:pPr>
    </w:p>
    <w:p>
      <w:pPr>
        <w:spacing w:line="520" w:lineRule="exact"/>
        <w:rPr>
          <w:rFonts w:hint="eastAsia" w:ascii="仿宋" w:hAnsi="仿宋" w:eastAsia="仿宋" w:cs="仿宋"/>
          <w:bCs/>
          <w:color w:val="000000"/>
          <w:sz w:val="32"/>
          <w:szCs w:val="32"/>
        </w:rPr>
      </w:pPr>
      <w:r>
        <w:rPr>
          <w:rFonts w:hint="eastAsia" w:ascii="仿宋" w:hAnsi="仿宋" w:eastAsia="仿宋" w:cs="仿宋"/>
        </w:rPr>
        <mc:AlternateContent>
          <mc:Choice Requires="wps">
            <w:drawing>
              <wp:anchor distT="0" distB="0" distL="114300" distR="114300" simplePos="0" relativeHeight="251696128" behindDoc="0" locked="0" layoutInCell="1" allowOverlap="1">
                <wp:simplePos x="0" y="0"/>
                <wp:positionH relativeFrom="column">
                  <wp:posOffset>-5080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4pt;margin-top:1638.35pt;height:0.1pt;width:453.75pt;z-index:251696128;mso-width-relative:page;mso-height-relative:page;" filled="f" stroked="t" coordsize="21600,21600" o:gfxdata="UEsDBAoAAAAAAIdO4kAAAAAAAAAAAAAAAAAEAAAAZHJzL1BLAwQUAAAACACHTuJA98or9dcAAAAL&#10;AQAADwAAAGRycy9kb3ducmV2LnhtbE2PMU/DMBCFdyT+g3VIbNRuK7U0xOmAqBiYmlaI8RIfSSA+&#10;W7Hbpv8eRwyw3b17eu+7fDvaXpxpCJ1jDfOZAkFcO9Nxo+F42D08gggR2WDvmDRcKcC2uL3JMTPu&#10;wns6l7ERKYRDhhraGH0mZahbshhmzhOn26cbLMa0Do00A15SuO3lQqmVtNhxamjR03NL9Xd5shpe&#10;37+kX+LHgV+a/eh3VF3fykHr+7u5egIRaYx/ZpjwEzoUialyJzZB9Bom8KhhuViv1iCSYaOmofqV&#10;NiCLXP7/ofgBUEsDBBQAAAAIAIdO4kDNRLp73wEAAJcDAAAOAAAAZHJzL2Uyb0RvYy54bWytU82O&#10;0zAQviPxDpbvNG3QdiFquoctywVBJeABpraTWPIfHm/TvgQvgMQNThy58zYsj7Fjt9vl54IQOUzG&#10;nsk3830zWVzsrGFbFVF71/LZZMqZcsJL7fqWv31z9egJZ5jASTDeqZbvFfKL5cMHizE0qvaDN1JF&#10;RiAOmzG0fEgpNFWFYlAWcOKDchTsfLSQ6Bj7SkYYCd2aqp5O59XoowzRC4VIt6tDkC8LftcpkV51&#10;HarETMupt1RsLHaTbbVcQNNHCIMWxzbgH7qwoB0VPUGtIAG7jvoPKKtF9Oi7NBHeVr7rtFCFA7GZ&#10;TX9j83qAoAoXEgfDSSb8f7Di5XYdmZYtrzlzYGlENx++fn//6ce3j2RvvnxmdRZpDNhQ7qVbx+MJ&#10;wzpmxrsu2vwmLmxXhN2fhFW7xARdnp3P63l9xpmg2Kw+L7pX99+GiOm58pZlp+VGu0wbGti+wET1&#10;KPUuJV8bx8aWP308p4kKoK3Bd+TYQCzQ9eVL9EbLK21MzsfYby5NZFvIW1CezIlQf0nLJVaAwyGv&#10;hA77MSiQz5xkaR9IH0eLzHMDVknOjKK9zx4BQpNAm7/JpNLGUQdZ1oOQ2dt4uadpXIeo+4F0mJUu&#10;c4SmX/o9bmper5/PBen+f1re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fKK/XXAAAACwEAAA8A&#10;AAAAAAAAAQAgAAAAIgAAAGRycy9kb3ducmV2LnhtbFBLAQIUABQAAAAIAIdO4kDNRLp73wEAAJcD&#10;AAAOAAAAAAAAAAEAIAAAACYBAABkcnMvZTJvRG9jLnhtbFBLBQYAAAAABgAGAFkBAAB3BQAAAAA=&#10;">
                <v:fill on="f" focussize="0,0"/>
                <v:stroke weight="0.737007874015748pt" color="#000000" joinstyle="round" endcap="square"/>
                <v:imagedata o:title=""/>
                <o:lock v:ext="edit" aspectratio="f"/>
              </v:line>
            </w:pict>
          </mc:Fallback>
        </mc:AlternateContent>
      </w:r>
      <w:r>
        <w:rPr>
          <w:rFonts w:hint="eastAsia" w:ascii="仿宋" w:hAnsi="仿宋" w:eastAsia="仿宋" w:cs="仿宋"/>
          <w:sz w:val="32"/>
        </w:rPr>
        <mc:AlternateContent>
          <mc:Choice Requires="wps">
            <w:drawing>
              <wp:anchor distT="0" distB="0" distL="114300" distR="114300" simplePos="0" relativeHeight="251698176" behindDoc="0" locked="0" layoutInCell="1" allowOverlap="1">
                <wp:simplePos x="0" y="0"/>
                <wp:positionH relativeFrom="column">
                  <wp:posOffset>29210</wp:posOffset>
                </wp:positionH>
                <wp:positionV relativeFrom="paragraph">
                  <wp:posOffset>172085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pt;margin-top:13.55pt;height:0.05pt;width:437.05pt;z-index:251698176;mso-width-relative:page;mso-height-relative:page;" filled="f" stroked="t"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nawxfdkBAACZAwAADgAAAGRycy9lMm9Eb2MueG1srVPNjtMw&#10;EL4j8Q6W7zTpoiyrqOketiwXBJWAB5jaTmLJf/J4m/YleAEkbnDiyJ23YXkMxm7p7sIFIXKYjD2f&#10;v8z3ebK43FnDtiqi9q7j81nNmXLCS+2Gjr97e/3kgjNM4CQY71TH9wr55fLxo8UUWnXmR2+kioxI&#10;HLZT6PiYUmirCsWoLODMB+Wo2PtoIdEyDpWMMBG7NdVZXZ9Xk48yRC8UIu2uDkW+LPx9r0R63feo&#10;EjMdp95SibHETY7VcgHtECGMWhzbgH/owoJ29NET1QoSsJuo/6CyWkSPvk8z4W3l+14LVTSQmnn9&#10;m5o3IwRVtJA5GE424f+jFa+268i0pLvjzIGlK7r98PX7+08/vn2kePvlM5tnk6aALWGv3DoeVxjW&#10;MSve9dHmN2lhu2Ls/mSs2iUmaLNpmrp52nAmqHZOCXFUd0dDxPRCecty0nGjXVYNLWxfYjpAf0Hy&#10;tnFson6bi2eZEWhqegOJUhtIB7qhHEZvtLzWxuQjGIfNlYlsC3kOynPs4QEsf2UFOB5wpZRh0I4K&#10;5HMnWdoHcsjRKPPcg1WSM6No8nNWkAm0+RskyTeOXMjGHqzM2cbLPd3HTYh6GMmK4n3B0P0Xz46z&#10;mgfs/row3f1Ry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HRn11QAAAAcBAAAPAAAAAAAAAAEA&#10;IAAAACIAAABkcnMvZG93bnJldi54bWxQSwECFAAUAAAACACHTuJAnawxfdkBAACZAwAADgAAAAAA&#10;AAABACAAAAAkAQAAZHJzL2Uyb0RvYy54bWxQSwUGAAAAAAYABgBZAQAAbwUAAAAA&#10;">
                <v:fill on="f" focussize="0,0"/>
                <v:stroke weight="1.25pt" color="#000000" joinstyle="round"/>
                <v:imagedata o:title=""/>
                <o:lock v:ext="edit" aspectratio="f"/>
              </v:line>
            </w:pict>
          </mc:Fallback>
        </mc:AlternateContent>
      </w:r>
    </w:p>
    <w:p>
      <w:pPr>
        <w:wordWrap w:val="0"/>
        <w:spacing w:line="520" w:lineRule="exact"/>
        <w:rPr>
          <w:rFonts w:hint="eastAsia" w:ascii="仿宋" w:hAnsi="仿宋" w:eastAsia="仿宋" w:cs="仿宋"/>
          <w:bCs/>
          <w:sz w:val="32"/>
          <w:szCs w:val="32"/>
        </w:rPr>
      </w:pPr>
      <w:r>
        <w:rPr>
          <w:rFonts w:hint="eastAsia" w:ascii="仿宋" w:hAnsi="仿宋" w:eastAsia="仿宋" w:cs="仿宋"/>
          <w:color w:val="000000"/>
          <w:sz w:val="32"/>
          <w:szCs w:val="32"/>
        </w:rPr>
        <w:t>本文书一式</w:t>
      </w:r>
      <w:r>
        <w:rPr>
          <w:rFonts w:hint="eastAsia" w:ascii="仿宋" w:hAnsi="仿宋" w:eastAsia="仿宋" w:cs="仿宋"/>
          <w:color w:val="000000"/>
          <w:sz w:val="32"/>
          <w:szCs w:val="32"/>
          <w:lang w:eastAsia="zh-CN"/>
        </w:rPr>
        <w:t>三份</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一</w:t>
      </w:r>
      <w:r>
        <w:rPr>
          <w:rFonts w:hint="eastAsia" w:ascii="仿宋" w:hAnsi="仿宋" w:eastAsia="仿宋" w:cs="仿宋"/>
          <w:color w:val="000000"/>
          <w:sz w:val="32"/>
          <w:szCs w:val="32"/>
        </w:rPr>
        <w:t>份送达，一份归档，</w:t>
      </w:r>
      <w:r>
        <w:rPr>
          <w:rFonts w:hint="eastAsia" w:ascii="仿宋" w:hAnsi="仿宋" w:eastAsia="仿宋" w:cs="仿宋"/>
          <w:color w:val="000000"/>
          <w:sz w:val="32"/>
          <w:szCs w:val="32"/>
          <w:lang w:eastAsia="zh-CN"/>
        </w:rPr>
        <w:t>一份办案机关留存</w:t>
      </w:r>
      <w:r>
        <w:rPr>
          <w:rFonts w:hint="eastAsia" w:ascii="仿宋" w:hAnsi="仿宋" w:eastAsia="仿宋" w:cs="仿宋"/>
          <w:color w:val="000000"/>
          <w:sz w:val="32"/>
          <w:szCs w:val="32"/>
        </w:rPr>
        <w:t>。</w:t>
      </w:r>
    </w:p>
    <w:p>
      <w:pPr>
        <w:rPr>
          <w:rFonts w:hint="eastAsia" w:ascii="仿宋" w:hAnsi="仿宋" w:eastAsia="仿宋" w:cs="仿宋"/>
        </w:rPr>
      </w:pPr>
    </w:p>
    <w:p>
      <w:pPr>
        <w:ind w:firstLine="640"/>
        <w:rPr>
          <w:rFonts w:hint="eastAsia" w:ascii="仿宋" w:hAnsi="仿宋" w:eastAsia="仿宋" w:cs="仿宋"/>
          <w:sz w:val="32"/>
          <w:szCs w:val="32"/>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C3CBD0"/>
    <w:multiLevelType w:val="singleLevel"/>
    <w:tmpl w:val="A6C3CBD0"/>
    <w:lvl w:ilvl="0" w:tentative="0">
      <w:start w:val="1"/>
      <w:numFmt w:val="decimal"/>
      <w:suff w:val="nothing"/>
      <w:lvlText w:val="%1、"/>
      <w:lvlJc w:val="left"/>
    </w:lvl>
  </w:abstractNum>
  <w:abstractNum w:abstractNumId="1">
    <w:nsid w:val="00000002"/>
    <w:multiLevelType w:val="multilevel"/>
    <w:tmpl w:val="00000002"/>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A"/>
    <w:multiLevelType w:val="multilevel"/>
    <w:tmpl w:val="0000000A"/>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934D4"/>
    <w:rsid w:val="02DE3CCB"/>
    <w:rsid w:val="0434092C"/>
    <w:rsid w:val="069934D4"/>
    <w:rsid w:val="0ED9749B"/>
    <w:rsid w:val="21121910"/>
    <w:rsid w:val="21400634"/>
    <w:rsid w:val="224168C4"/>
    <w:rsid w:val="249A3B17"/>
    <w:rsid w:val="2C8D02D1"/>
    <w:rsid w:val="420C0B80"/>
    <w:rsid w:val="4D3B6877"/>
    <w:rsid w:val="4E1B0759"/>
    <w:rsid w:val="52060E69"/>
    <w:rsid w:val="5A1B5709"/>
    <w:rsid w:val="614969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beforeLines="0" w:after="120" w:afterLines="0"/>
      <w:jc w:val="left"/>
      <w:outlineLvl w:val="0"/>
    </w:pPr>
    <w:rPr>
      <w:rFonts w:ascii="Times New Roman" w:hAnsi="Times New Roman" w:cs="Mangal"/>
      <w:color w:val="00000A"/>
      <w:sz w:val="24"/>
      <w:lang w:val="zh-CN" w:bidi="hi-I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2020-02-22T06:23:00Z</dcterms:created>
  <dc:creator>lenovo</dc:creator>
  <cp:lastModifiedBy>Administrator</cp:lastModifiedBy>
  <cp:lastPrinted>2020-03-08T00:13:00Z</cp:lastPrinted>
  <dcterms:modified xsi:type="dcterms:W3CDTF">2020-09-21T02:02:02Z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