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ascii="Times New Roman" w:hAnsi="方正小标宋简体" w:eastAsia="方正小标宋简体" w:cs="方正小标宋简体"/>
          <w:bCs/>
          <w:color w:val="000000"/>
          <w:sz w:val="48"/>
          <w:szCs w:val="48"/>
        </w:rPr>
      </w:pPr>
      <w:r>
        <w:rPr>
          <w:rFonts w:hint="eastAsia" w:ascii="Times New Roman" w:hAnsi="方正小标宋简体" w:eastAsia="方正小标宋简体" w:cs="方正小标宋简体"/>
          <w:bCs/>
          <w:color w:val="000000"/>
          <w:sz w:val="48"/>
          <w:szCs w:val="48"/>
        </w:rPr>
        <w:t>岳 阳 市 市 场 监 督 管 理 局</w:t>
      </w:r>
    </w:p>
    <w:p>
      <w:pPr>
        <w:spacing w:line="800" w:lineRule="exact"/>
        <w:jc w:val="center"/>
        <w:rPr>
          <w:rFonts w:ascii="Times New Roman" w:hAnsi="方正小标宋简体" w:eastAsia="方正小标宋简体" w:cs="方正小标宋简体"/>
          <w:bCs/>
          <w:color w:val="000000"/>
          <w:sz w:val="72"/>
          <w:szCs w:val="72"/>
        </w:rPr>
      </w:pPr>
      <w:r>
        <w:rPr>
          <w:rFonts w:hint="eastAsia" w:ascii="Times New Roman" w:hAnsi="方正小标宋简体" w:eastAsia="方正小标宋简体" w:cs="方正小标宋简体"/>
          <w:bCs/>
          <w:color w:val="000000"/>
          <w:sz w:val="72"/>
          <w:szCs w:val="72"/>
        </w:rPr>
        <w:t>行政处罚决定书</w:t>
      </w:r>
    </w:p>
    <w:p>
      <w:pPr>
        <w:wordWrap w:val="0"/>
        <w:snapToGrid w:val="0"/>
        <w:spacing w:before="312" w:beforeLines="100" w:after="312" w:afterLines="100" w:line="200" w:lineRule="exact"/>
        <w:jc w:val="center"/>
        <w:rPr>
          <w:rFonts w:ascii="Times New Roman" w:hAnsi="Times New Roman" w:eastAsia="仿宋_GB2312" w:cs="仿宋"/>
          <w:color w:val="000000"/>
          <w:sz w:val="32"/>
          <w:szCs w:val="32"/>
        </w:rPr>
      </w:pPr>
      <w:r>
        <w:rPr>
          <w:rFonts w:ascii="黑体" w:hAnsi="黑体" w:eastAsia="黑体" w:cs="黑体"/>
          <w:color w:val="000000"/>
          <w:sz w:val="32"/>
          <w:szCs w:val="32"/>
        </w:rPr>
        <mc:AlternateContent>
          <mc:Choice Requires="wps">
            <w:drawing>
              <wp:anchor distT="0" distB="0" distL="114300" distR="114300" simplePos="0" relativeHeight="251714560" behindDoc="0" locked="0" layoutInCell="1" allowOverlap="1">
                <wp:simplePos x="0" y="0"/>
                <wp:positionH relativeFrom="column">
                  <wp:posOffset>25400</wp:posOffset>
                </wp:positionH>
                <wp:positionV relativeFrom="paragraph">
                  <wp:posOffset>20802600</wp:posOffset>
                </wp:positionV>
                <wp:extent cx="5761990" cy="1270"/>
                <wp:effectExtent l="9525" t="9525" r="19685" b="17780"/>
                <wp:wrapNone/>
                <wp:docPr id="4" name="直接箭头连接符 4"/>
                <wp:cNvGraphicFramePr/>
                <a:graphic xmlns:a="http://schemas.openxmlformats.org/drawingml/2006/main">
                  <a:graphicData uri="http://schemas.microsoft.com/office/word/2010/wordprocessingShape">
                    <wps:wsp>
                      <wps:cNvCnPr>
                        <a:cxnSpLocks noChangeShapeType="1"/>
                      </wps:cNvCnPr>
                      <wps:spPr bwMode="auto">
                        <a:xfrm>
                          <a:off x="0" y="0"/>
                          <a:ext cx="5761990" cy="1270"/>
                        </a:xfrm>
                        <a:prstGeom prst="straightConnector1">
                          <a:avLst/>
                        </a:prstGeom>
                        <a:noFill/>
                        <a:ln w="19050" cap="sq" cmpd="sng">
                          <a:solidFill>
                            <a:srgbClr val="000000"/>
                          </a:solidFill>
                          <a:round/>
                        </a:ln>
                        <a:effectLst/>
                      </wps:spPr>
                      <wps:bodyPr/>
                    </wps:wsp>
                  </a:graphicData>
                </a:graphic>
              </wp:anchor>
            </w:drawing>
          </mc:Choice>
          <mc:Fallback>
            <w:pict>
              <v:shape id="_x0000_s1026" o:spid="_x0000_s1026" o:spt="32" type="#_x0000_t32" style="position:absolute;left:0pt;margin-left:2pt;margin-top:1638pt;height:0.1pt;width:453.7pt;z-index:251714560;mso-width-relative:page;mso-height-relative:page;" filled="f" stroked="t" coordsize="21600,21600" o:gfxdata="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LXiia2gAAAAsBAAAPAAAAAAAAAAEAIAAAACIAAABkcnMvZG93bnJldi54bWxQSwECFAAU&#10;AAAACACHTuJA7zCIFO8BAACWAwAADgAAAAAAAAABACAAAAApAQAAZHJzL2Uyb0RvYy54bWxQSwUG&#10;AAAAAAYABgBZAQAAigUAAAAA&#10;">
                <v:fill on="f" focussize="0,0"/>
                <v:stroke weight="1.5pt" color="#000000" joinstyle="round" endcap="square"/>
                <v:imagedata o:title=""/>
                <o:lock v:ext="edit" aspectratio="f"/>
              </v:shape>
            </w:pict>
          </mc:Fallback>
        </mc:AlternateContent>
      </w:r>
      <w:r>
        <w:rPr>
          <w:rFonts w:hint="eastAsia" w:ascii="黑体" w:hAnsi="黑体" w:eastAsia="黑体" w:cs="黑体"/>
          <w:color w:val="000000"/>
          <w:sz w:val="32"/>
          <w:szCs w:val="32"/>
        </w:rPr>
        <w:t xml:space="preserve"> 岳市监南处字〔2020〕21号</w:t>
      </w:r>
    </w:p>
    <w:p>
      <w:pPr>
        <w:spacing w:line="120" w:lineRule="exact"/>
        <w:rPr>
          <w:rFonts w:ascii="Times New Roman" w:hAnsi="方正小标宋简体" w:eastAsia="方正小标宋简体" w:cs="方正小标宋简体"/>
          <w:bCs/>
          <w:color w:val="000000"/>
          <w:sz w:val="72"/>
          <w:szCs w:val="72"/>
        </w:rPr>
      </w:pPr>
      <w:r>
        <w:rPr>
          <w:rFonts w:hint="eastAsia" w:ascii="仿宋_GB2312" w:eastAsia="仿宋_GB2312"/>
          <w:sz w:val="32"/>
          <w:szCs w:val="32"/>
          <w:u w:val="thick"/>
        </w:rPr>
        <w:t xml:space="preserve">                                                    </w:t>
      </w:r>
    </w:p>
    <w:p>
      <w:pPr>
        <w:ind w:firstLine="440" w:firstLineChars="100"/>
        <w:jc w:val="center"/>
        <w:rPr>
          <w:rFonts w:ascii="黑体" w:hAnsi="黑体" w:eastAsia="黑体" w:cs="黑体"/>
          <w:bCs/>
          <w:sz w:val="44"/>
          <w:szCs w:val="44"/>
        </w:rPr>
      </w:pPr>
      <w:r>
        <w:rPr>
          <w:rFonts w:hint="eastAsia" w:ascii="黑体" w:hAnsi="黑体" w:eastAsia="黑体" w:cs="黑体"/>
          <w:sz w:val="44"/>
          <w:szCs w:val="44"/>
        </w:rPr>
        <w:t>关于</w:t>
      </w:r>
      <w:r>
        <w:rPr>
          <w:rFonts w:hint="eastAsia" w:ascii="黑体" w:hAnsi="黑体" w:eastAsia="黑体" w:cs="黑体"/>
          <w:color w:val="000000"/>
          <w:sz w:val="44"/>
          <w:szCs w:val="44"/>
        </w:rPr>
        <w:t>湖滨社区卫生服务站未按规定明码标价提供诊疗服务的</w:t>
      </w:r>
      <w:r>
        <w:rPr>
          <w:rFonts w:hint="eastAsia" w:ascii="黑体" w:hAnsi="黑体" w:eastAsia="黑体" w:cs="黑体"/>
          <w:bCs/>
          <w:sz w:val="44"/>
          <w:szCs w:val="44"/>
        </w:rPr>
        <w:t>处罚决定</w:t>
      </w:r>
    </w:p>
    <w:p>
      <w:pPr>
        <w:ind w:firstLine="360" w:firstLineChars="100"/>
        <w:jc w:val="center"/>
        <w:rPr>
          <w:rFonts w:ascii="黑体" w:hAnsi="黑体" w:eastAsia="黑体" w:cs="黑体"/>
          <w:sz w:val="36"/>
          <w:szCs w:val="36"/>
        </w:rPr>
      </w:pPr>
    </w:p>
    <w:p>
      <w:pPr>
        <w:ind w:firstLine="640" w:firstLineChars="200"/>
        <w:rPr>
          <w:rFonts w:ascii="仿宋" w:hAnsi="仿宋" w:eastAsia="仿宋"/>
          <w:sz w:val="32"/>
          <w:szCs w:val="32"/>
        </w:rPr>
      </w:pPr>
      <w:r>
        <w:rPr>
          <w:rFonts w:hint="eastAsia" w:ascii="仿宋" w:hAnsi="仿宋" w:eastAsia="仿宋"/>
          <w:sz w:val="32"/>
          <w:szCs w:val="32"/>
        </w:rPr>
        <w:t>名称：湖滨社区卫生服务站</w:t>
      </w:r>
    </w:p>
    <w:p>
      <w:pPr>
        <w:ind w:firstLine="640" w:firstLineChars="200"/>
        <w:rPr>
          <w:rFonts w:ascii="仿宋" w:hAnsi="仿宋" w:eastAsia="仿宋"/>
          <w:sz w:val="32"/>
          <w:szCs w:val="32"/>
        </w:rPr>
      </w:pPr>
      <w:r>
        <w:rPr>
          <w:rFonts w:hint="eastAsia" w:ascii="仿宋" w:hAnsi="仿宋" w:eastAsia="仿宋"/>
          <w:sz w:val="32"/>
          <w:szCs w:val="32"/>
        </w:rPr>
        <w:t>登记号：PDY00046643060212</w:t>
      </w:r>
      <w:r>
        <w:rPr>
          <w:rFonts w:hint="eastAsia" w:ascii="仿宋" w:hAnsi="仿宋" w:eastAsia="仿宋" w:cs="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地址：南湖新区湖滨街道湖滨社区新村路</w:t>
      </w:r>
      <w:r>
        <w:rPr>
          <w:rFonts w:hint="eastAsia" w:ascii="仿宋" w:hAnsi="仿宋" w:eastAsia="仿宋" w:cs="仿宋"/>
          <w:sz w:val="32"/>
          <w:szCs w:val="32"/>
        </w:rPr>
        <w:t>****</w:t>
      </w:r>
      <w:r>
        <w:rPr>
          <w:rFonts w:hint="eastAsia" w:ascii="仿宋" w:hAnsi="仿宋" w:eastAsia="仿宋"/>
          <w:sz w:val="32"/>
          <w:szCs w:val="32"/>
        </w:rPr>
        <w:t>号</w:t>
      </w:r>
    </w:p>
    <w:p>
      <w:pPr>
        <w:ind w:firstLine="640" w:firstLineChars="200"/>
        <w:rPr>
          <w:rFonts w:ascii="仿宋" w:hAnsi="仿宋" w:eastAsia="仿宋"/>
          <w:sz w:val="32"/>
          <w:szCs w:val="32"/>
        </w:rPr>
      </w:pPr>
      <w:r>
        <w:rPr>
          <w:rFonts w:hint="eastAsia" w:ascii="仿宋" w:hAnsi="仿宋" w:eastAsia="仿宋"/>
          <w:sz w:val="32"/>
          <w:szCs w:val="32"/>
        </w:rPr>
        <w:t>所有制形式：私人</w:t>
      </w:r>
    </w:p>
    <w:p>
      <w:pPr>
        <w:ind w:firstLine="640" w:firstLineChars="200"/>
        <w:rPr>
          <w:rFonts w:ascii="仿宋" w:hAnsi="仿宋" w:eastAsia="仿宋"/>
          <w:sz w:val="32"/>
          <w:szCs w:val="32"/>
        </w:rPr>
      </w:pPr>
      <w:r>
        <w:rPr>
          <w:rFonts w:hint="eastAsia" w:ascii="仿宋" w:hAnsi="仿宋" w:eastAsia="仿宋"/>
          <w:sz w:val="32"/>
          <w:szCs w:val="32"/>
        </w:rPr>
        <w:t>医疗机构类别：社区卫生服务站</w:t>
      </w:r>
    </w:p>
    <w:p>
      <w:pPr>
        <w:ind w:firstLine="640" w:firstLineChars="200"/>
        <w:rPr>
          <w:rFonts w:ascii="仿宋" w:hAnsi="仿宋" w:eastAsia="仿宋"/>
          <w:sz w:val="32"/>
          <w:szCs w:val="32"/>
        </w:rPr>
      </w:pPr>
      <w:r>
        <w:rPr>
          <w:rFonts w:hint="eastAsia" w:ascii="仿宋" w:hAnsi="仿宋" w:eastAsia="仿宋"/>
          <w:sz w:val="32"/>
          <w:szCs w:val="32"/>
        </w:rPr>
        <w:t>经营性质：非营利性（非政府办）</w:t>
      </w:r>
    </w:p>
    <w:p>
      <w:pPr>
        <w:ind w:firstLine="640" w:firstLineChars="200"/>
        <w:rPr>
          <w:rFonts w:ascii="仿宋" w:hAnsi="仿宋" w:eastAsia="仿宋"/>
          <w:sz w:val="32"/>
          <w:szCs w:val="32"/>
        </w:rPr>
      </w:pPr>
      <w:r>
        <w:rPr>
          <w:rFonts w:hint="eastAsia" w:ascii="仿宋" w:hAnsi="仿宋" w:eastAsia="仿宋"/>
          <w:sz w:val="32"/>
          <w:szCs w:val="32"/>
        </w:rPr>
        <w:t>法定代表人：龚双龙</w:t>
      </w:r>
    </w:p>
    <w:p>
      <w:pPr>
        <w:ind w:firstLine="640" w:firstLineChars="200"/>
        <w:rPr>
          <w:rFonts w:ascii="仿宋" w:hAnsi="仿宋" w:eastAsia="仿宋"/>
          <w:sz w:val="32"/>
          <w:szCs w:val="32"/>
        </w:rPr>
      </w:pPr>
      <w:r>
        <w:rPr>
          <w:rFonts w:hint="eastAsia" w:ascii="仿宋" w:hAnsi="仿宋" w:eastAsia="仿宋"/>
          <w:sz w:val="32"/>
          <w:szCs w:val="32"/>
        </w:rPr>
        <w:t>诊疗科目：全科医疗科/妇科专业/妇女保健科；青春期保健专业；围产期保健专业；更年期保健专业；妇女心理卫生专业/儿科/儿童保健科/康复医学科/中医科；内科专业；外科专业；老年病科专业；针灸科专业；推拿科专业；康复医学专业；预防保健科专业/中西医结合科</w:t>
      </w:r>
    </w:p>
    <w:p>
      <w:pPr>
        <w:ind w:firstLine="640" w:firstLineChars="200"/>
        <w:rPr>
          <w:rFonts w:ascii="仿宋" w:hAnsi="仿宋" w:eastAsia="仿宋"/>
          <w:sz w:val="32"/>
          <w:szCs w:val="32"/>
        </w:rPr>
      </w:pPr>
      <w:r>
        <w:rPr>
          <w:rFonts w:hint="eastAsia" w:ascii="仿宋" w:hAnsi="仿宋" w:eastAsia="仿宋"/>
          <w:sz w:val="32"/>
          <w:szCs w:val="32"/>
        </w:rPr>
        <w:t>有效期限至：2022年01月10日</w:t>
      </w:r>
    </w:p>
    <w:p>
      <w:pPr>
        <w:ind w:firstLine="640" w:firstLineChars="200"/>
        <w:rPr>
          <w:rFonts w:ascii="仿宋" w:hAnsi="仿宋" w:eastAsia="仿宋"/>
          <w:sz w:val="32"/>
          <w:szCs w:val="32"/>
        </w:rPr>
      </w:pPr>
      <w:r>
        <w:rPr>
          <w:rFonts w:hint="eastAsia" w:ascii="仿宋" w:hAnsi="仿宋" w:eastAsia="仿宋"/>
          <w:sz w:val="32"/>
          <w:szCs w:val="32"/>
        </w:rPr>
        <w:t>2020年2月5日，本局执法人员在冠状肺炎疫情防控期间对价格行为进行监督检查，发现位于岳阳市南湖新区</w:t>
      </w:r>
      <w:r>
        <w:rPr>
          <w:rFonts w:hint="eastAsia" w:ascii="仿宋" w:hAnsi="仿宋" w:eastAsia="仿宋" w:cs="仿宋"/>
          <w:color w:val="000000"/>
          <w:sz w:val="32"/>
          <w:szCs w:val="32"/>
        </w:rPr>
        <w:t>湖滨街道湖滨社区新村路</w:t>
      </w:r>
      <w:r>
        <w:rPr>
          <w:rFonts w:hint="eastAsia" w:ascii="仿宋" w:hAnsi="仿宋" w:eastAsia="仿宋" w:cs="仿宋"/>
          <w:sz w:val="32"/>
          <w:szCs w:val="32"/>
        </w:rPr>
        <w:t>***</w:t>
      </w:r>
      <w:r>
        <w:rPr>
          <w:rFonts w:hint="eastAsia" w:ascii="仿宋" w:hAnsi="仿宋" w:eastAsia="仿宋" w:cs="仿宋"/>
          <w:color w:val="000000"/>
          <w:sz w:val="32"/>
          <w:szCs w:val="32"/>
        </w:rPr>
        <w:t>号</w:t>
      </w:r>
      <w:r>
        <w:rPr>
          <w:rFonts w:hint="eastAsia" w:ascii="仿宋" w:hAnsi="仿宋" w:eastAsia="仿宋"/>
          <w:sz w:val="32"/>
          <w:szCs w:val="32"/>
        </w:rPr>
        <w:t>的湖滨社区卫生服务站对外提供诊疗服务，未注明服务的项目、收费标准等有关情况,当事人行为涉嫌违反《中华人民共和国价格法》第十三条第一款的规定，我局执法人员遂对当事人经营场所进行检查、记录、拍照，并于同日请示局领导批准立案调查。2020年2月7日，我局执法人员对当事人法定代表人龚双龙进行了询问调查。案件调查中未对当事人采取行政强制措施。</w:t>
      </w:r>
    </w:p>
    <w:p>
      <w:pPr>
        <w:ind w:firstLine="640" w:firstLineChars="200"/>
        <w:rPr>
          <w:rFonts w:ascii="仿宋" w:hAnsi="仿宋" w:eastAsia="仿宋"/>
          <w:sz w:val="32"/>
          <w:szCs w:val="32"/>
        </w:rPr>
      </w:pPr>
      <w:r>
        <w:rPr>
          <w:rFonts w:hint="eastAsia" w:ascii="仿宋" w:hAnsi="仿宋" w:eastAsia="仿宋" w:cs="仿宋"/>
          <w:sz w:val="32"/>
          <w:szCs w:val="32"/>
        </w:rPr>
        <w:t>经查，</w:t>
      </w:r>
      <w:r>
        <w:rPr>
          <w:rFonts w:hint="eastAsia" w:ascii="仿宋" w:hAnsi="仿宋" w:eastAsia="仿宋"/>
          <w:sz w:val="32"/>
          <w:szCs w:val="32"/>
        </w:rPr>
        <w:t>当事人于2020年1月1日起对外提供诊疗服务实行新的收费标准，在其经营场所内未明码标价，未注明服务的项目、收费标准等有关情况，期间从中获取利润630元。</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上述事实，主要有以下证据证明：</w:t>
      </w:r>
    </w:p>
    <w:p>
      <w:pPr>
        <w:ind w:firstLine="640" w:firstLineChars="200"/>
        <w:rPr>
          <w:rFonts w:ascii="仿宋" w:hAnsi="仿宋" w:eastAsia="仿宋"/>
          <w:sz w:val="32"/>
          <w:szCs w:val="32"/>
        </w:rPr>
      </w:pPr>
      <w:r>
        <w:rPr>
          <w:rFonts w:hint="eastAsia" w:ascii="仿宋" w:hAnsi="仿宋" w:eastAsia="仿宋"/>
          <w:sz w:val="32"/>
          <w:szCs w:val="32"/>
        </w:rPr>
        <w:t>1、当事人的身份证复印件及其医疗机构执业许可证复印件各1份，证明当事人的身份情况及承担责任的身份；</w:t>
      </w:r>
    </w:p>
    <w:p>
      <w:pPr>
        <w:ind w:firstLine="640" w:firstLineChars="200"/>
        <w:rPr>
          <w:rFonts w:ascii="仿宋" w:hAnsi="仿宋" w:eastAsia="仿宋"/>
          <w:sz w:val="32"/>
          <w:szCs w:val="32"/>
        </w:rPr>
      </w:pPr>
      <w:r>
        <w:rPr>
          <w:rFonts w:hint="eastAsia" w:ascii="仿宋" w:hAnsi="仿宋" w:eastAsia="仿宋"/>
          <w:sz w:val="32"/>
          <w:szCs w:val="32"/>
        </w:rPr>
        <w:t xml:space="preserve"> 2、现场检查笔录1份，证明当事人有</w:t>
      </w:r>
      <w:r>
        <w:rPr>
          <w:rFonts w:hint="eastAsia" w:ascii="仿宋" w:hAnsi="仿宋" w:eastAsia="仿宋" w:cs="仿宋"/>
          <w:color w:val="000000"/>
          <w:sz w:val="32"/>
          <w:szCs w:val="32"/>
        </w:rPr>
        <w:t>未按规定明码标价提供诊疗服务</w:t>
      </w:r>
      <w:r>
        <w:rPr>
          <w:rFonts w:hint="eastAsia" w:ascii="仿宋" w:hAnsi="仿宋" w:eastAsia="仿宋"/>
          <w:sz w:val="32"/>
          <w:szCs w:val="32"/>
        </w:rPr>
        <w:t>的事实。</w:t>
      </w:r>
    </w:p>
    <w:p>
      <w:pPr>
        <w:ind w:firstLine="640" w:firstLineChars="200"/>
        <w:rPr>
          <w:rFonts w:ascii="仿宋" w:hAnsi="仿宋" w:eastAsia="仿宋"/>
          <w:sz w:val="32"/>
          <w:szCs w:val="32"/>
        </w:rPr>
      </w:pPr>
      <w:r>
        <w:rPr>
          <w:rFonts w:hint="eastAsia" w:ascii="仿宋" w:hAnsi="仿宋" w:eastAsia="仿宋"/>
          <w:sz w:val="32"/>
          <w:szCs w:val="32"/>
        </w:rPr>
        <w:t>3、</w:t>
      </w:r>
      <w:r>
        <w:rPr>
          <w:rFonts w:hint="eastAsia" w:ascii="仿宋" w:hAnsi="仿宋" w:eastAsia="仿宋" w:cs="仿宋"/>
          <w:sz w:val="32"/>
          <w:szCs w:val="32"/>
        </w:rPr>
        <w:t>照片打印资料1张，证明当事人有</w:t>
      </w:r>
      <w:r>
        <w:rPr>
          <w:rFonts w:hint="eastAsia" w:ascii="仿宋" w:hAnsi="仿宋" w:eastAsia="仿宋" w:cs="仿宋"/>
          <w:color w:val="000000"/>
          <w:sz w:val="32"/>
          <w:szCs w:val="32"/>
        </w:rPr>
        <w:t>未按规定明码标价提供诊疗服务</w:t>
      </w:r>
      <w:r>
        <w:rPr>
          <w:rFonts w:hint="eastAsia" w:ascii="仿宋" w:hAnsi="仿宋" w:eastAsia="仿宋" w:cs="仿宋"/>
          <w:sz w:val="32"/>
          <w:szCs w:val="32"/>
        </w:rPr>
        <w:t>的事实存在</w:t>
      </w:r>
      <w:r>
        <w:rPr>
          <w:rFonts w:hint="eastAsia" w:ascii="仿宋" w:hAnsi="仿宋" w:eastAsia="仿宋"/>
          <w:sz w:val="32"/>
          <w:szCs w:val="32"/>
        </w:rPr>
        <w:t>；</w:t>
      </w:r>
    </w:p>
    <w:p>
      <w:pPr>
        <w:spacing w:line="520" w:lineRule="exact"/>
        <w:ind w:firstLine="640" w:firstLineChars="200"/>
        <w:rPr>
          <w:rFonts w:ascii="仿宋" w:hAnsi="仿宋" w:eastAsia="仿宋"/>
          <w:sz w:val="32"/>
          <w:szCs w:val="32"/>
        </w:rPr>
      </w:pPr>
      <w:r>
        <w:rPr>
          <w:rFonts w:hint="eastAsia" w:ascii="仿宋" w:hAnsi="仿宋" w:eastAsia="仿宋" w:cs="仿宋"/>
          <w:sz w:val="32"/>
          <w:szCs w:val="32"/>
        </w:rPr>
        <w:t>4.</w:t>
      </w:r>
      <w:r>
        <w:rPr>
          <w:rFonts w:hint="eastAsia" w:ascii="仿宋" w:hAnsi="仿宋" w:eastAsia="仿宋"/>
          <w:sz w:val="32"/>
          <w:szCs w:val="32"/>
        </w:rPr>
        <w:t xml:space="preserve"> 询问笔录1份，证明当事人有</w:t>
      </w:r>
      <w:r>
        <w:rPr>
          <w:rFonts w:hint="eastAsia" w:ascii="仿宋" w:hAnsi="仿宋" w:eastAsia="仿宋" w:cs="仿宋"/>
          <w:color w:val="000000"/>
          <w:sz w:val="32"/>
          <w:szCs w:val="32"/>
        </w:rPr>
        <w:t>未按规定明码标价提供诊疗服务</w:t>
      </w:r>
      <w:r>
        <w:rPr>
          <w:rFonts w:hint="eastAsia" w:ascii="仿宋" w:hAnsi="仿宋" w:eastAsia="仿宋"/>
          <w:sz w:val="32"/>
          <w:szCs w:val="32"/>
        </w:rPr>
        <w:t>的行为；</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5、当事人出具的《情况说明》1份，证明当事人获取利润情况</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hint="eastAsia" w:ascii="仿宋" w:hAnsi="仿宋" w:eastAsia="仿宋" w:cs="仿宋"/>
          <w:sz w:val="32"/>
          <w:szCs w:val="32"/>
        </w:rPr>
        <w:t>以上证据由本局执法人员依法调查取得，符合法律、法规、规章等关于证据的规定，已查证属实，并经当事人发表意见，无异议，可以作为认定事实的依据。</w:t>
      </w:r>
    </w:p>
    <w:p>
      <w:pPr>
        <w:ind w:firstLine="640" w:firstLineChars="200"/>
        <w:rPr>
          <w:rFonts w:ascii="仿宋" w:hAnsi="仿宋" w:eastAsia="仿宋" w:cs="仿宋"/>
          <w:sz w:val="32"/>
          <w:szCs w:val="32"/>
        </w:rPr>
      </w:pPr>
      <w:r>
        <w:rPr>
          <w:rFonts w:hint="eastAsia" w:ascii="仿宋" w:hAnsi="仿宋" w:eastAsia="仿宋" w:cs="仿宋_GB2312"/>
          <w:sz w:val="32"/>
          <w:szCs w:val="32"/>
        </w:rPr>
        <w:t>本局于2020年4月23日对当事人送达了岳市监南听告字（2020）24号《行政处罚听证告知书》，当事人在法定期限内未提出陈述和申辩意见，对上述证据也未提出异议，也没有提出听证要求</w:t>
      </w:r>
      <w:r>
        <w:rPr>
          <w:rFonts w:hint="eastAsia" w:ascii="仿宋" w:hAnsi="仿宋" w:eastAsia="仿宋" w:cs="仿宋"/>
          <w:sz w:val="32"/>
          <w:szCs w:val="32"/>
        </w:rPr>
        <w:t xml:space="preserve">。                                 </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本局认为：</w:t>
      </w:r>
      <w:r>
        <w:rPr>
          <w:rFonts w:hint="eastAsia" w:ascii="仿宋" w:hAnsi="仿宋" w:eastAsia="仿宋"/>
          <w:sz w:val="32"/>
          <w:szCs w:val="32"/>
        </w:rPr>
        <w:t>当事人未按规定明码标价提供诊疗服务,违反了《中华人民共和国价格法》第十三条第一款“经营者销售、收购商品和提供服务，应当按照政府价格主管部门的规定明码标价，注明商品的品名、产地、规格、等级、计价单位、价格或者服务的项目、收费标准等有关情况”之规定。属于</w:t>
      </w:r>
      <w:r>
        <w:rPr>
          <w:rFonts w:hint="eastAsia" w:ascii="仿宋" w:hAnsi="仿宋" w:eastAsia="仿宋" w:cs="仿宋"/>
          <w:color w:val="000000"/>
          <w:sz w:val="32"/>
          <w:szCs w:val="32"/>
        </w:rPr>
        <w:t>未按规定明码标价提供诊疗服务</w:t>
      </w:r>
      <w:r>
        <w:rPr>
          <w:rFonts w:hint="eastAsia" w:ascii="仿宋" w:hAnsi="仿宋" w:eastAsia="仿宋"/>
          <w:sz w:val="32"/>
          <w:szCs w:val="32"/>
        </w:rPr>
        <w:t>的违法行为。</w:t>
      </w:r>
    </w:p>
    <w:p>
      <w:pPr>
        <w:ind w:firstLine="640" w:firstLineChars="200"/>
        <w:rPr>
          <w:rFonts w:ascii="仿宋" w:hAnsi="仿宋" w:eastAsia="仿宋"/>
          <w:sz w:val="32"/>
          <w:szCs w:val="32"/>
        </w:rPr>
      </w:pPr>
      <w:r>
        <w:rPr>
          <w:rFonts w:hint="eastAsia" w:ascii="仿宋" w:hAnsi="仿宋" w:eastAsia="仿宋" w:cs="仿宋"/>
          <w:color w:val="000000" w:themeColor="text1"/>
          <w:sz w:val="32"/>
          <w:szCs w:val="32"/>
          <w14:textFill>
            <w14:solidFill>
              <w14:schemeClr w14:val="tx1"/>
            </w14:solidFill>
          </w14:textFill>
        </w:rPr>
        <w:t>鉴于目前全国处于新型冠状病毒肺炎疫情期间，依据《</w:t>
      </w:r>
      <w:r>
        <w:rPr>
          <w:rFonts w:ascii="仿宋" w:hAnsi="仿宋" w:eastAsia="仿宋"/>
          <w:color w:val="000000" w:themeColor="text1"/>
          <w:sz w:val="32"/>
          <w:szCs w:val="32"/>
          <w14:textFill>
            <w14:solidFill>
              <w14:schemeClr w14:val="tx1"/>
            </w14:solidFill>
          </w14:textFill>
        </w:rPr>
        <w:t>市场监管总局关于规范市场监督管理行政处罚裁量权的指导意见</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shd w:val="clear" w:color="auto" w:fill="FFFFFF"/>
          <w14:textFill>
            <w14:solidFill>
              <w14:schemeClr w14:val="tx1"/>
            </w14:solidFill>
          </w14:textFill>
        </w:rPr>
        <w:t>在发生自然灾害、事故灾难、公共卫生或者社会安全事件期间实施违法行为的，可以依法从重行政处罚。</w:t>
      </w:r>
      <w:r>
        <w:rPr>
          <w:rFonts w:hint="eastAsia" w:ascii="仿宋" w:hAnsi="仿宋" w:eastAsia="仿宋" w:cs="仿宋"/>
          <w:color w:val="000000" w:themeColor="text1"/>
          <w:sz w:val="32"/>
          <w:szCs w:val="32"/>
          <w14:textFill>
            <w14:solidFill>
              <w14:schemeClr w14:val="tx1"/>
            </w14:solidFill>
          </w14:textFill>
        </w:rPr>
        <w:t>”的规定，有可以给予当事人从重程度的行政处罚的情节。</w:t>
      </w:r>
      <w:r>
        <w:rPr>
          <w:rFonts w:hint="eastAsia" w:ascii="仿宋" w:hAnsi="仿宋" w:eastAsia="MS Mincho" w:cs="MS Mincho"/>
          <w:sz w:val="32"/>
          <w:szCs w:val="32"/>
        </w:rPr>
        <w:t> </w:t>
      </w:r>
      <w:r>
        <w:rPr>
          <w:rFonts w:hint="eastAsia" w:ascii="仿宋" w:hAnsi="仿宋" w:eastAsia="仿宋"/>
          <w:sz w:val="32"/>
          <w:szCs w:val="32"/>
        </w:rPr>
        <w:t xml:space="preserve"> </w:t>
      </w:r>
    </w:p>
    <w:p>
      <w:pPr>
        <w:widowControl/>
        <w:spacing w:line="480" w:lineRule="auto"/>
        <w:ind w:firstLine="640" w:firstLineChars="200"/>
        <w:rPr>
          <w:rFonts w:ascii="仿宋" w:hAnsi="仿宋" w:eastAsia="仿宋"/>
          <w:sz w:val="32"/>
          <w:szCs w:val="32"/>
        </w:rPr>
      </w:pPr>
      <w:r>
        <w:rPr>
          <w:rFonts w:hint="eastAsia" w:ascii="仿宋" w:hAnsi="仿宋" w:eastAsia="仿宋" w:cs="仿宋"/>
          <w:sz w:val="32"/>
          <w:szCs w:val="32"/>
        </w:rPr>
        <w:t>依据《中华人民共和国行政处罚法》第二十三条“行政机关实施行政处罚时，应当责令当事人改正或者限期改正违法行为”和</w:t>
      </w:r>
      <w:r>
        <w:rPr>
          <w:rFonts w:hint="eastAsia" w:ascii="仿宋" w:hAnsi="仿宋" w:eastAsia="仿宋"/>
          <w:sz w:val="32"/>
          <w:szCs w:val="32"/>
        </w:rPr>
        <w:t>《中华人民共和国价格法》第四十二条“经营者违反明码标价规定的，责令改正，没收违法所得，可以并处五千元以下的罚款”之规定，</w:t>
      </w:r>
      <w:r>
        <w:rPr>
          <w:rFonts w:hint="eastAsia" w:ascii="仿宋" w:hAnsi="仿宋" w:eastAsia="仿宋" w:cs="仿宋"/>
          <w:color w:val="000000" w:themeColor="text1"/>
          <w:sz w:val="32"/>
          <w:szCs w:val="32"/>
          <w:shd w:val="clear" w:color="auto" w:fill="FFFFFF"/>
          <w14:textFill>
            <w14:solidFill>
              <w14:schemeClr w14:val="tx1"/>
            </w14:solidFill>
          </w14:textFill>
        </w:rPr>
        <w:t>按照</w:t>
      </w:r>
      <w:r>
        <w:rPr>
          <w:rFonts w:hint="eastAsia" w:ascii="仿宋" w:hAnsi="仿宋" w:eastAsia="仿宋" w:cs="仿宋"/>
          <w:bCs/>
          <w:color w:val="000000" w:themeColor="text1"/>
          <w:sz w:val="32"/>
          <w:szCs w:val="32"/>
          <w14:textFill>
            <w14:solidFill>
              <w14:schemeClr w14:val="tx1"/>
            </w14:solidFill>
          </w14:textFill>
        </w:rPr>
        <w:t>《</w:t>
      </w:r>
      <w:r>
        <w:rPr>
          <w:rFonts w:ascii="仿宋" w:hAnsi="仿宋" w:eastAsia="仿宋"/>
          <w:color w:val="000000" w:themeColor="text1"/>
          <w:sz w:val="32"/>
          <w:szCs w:val="32"/>
          <w14:textFill>
            <w14:solidFill>
              <w14:schemeClr w14:val="tx1"/>
            </w14:solidFill>
          </w14:textFill>
        </w:rPr>
        <w:t>市场监管总局关于规范市场监督管理行政处罚裁量权的指导意见</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shd w:val="clear" w:color="auto" w:fill="FFFFFF"/>
          <w14:textFill>
            <w14:solidFill>
              <w14:schemeClr w14:val="tx1"/>
            </w14:solidFill>
          </w14:textFill>
        </w:rPr>
        <w:t>在发生自然灾害、事故灾难、公共卫生或者社会安全事件期间实施违法行为的，可以依法从重行政处罚</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sz w:val="32"/>
          <w:szCs w:val="32"/>
        </w:rPr>
        <w:t>之规定</w:t>
      </w:r>
      <w:r>
        <w:rPr>
          <w:rFonts w:hint="eastAsia" w:ascii="仿宋" w:hAnsi="仿宋" w:eastAsia="仿宋"/>
          <w:sz w:val="32"/>
          <w:szCs w:val="32"/>
        </w:rPr>
        <w:t>，</w:t>
      </w:r>
      <w:r>
        <w:rPr>
          <w:rFonts w:hint="eastAsia" w:ascii="仿宋" w:hAnsi="仿宋" w:eastAsia="仿宋" w:cs="仿宋"/>
          <w:color w:val="000000" w:themeColor="text1"/>
          <w:sz w:val="32"/>
          <w:szCs w:val="32"/>
          <w14:textFill>
            <w14:solidFill>
              <w14:schemeClr w14:val="tx1"/>
            </w14:solidFill>
          </w14:textFill>
        </w:rPr>
        <w:t>本局决定给予当事人</w:t>
      </w:r>
      <w:r>
        <w:rPr>
          <w:rFonts w:hint="eastAsia" w:ascii="仿宋" w:hAnsi="仿宋" w:eastAsia="仿宋"/>
          <w:sz w:val="32"/>
          <w:szCs w:val="32"/>
        </w:rPr>
        <w:t>从重</w:t>
      </w:r>
      <w:r>
        <w:rPr>
          <w:rFonts w:hint="eastAsia" w:ascii="仿宋" w:hAnsi="仿宋" w:eastAsia="仿宋" w:cs="仿宋"/>
          <w:color w:val="000000" w:themeColor="text1"/>
          <w:sz w:val="32"/>
          <w:szCs w:val="32"/>
          <w14:textFill>
            <w14:solidFill>
              <w14:schemeClr w14:val="tx1"/>
            </w14:solidFill>
          </w14:textFill>
        </w:rPr>
        <w:t>程度的行政处罚，</w:t>
      </w:r>
      <w:r>
        <w:rPr>
          <w:rFonts w:hint="eastAsia" w:ascii="仿宋" w:hAnsi="仿宋" w:eastAsia="仿宋"/>
          <w:sz w:val="32"/>
          <w:szCs w:val="32"/>
        </w:rPr>
        <w:t>责令当事人改正</w:t>
      </w:r>
      <w:r>
        <w:rPr>
          <w:rFonts w:hint="eastAsia" w:ascii="仿宋" w:hAnsi="仿宋" w:eastAsia="仿宋" w:cs="仿宋"/>
          <w:sz w:val="32"/>
          <w:szCs w:val="32"/>
        </w:rPr>
        <w:t>违法行为</w:t>
      </w:r>
      <w:r>
        <w:rPr>
          <w:rFonts w:hint="eastAsia" w:ascii="仿宋" w:hAnsi="仿宋" w:eastAsia="仿宋"/>
          <w:sz w:val="32"/>
          <w:szCs w:val="32"/>
        </w:rPr>
        <w:t>，并</w:t>
      </w:r>
      <w:r>
        <w:rPr>
          <w:rFonts w:hint="eastAsia" w:ascii="仿宋" w:hAnsi="仿宋" w:eastAsia="仿宋" w:cs="仿宋"/>
          <w:sz w:val="32"/>
          <w:szCs w:val="32"/>
        </w:rPr>
        <w:t>对当事人</w:t>
      </w:r>
      <w:r>
        <w:rPr>
          <w:rFonts w:hint="eastAsia" w:ascii="仿宋" w:hAnsi="仿宋" w:eastAsia="仿宋"/>
          <w:sz w:val="32"/>
          <w:szCs w:val="32"/>
        </w:rPr>
        <w:t>做出如下处罚：</w:t>
      </w:r>
    </w:p>
    <w:p>
      <w:pPr>
        <w:ind w:firstLine="640" w:firstLineChars="200"/>
        <w:rPr>
          <w:rFonts w:ascii="仿宋" w:hAnsi="仿宋" w:eastAsia="仿宋"/>
          <w:sz w:val="32"/>
          <w:szCs w:val="32"/>
        </w:rPr>
      </w:pPr>
      <w:r>
        <w:rPr>
          <w:rFonts w:hint="eastAsia" w:ascii="仿宋" w:hAnsi="仿宋" w:eastAsia="仿宋"/>
          <w:sz w:val="32"/>
          <w:szCs w:val="32"/>
        </w:rPr>
        <w:t>1、没收违法所得630元：</w:t>
      </w:r>
    </w:p>
    <w:p>
      <w:pPr>
        <w:ind w:firstLine="640" w:firstLineChars="200"/>
        <w:rPr>
          <w:rFonts w:ascii="仿宋" w:hAnsi="仿宋" w:eastAsia="仿宋"/>
          <w:sz w:val="32"/>
          <w:szCs w:val="32"/>
        </w:rPr>
      </w:pPr>
      <w:r>
        <w:rPr>
          <w:rFonts w:hint="eastAsia" w:ascii="仿宋" w:hAnsi="仿宋" w:eastAsia="仿宋"/>
          <w:sz w:val="32"/>
          <w:szCs w:val="32"/>
        </w:rPr>
        <w:t>2、处罚款人民币3370元。</w:t>
      </w:r>
    </w:p>
    <w:p>
      <w:pPr>
        <w:ind w:firstLine="640" w:firstLineChars="200"/>
        <w:rPr>
          <w:rFonts w:ascii="仿宋" w:hAnsi="仿宋" w:eastAsia="仿宋"/>
          <w:sz w:val="32"/>
          <w:szCs w:val="32"/>
        </w:rPr>
      </w:pPr>
      <w:r>
        <w:rPr>
          <w:rFonts w:hint="eastAsia" w:ascii="仿宋" w:hAnsi="仿宋" w:eastAsia="仿宋"/>
          <w:sz w:val="32"/>
          <w:szCs w:val="32"/>
        </w:rPr>
        <w:t>以上罚没金额合计人民币4000元，上缴国库。</w:t>
      </w:r>
      <w:r>
        <w:rPr>
          <w:rFonts w:hint="eastAsia" w:ascii="仿宋" w:hAnsi="仿宋" w:eastAsia="仿宋" w:cs="仿宋"/>
          <w:bCs/>
          <w:sz w:val="32"/>
          <w:szCs w:val="32"/>
        </w:rPr>
        <w:t xml:space="preserve">                                  </w:t>
      </w:r>
    </w:p>
    <w:p>
      <w:pPr>
        <w:spacing w:line="276" w:lineRule="auto"/>
        <w:ind w:firstLine="640" w:firstLineChars="200"/>
        <w:rPr>
          <w:rFonts w:ascii="仿宋" w:hAnsi="仿宋" w:eastAsia="仿宋" w:cs="仿宋"/>
          <w:bCs/>
          <w:color w:val="000000"/>
          <w:sz w:val="32"/>
          <w:szCs w:val="32"/>
        </w:rPr>
      </w:pPr>
      <w:r>
        <w:rPr>
          <w:rFonts w:hint="eastAsia" w:ascii="仿宋" w:hAnsi="仿宋" w:eastAsia="仿宋" w:cs="仿宋"/>
          <w:bCs/>
          <w:sz w:val="32"/>
          <w:szCs w:val="32"/>
        </w:rPr>
        <w:t>当事人应在收到本处罚决定书之日起十五日内，到本局财务室开具一般缴款书，持一般缴款书到所指定的银行缴清上述罚款。（户名：岳阳市财政局非税收入汇缴结算户；账号：4366007100181600</w:t>
      </w:r>
      <w:r>
        <w:rPr>
          <w:rFonts w:hint="eastAsia" w:ascii="仿宋" w:hAnsi="仿宋" w:eastAsia="仿宋" w:cs="仿宋"/>
          <w:sz w:val="32"/>
          <w:szCs w:val="32"/>
        </w:rPr>
        <w:t>*****</w:t>
      </w:r>
      <w:bookmarkStart w:id="0" w:name="_GoBack"/>
      <w:bookmarkEnd w:id="0"/>
      <w:r>
        <w:rPr>
          <w:rFonts w:hint="eastAsia" w:ascii="仿宋" w:hAnsi="仿宋" w:eastAsia="仿宋" w:cs="仿宋"/>
          <w:bCs/>
          <w:sz w:val="32"/>
          <w:szCs w:val="32"/>
        </w:rPr>
        <w:t xml:space="preserve">，开户行：岳阳市交通银行府东支行）。本局财务室地址：岳阳市青年中路72号岳阳市场监督管理局南湖分局三楼307室，电话：0730—8802611。逾期不缴纳，每日按罚款数额的百分之三、违法所得的千分之二加处罚款。并申请人民法院强制执行。                  </w:t>
      </w:r>
      <w:r>
        <w:rPr>
          <w:rFonts w:hint="eastAsia" w:ascii="仿宋" w:hAnsi="仿宋" w:eastAsia="仿宋" w:cs="仿宋"/>
          <w:color w:val="000000"/>
          <w:sz w:val="32"/>
          <w:szCs w:val="32"/>
        </w:rPr>
        <w:t xml:space="preserve">      </w:t>
      </w:r>
    </w:p>
    <w:p>
      <w:pPr>
        <w:ind w:firstLine="640" w:firstLineChars="200"/>
        <w:rPr>
          <w:rFonts w:ascii="仿宋" w:hAnsi="仿宋" w:eastAsia="仿宋" w:cs="仿宋"/>
          <w:bCs/>
          <w:sz w:val="32"/>
          <w:szCs w:val="32"/>
        </w:rPr>
      </w:pPr>
      <w:r>
        <w:rPr>
          <w:rFonts w:hint="eastAsia" w:ascii="仿宋" w:hAnsi="仿宋" w:eastAsia="仿宋" w:cs="仿宋"/>
          <w:bCs/>
          <w:sz w:val="32"/>
          <w:szCs w:val="32"/>
        </w:rPr>
        <w:t>当事人如不服本处罚决定，可 在收到本处罚决定之日起六十日内向湖南省市场监督管理局或岳阳市人民政府申请复议，并将复议书副本抄送本局一份，对行政复议决定不服的，可以依法向岳阳市君山区人民法院提起诉讼。行政复议或行政诉讼期间不停止本处罚决定的执行。</w:t>
      </w:r>
      <w:r>
        <w:rPr>
          <w:rFonts w:hint="eastAsia" w:ascii="仿宋" w:hAnsi="仿宋" w:eastAsia="仿宋" w:cs="仿宋"/>
          <w:bCs/>
          <w:color w:val="000000"/>
          <w:sz w:val="32"/>
          <w:szCs w:val="32"/>
        </w:rPr>
        <w:t xml:space="preserve">                               </w:t>
      </w:r>
    </w:p>
    <w:p>
      <w:pPr>
        <w:spacing w:line="500" w:lineRule="exact"/>
        <w:ind w:firstLine="4800" w:firstLineChars="1500"/>
        <w:rPr>
          <w:rFonts w:ascii="仿宋" w:hAnsi="仿宋" w:eastAsia="仿宋" w:cs="仿宋"/>
          <w:color w:val="000000"/>
          <w:sz w:val="32"/>
          <w:szCs w:val="32"/>
        </w:rPr>
      </w:pPr>
      <w:r>
        <w:rPr>
          <w:rFonts w:hint="eastAsia" w:ascii="仿宋" w:hAnsi="仿宋" w:eastAsia="仿宋" w:cs="仿宋"/>
          <w:bCs/>
          <w:sz w:val="32"/>
          <w:szCs w:val="32"/>
        </w:rPr>
        <w:t>岳阳市市场监督管理局</w:t>
      </w:r>
    </w:p>
    <w:p>
      <w:pPr>
        <w:snapToGrid w:val="0"/>
        <w:spacing w:line="500" w:lineRule="exact"/>
        <w:ind w:right="160" w:firstLine="6080" w:firstLineChars="1900"/>
        <w:jc w:val="left"/>
        <w:rPr>
          <w:rFonts w:ascii="仿宋" w:hAnsi="仿宋" w:eastAsia="仿宋" w:cs="仿宋"/>
          <w:color w:val="000000"/>
          <w:sz w:val="32"/>
          <w:szCs w:val="32"/>
        </w:rPr>
      </w:pPr>
      <w:r>
        <w:rPr>
          <w:rFonts w:hint="eastAsia" w:ascii="仿宋" w:hAnsi="仿宋" w:eastAsia="仿宋" w:cs="仿宋"/>
          <w:color w:val="000000"/>
          <w:sz w:val="32"/>
          <w:szCs w:val="32"/>
        </w:rPr>
        <w:t xml:space="preserve">（印 章）                        </w:t>
      </w:r>
    </w:p>
    <w:p>
      <w:pPr>
        <w:wordWrap w:val="0"/>
        <w:snapToGrid w:val="0"/>
        <w:spacing w:line="520" w:lineRule="exact"/>
        <w:ind w:firstLine="5760" w:firstLineChars="1800"/>
        <w:rPr>
          <w:rFonts w:ascii="Times New Roman" w:hAnsi="Times New Roman" w:eastAsia="仿宋_GB2312" w:cs="仿宋"/>
          <w:b/>
          <w:bCs/>
          <w:color w:val="000000"/>
          <w:sz w:val="32"/>
          <w:szCs w:val="32"/>
        </w:rPr>
      </w:pPr>
      <w:r>
        <w:rPr>
          <w:rFonts w:hint="eastAsia" w:ascii="仿宋" w:hAnsi="仿宋" w:eastAsia="仿宋" w:cs="仿宋"/>
          <w:color w:val="000000"/>
          <w:sz w:val="32"/>
          <w:szCs w:val="32"/>
        </w:rPr>
        <w:t>2020年4月27日</w:t>
      </w: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pPr>
      <w:r>
        <w:rPr>
          <w:rFonts w:hint="eastAsia" w:ascii="Times New Roman" w:hAnsi="Times New Roman" w:eastAsia="仿宋_GB2312" w:cs="仿宋"/>
          <w:b/>
          <w:bCs/>
          <w:color w:val="000000"/>
          <w:sz w:val="32"/>
          <w:szCs w:val="32"/>
        </w:rPr>
        <w:t>（本行政处罚决定信息将依法向社会进行公示）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eastAsia="仿宋_GB2312"/>
      </w:rPr>
    </w:pPr>
    <w:r>
      <w:rPr>
        <w:sz w:val="32"/>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KOosW2gEAAJk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L7/OR1wAAAAoBAAAPAAAAAAAA&#10;AAEAIAAAACIAAABkcnMvZG93bnJldi54bWxQSwECFAAUAAAACACHTuJAyjqLFtoBAACZAwAADgAA&#10;AAAAAAABACAAAAAmAQAAZHJzL2Uyb0RvYy54bWxQSwUGAAAAAAYABgBZAQAAcg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本文书一式三份，一份送达，一份归档，一份承办机构留存</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1364E5"/>
    <w:rsid w:val="00133467"/>
    <w:rsid w:val="001C502B"/>
    <w:rsid w:val="002454E2"/>
    <w:rsid w:val="00272DF2"/>
    <w:rsid w:val="003C18FF"/>
    <w:rsid w:val="00466A91"/>
    <w:rsid w:val="006E768A"/>
    <w:rsid w:val="00BA1B68"/>
    <w:rsid w:val="00BB1D7C"/>
    <w:rsid w:val="00C540AE"/>
    <w:rsid w:val="00E6461F"/>
    <w:rsid w:val="00F977FD"/>
    <w:rsid w:val="07E975C3"/>
    <w:rsid w:val="0AD84795"/>
    <w:rsid w:val="0B8B1D88"/>
    <w:rsid w:val="1EDD2636"/>
    <w:rsid w:val="1F6677FB"/>
    <w:rsid w:val="281A0A92"/>
    <w:rsid w:val="2BB93430"/>
    <w:rsid w:val="2C5C4B5C"/>
    <w:rsid w:val="384E378A"/>
    <w:rsid w:val="4B0357AF"/>
    <w:rsid w:val="52711683"/>
    <w:rsid w:val="54AD6163"/>
    <w:rsid w:val="5DE167AF"/>
    <w:rsid w:val="5E1364E5"/>
    <w:rsid w:val="5EF868E1"/>
    <w:rsid w:val="63611583"/>
    <w:rsid w:val="67391C9A"/>
    <w:rsid w:val="69727BD0"/>
    <w:rsid w:val="69FC03C7"/>
    <w:rsid w:val="6EF15D3A"/>
    <w:rsid w:val="767F1C47"/>
    <w:rsid w:val="7A50482A"/>
    <w:rsid w:val="7AED622E"/>
    <w:rsid w:val="7E2D4C3F"/>
    <w:rsid w:val="7F3B7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Calibri" w:hAnsi="Calibri"/>
      <w:kern w:val="2"/>
      <w:sz w:val="18"/>
      <w:szCs w:val="18"/>
    </w:rPr>
  </w:style>
  <w:style w:type="character" w:customStyle="1" w:styleId="7">
    <w:name w:val="页脚 字符"/>
    <w:basedOn w:val="5"/>
    <w:link w:val="2"/>
    <w:qFormat/>
    <w:uiPriority w:val="0"/>
    <w:rPr>
      <w:rFonts w:ascii="Calibri" w:hAnsi="Calibri"/>
      <w:kern w:val="2"/>
      <w:sz w:val="18"/>
      <w:szCs w:val="18"/>
    </w:rPr>
  </w:style>
  <w:style w:type="paragraph" w:customStyle="1" w:styleId="8">
    <w:name w:val="正文文本缩进 21"/>
    <w:basedOn w:val="1"/>
    <w:qFormat/>
    <w:uiPriority w:val="0"/>
    <w:pPr>
      <w:adjustRightInd w:val="0"/>
      <w:spacing w:after="120" w:line="480" w:lineRule="auto"/>
      <w:ind w:left="420"/>
      <w:textAlignment w:val="baseline"/>
    </w:pPr>
    <w:rPr>
      <w:rFonts w:ascii="Times New Roman" w:hAnsi="Times New Roman" w:eastAsia="Times New Roman"/>
      <w:kern w:val="0"/>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324</Words>
  <Characters>1853</Characters>
  <Lines>15</Lines>
  <Paragraphs>4</Paragraphs>
  <TotalTime>0</TotalTime>
  <ScaleCrop>false</ScaleCrop>
  <LinksUpToDate>false</LinksUpToDate>
  <CharactersWithSpaces>2173</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2019-11-20T02:38:00Z</dcterms:created>
  <dc:creator>Administrator</dc:creator>
  <cp:lastModifiedBy>Administrator</cp:lastModifiedBy>
  <cp:lastPrinted>2020-04-27T03:30:00Z</cp:lastPrinted>
  <dcterms:modified xsi:type="dcterms:W3CDTF">2020-09-21T01:48:17Z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