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附件二</w:t>
      </w:r>
    </w:p>
    <w:p>
      <w:pPr>
        <w:spacing w:before="156" w:beforeLines="50" w:after="156" w:afterLines="50"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58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2、个体工商户年报登录。通过备案手机号/经营者身份证号登录，请确保备案手机号/经营者身份证号无误。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3、CA证书登录。请联系湖南省数字认证服务中心公司办理证书申请及有效期延期（联系电话：400-6682666）。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58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spacing w:line="600" w:lineRule="exact"/>
        <w:ind w:left="638" w:leftChars="304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F53684F"/>
    <w:rsid w:val="26590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FD8CA-B1AA-46C5-9478-C51602B5D7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0</TotalTime>
  <ScaleCrop>false</ScaleCrop>
  <LinksUpToDate>false</LinksUpToDate>
  <CharactersWithSpaces>1701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2018-04-24T01:43:00Z</dcterms:created>
  <dc:creator>admin</dc:creator>
  <cp:lastModifiedBy>慧 儿</cp:lastModifiedBy>
  <cp:lastPrinted>2018-12-26T07:49:00Z</cp:lastPrinted>
  <dcterms:modified xsi:type="dcterms:W3CDTF">2021-01-06T06:27:36Z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