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468" w:tblpY="2598"/>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355"/>
        <w:gridCol w:w="2325"/>
        <w:gridCol w:w="2280"/>
        <w:gridCol w:w="3405"/>
        <w:gridCol w:w="160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503"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355" w:type="dxa"/>
            <w:vAlign w:val="center"/>
          </w:tcPr>
          <w:p>
            <w:pPr>
              <w:jc w:val="center"/>
              <w:rPr>
                <w:rFonts w:hint="eastAsia" w:eastAsiaTheme="minorEastAsia"/>
                <w:vertAlign w:val="baseline"/>
                <w:lang w:eastAsia="zh-CN"/>
              </w:rPr>
            </w:pPr>
            <w:r>
              <w:rPr>
                <w:rFonts w:hint="eastAsia"/>
                <w:vertAlign w:val="baseline"/>
                <w:lang w:eastAsia="zh-CN"/>
              </w:rPr>
              <w:t>违法行为</w:t>
            </w:r>
          </w:p>
        </w:tc>
        <w:tc>
          <w:tcPr>
            <w:tcW w:w="2325" w:type="dxa"/>
            <w:vAlign w:val="center"/>
          </w:tcPr>
          <w:p>
            <w:pPr>
              <w:jc w:val="center"/>
              <w:rPr>
                <w:rFonts w:hint="eastAsia" w:eastAsiaTheme="minorEastAsia"/>
                <w:vertAlign w:val="baseline"/>
                <w:lang w:eastAsia="zh-CN"/>
              </w:rPr>
            </w:pPr>
            <w:r>
              <w:rPr>
                <w:rFonts w:hint="eastAsia"/>
                <w:vertAlign w:val="baseline"/>
                <w:lang w:eastAsia="zh-CN"/>
              </w:rPr>
              <w:t>从轻减轻行政处罚条件</w:t>
            </w:r>
          </w:p>
        </w:tc>
        <w:tc>
          <w:tcPr>
            <w:tcW w:w="2280" w:type="dxa"/>
            <w:vAlign w:val="center"/>
          </w:tcPr>
          <w:p>
            <w:pPr>
              <w:jc w:val="center"/>
              <w:rPr>
                <w:rFonts w:hint="eastAsia" w:eastAsiaTheme="minorEastAsia"/>
                <w:vertAlign w:val="baseline"/>
                <w:lang w:eastAsia="zh-CN"/>
              </w:rPr>
            </w:pPr>
            <w:r>
              <w:rPr>
                <w:rFonts w:hint="eastAsia"/>
                <w:vertAlign w:val="baseline"/>
                <w:lang w:eastAsia="zh-CN"/>
              </w:rPr>
              <w:t>自由裁量处罚幅度</w:t>
            </w:r>
          </w:p>
        </w:tc>
        <w:tc>
          <w:tcPr>
            <w:tcW w:w="3405" w:type="dxa"/>
            <w:vAlign w:val="center"/>
          </w:tcPr>
          <w:p>
            <w:pPr>
              <w:jc w:val="center"/>
              <w:rPr>
                <w:vertAlign w:val="baseline"/>
              </w:rPr>
            </w:pPr>
            <w:r>
              <w:rPr>
                <w:rFonts w:hint="eastAsia"/>
                <w:vertAlign w:val="baseline"/>
                <w:lang w:eastAsia="zh-CN"/>
              </w:rPr>
              <w:t>法律依据</w:t>
            </w:r>
          </w:p>
        </w:tc>
        <w:tc>
          <w:tcPr>
            <w:tcW w:w="1605" w:type="dxa"/>
            <w:vAlign w:val="center"/>
          </w:tcPr>
          <w:p>
            <w:pPr>
              <w:jc w:val="center"/>
              <w:rPr>
                <w:rFonts w:hint="eastAsia" w:eastAsiaTheme="minorEastAsia"/>
                <w:vertAlign w:val="baseline"/>
                <w:lang w:eastAsia="zh-CN"/>
              </w:rPr>
            </w:pPr>
            <w:r>
              <w:rPr>
                <w:rFonts w:hint="eastAsia"/>
                <w:vertAlign w:val="baseline"/>
                <w:lang w:eastAsia="zh-CN"/>
              </w:rPr>
              <w:t>实施主体</w:t>
            </w:r>
          </w:p>
        </w:tc>
        <w:tc>
          <w:tcPr>
            <w:tcW w:w="1701" w:type="dxa"/>
            <w:vAlign w:val="center"/>
          </w:tcPr>
          <w:p>
            <w:pPr>
              <w:jc w:val="center"/>
              <w:rPr>
                <w:rFonts w:hint="eastAsia" w:eastAsiaTheme="minorEastAsia"/>
                <w:vertAlign w:val="baseline"/>
                <w:lang w:eastAsia="zh-CN"/>
              </w:rPr>
            </w:pPr>
            <w:r>
              <w:rPr>
                <w:rFonts w:hint="eastAsia"/>
                <w:vertAlign w:val="baseline"/>
                <w:lang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2"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2355" w:type="dxa"/>
            <w:vAlign w:val="center"/>
          </w:tcPr>
          <w:p>
            <w:pPr>
              <w:jc w:val="center"/>
              <w:rPr>
                <w:rFonts w:hint="eastAsia" w:eastAsiaTheme="minorEastAsia"/>
                <w:vertAlign w:val="baseline"/>
                <w:lang w:eastAsia="zh-CN"/>
              </w:rPr>
            </w:pPr>
            <w:r>
              <w:rPr>
                <w:rFonts w:hint="eastAsia"/>
                <w:vertAlign w:val="baseline"/>
                <w:lang w:eastAsia="zh-CN"/>
              </w:rPr>
              <w:t>超出核准登记的经营范围从事经营活动</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违法情节轻微的</w:t>
            </w:r>
          </w:p>
        </w:tc>
        <w:tc>
          <w:tcPr>
            <w:tcW w:w="2280" w:type="dxa"/>
            <w:vAlign w:val="center"/>
          </w:tcPr>
          <w:p>
            <w:pPr>
              <w:jc w:val="center"/>
              <w:rPr>
                <w:rFonts w:hint="eastAsia" w:eastAsiaTheme="minorEastAsia"/>
                <w:vertAlign w:val="baseline"/>
                <w:lang w:eastAsia="zh-CN"/>
              </w:rPr>
            </w:pPr>
            <w:r>
              <w:rPr>
                <w:rFonts w:hint="eastAsia"/>
                <w:vertAlign w:val="baseline"/>
                <w:lang w:eastAsia="zh-CN"/>
              </w:rPr>
              <w:t>警告、</w:t>
            </w:r>
            <w:r>
              <w:rPr>
                <w:rFonts w:hint="eastAsia"/>
                <w:vertAlign w:val="baseline"/>
                <w:lang w:val="en-US" w:eastAsia="zh-CN"/>
              </w:rPr>
              <w:t>罚款、没收非法所得、停业整顿、扣缴、吊销《企业法人营业执照》</w:t>
            </w:r>
          </w:p>
        </w:tc>
        <w:tc>
          <w:tcPr>
            <w:tcW w:w="3405" w:type="dxa"/>
            <w:vAlign w:val="center"/>
          </w:tcPr>
          <w:p>
            <w:pPr>
              <w:numPr>
                <w:ilvl w:val="0"/>
                <w:numId w:val="1"/>
              </w:numPr>
              <w:jc w:val="both"/>
              <w:rPr>
                <w:rFonts w:hint="eastAsia"/>
                <w:vertAlign w:val="baseline"/>
                <w:lang w:val="en-US" w:eastAsia="zh-CN"/>
              </w:rPr>
            </w:pPr>
            <w:r>
              <w:rPr>
                <w:rFonts w:hint="eastAsia"/>
                <w:vertAlign w:val="baseline"/>
                <w:lang w:val="en-US" w:eastAsia="zh-CN"/>
              </w:rPr>
              <w:t>《行政处罚法》第三十二条第（五）项“法律、法规、规章规定其他应当从轻或者减轻行政处罚的”。</w:t>
            </w:r>
          </w:p>
          <w:p>
            <w:pPr>
              <w:numPr>
                <w:ilvl w:val="0"/>
                <w:numId w:val="1"/>
              </w:numPr>
              <w:jc w:val="both"/>
              <w:rPr>
                <w:rFonts w:hint="eastAsia"/>
                <w:vertAlign w:val="baseline"/>
                <w:lang w:val="en-US" w:eastAsia="zh-CN"/>
              </w:rPr>
            </w:pPr>
            <w:r>
              <w:rPr>
                <w:rFonts w:hint="eastAsia"/>
                <w:vertAlign w:val="baseline"/>
                <w:lang w:val="en-US" w:eastAsia="zh-CN"/>
              </w:rPr>
              <w:t>《中华人民共和国企业法人登记管理条例》第十三条“企业法人的经营范围应当与其资金、场地、设备、从业人员以及技术力量相适应；按照国家有关规定，可以一业为主，兼营他业。企业法人应当在核准登记注册的经营范围内从事经营活动”。</w:t>
            </w:r>
          </w:p>
        </w:tc>
        <w:tc>
          <w:tcPr>
            <w:tcW w:w="1605"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701"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8"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2</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广告使用引证内容未标明出处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引证内容具备合法、有效证明，且真实、准确、完整，未造成消费者误解的</w:t>
            </w:r>
          </w:p>
        </w:tc>
        <w:tc>
          <w:tcPr>
            <w:tcW w:w="2280" w:type="dxa"/>
            <w:vAlign w:val="center"/>
          </w:tcPr>
          <w:p>
            <w:pPr>
              <w:jc w:val="center"/>
              <w:rPr>
                <w:rFonts w:hint="eastAsia" w:eastAsiaTheme="minorEastAsia"/>
                <w:vertAlign w:val="baseline"/>
                <w:lang w:val="en-US" w:eastAsia="zh-CN"/>
              </w:rPr>
            </w:pPr>
            <w:r>
              <w:rPr>
                <w:rFonts w:hint="eastAsia"/>
                <w:vertAlign w:val="baseline"/>
                <w:lang w:val="en-US" w:eastAsia="zh-CN"/>
              </w:rPr>
              <w:t>责令停止发布广告，对广告主处十万以下的罚款</w:t>
            </w:r>
          </w:p>
        </w:tc>
        <w:tc>
          <w:tcPr>
            <w:tcW w:w="3405" w:type="dxa"/>
            <w:vAlign w:val="center"/>
          </w:tcPr>
          <w:p>
            <w:pPr>
              <w:numPr>
                <w:ilvl w:val="0"/>
                <w:numId w:val="2"/>
              </w:numPr>
              <w:jc w:val="both"/>
              <w:rPr>
                <w:rFonts w:hint="eastAsia"/>
                <w:vertAlign w:val="baseline"/>
                <w:lang w:val="en-US" w:eastAsia="zh-CN"/>
              </w:rPr>
            </w:pPr>
            <w:r>
              <w:rPr>
                <w:rFonts w:hint="eastAsia"/>
                <w:vertAlign w:val="baseline"/>
                <w:lang w:val="en-US" w:eastAsia="zh-CN"/>
              </w:rPr>
              <w:t>《行政处罚法》第三十二条第（五）项“法律、法规、规章规定其他应当从轻或者减轻行政处罚的”。</w:t>
            </w:r>
          </w:p>
          <w:p>
            <w:pPr>
              <w:numPr>
                <w:ilvl w:val="0"/>
                <w:numId w:val="2"/>
              </w:numPr>
              <w:jc w:val="both"/>
              <w:rPr>
                <w:rFonts w:hint="eastAsia"/>
                <w:vertAlign w:val="baseline"/>
                <w:lang w:val="en-US" w:eastAsia="zh-CN"/>
              </w:rPr>
            </w:pPr>
            <w:r>
              <w:rPr>
                <w:rFonts w:hint="eastAsia"/>
                <w:vertAlign w:val="baseline"/>
                <w:lang w:val="en-US" w:eastAsia="zh-CN"/>
              </w:rPr>
              <w:t>《中华人民共和国广告法》第十一条第二款“广告使用数据、统计资料、调查结果、文摘、引用语等引证内容的，应当真实、准确，并表明出处。引证内容有适用范围和有效期限的，应当明确表示”。</w:t>
            </w:r>
          </w:p>
        </w:tc>
        <w:tc>
          <w:tcPr>
            <w:tcW w:w="1605"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701" w:type="dxa"/>
            <w:vMerge w:val="continue"/>
            <w:vAlign w:val="center"/>
          </w:tcPr>
          <w:p>
            <w:pPr>
              <w:jc w:val="center"/>
              <w:rPr>
                <w:vertAlign w:val="baseline"/>
              </w:rPr>
            </w:pPr>
          </w:p>
        </w:tc>
      </w:tr>
    </w:tbl>
    <w:p>
      <w:pPr>
        <w:jc w:val="center"/>
        <w:rPr>
          <w:rFonts w:hint="eastAsia" w:eastAsiaTheme="minorEastAsia"/>
          <w:sz w:val="44"/>
          <w:szCs w:val="44"/>
          <w:lang w:val="en-US" w:eastAsia="zh-CN"/>
        </w:rPr>
      </w:pPr>
      <w:bookmarkStart w:id="0" w:name="_GoBack"/>
      <w:bookmarkEnd w:id="0"/>
      <w:r>
        <w:rPr>
          <w:rFonts w:hint="eastAsia"/>
          <w:b/>
          <w:bCs/>
          <w:sz w:val="44"/>
          <w:szCs w:val="44"/>
          <w:lang w:val="en-US" w:eastAsia="zh-CN"/>
        </w:rPr>
        <w:t>岳阳市市场监督管理局从轻减轻处罚清单</w:t>
      </w:r>
    </w:p>
    <w:p>
      <w:pPr>
        <w:rPr>
          <w:sz w:val="44"/>
          <w:szCs w:val="44"/>
        </w:rPr>
      </w:pP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355"/>
        <w:gridCol w:w="2325"/>
        <w:gridCol w:w="2280"/>
        <w:gridCol w:w="3405"/>
        <w:gridCol w:w="160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3</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未经商标注册人的许可，在同一种商品上使用与其注册商标相同的商标</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违法行为轻微，经调解与权利人达成赔偿协议并及时履行的</w:t>
            </w:r>
          </w:p>
        </w:tc>
        <w:tc>
          <w:tcPr>
            <w:tcW w:w="2280" w:type="dxa"/>
            <w:vAlign w:val="center"/>
          </w:tcPr>
          <w:p>
            <w:pPr>
              <w:jc w:val="center"/>
              <w:rPr>
                <w:rFonts w:hint="eastAsia" w:eastAsiaTheme="minorEastAsia"/>
                <w:vertAlign w:val="baseline"/>
                <w:lang w:val="en-US" w:eastAsia="zh-CN"/>
              </w:rPr>
            </w:pPr>
            <w:r>
              <w:rPr>
                <w:rFonts w:hint="eastAsia"/>
                <w:vertAlign w:val="baseline"/>
                <w:lang w:val="en-US" w:eastAsia="zh-CN"/>
              </w:rPr>
              <w:t>未经商标注册人许可，在同一种商品上使用与其注册商品相同的商标，构成犯罪的，除赔偿被侵权人的损失外，依法追究刑事责任。</w:t>
            </w:r>
          </w:p>
        </w:tc>
        <w:tc>
          <w:tcPr>
            <w:tcW w:w="3405" w:type="dxa"/>
            <w:vAlign w:val="center"/>
          </w:tcPr>
          <w:p>
            <w:pPr>
              <w:numPr>
                <w:ilvl w:val="0"/>
                <w:numId w:val="3"/>
              </w:numPr>
              <w:jc w:val="both"/>
              <w:rPr>
                <w:rFonts w:hint="eastAsia"/>
                <w:vertAlign w:val="baseline"/>
                <w:lang w:val="en-US" w:eastAsia="zh-CN"/>
              </w:rPr>
            </w:pPr>
            <w:r>
              <w:rPr>
                <w:rFonts w:hint="eastAsia"/>
                <w:vertAlign w:val="baseline"/>
                <w:lang w:val="en-US" w:eastAsia="zh-CN"/>
              </w:rPr>
              <w:t>《行政处罚法》第三十二条第（五）项“法律、法规、规章规定其他应当从轻或者减轻行政处罚的”。</w:t>
            </w:r>
          </w:p>
          <w:p>
            <w:pPr>
              <w:numPr>
                <w:ilvl w:val="0"/>
                <w:numId w:val="3"/>
              </w:numPr>
              <w:jc w:val="both"/>
              <w:rPr>
                <w:rFonts w:hint="eastAsia"/>
                <w:vertAlign w:val="baseline"/>
                <w:lang w:val="en-US" w:eastAsia="zh-CN"/>
              </w:rPr>
            </w:pPr>
            <w:r>
              <w:rPr>
                <w:rFonts w:hint="eastAsia"/>
                <w:vertAlign w:val="baseline"/>
                <w:lang w:val="en-US" w:eastAsia="zh-CN"/>
              </w:rPr>
              <w:t>《中华人民共和国商标法》第五十七条第（一）项“未经商标注册人的许可，在同一种商品上使用与其注册商标相同的商标的”。</w:t>
            </w:r>
          </w:p>
        </w:tc>
        <w:tc>
          <w:tcPr>
            <w:tcW w:w="1605"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701"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2"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4</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使用强制检定计量器具的单位或个人，未按规定向当地县市级人民政府市场监督管理部门指定的计量检定机构申请周期检定</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能够主动改正或者及时中止违法行为，或者积极配合行政机关调查，或者初次违法的</w:t>
            </w:r>
          </w:p>
        </w:tc>
        <w:tc>
          <w:tcPr>
            <w:tcW w:w="2280" w:type="dxa"/>
            <w:vAlign w:val="center"/>
          </w:tcPr>
          <w:p>
            <w:pPr>
              <w:jc w:val="center"/>
              <w:rPr>
                <w:rFonts w:hint="eastAsia" w:eastAsiaTheme="minorEastAsia"/>
                <w:vertAlign w:val="baseline"/>
                <w:lang w:val="en-US" w:eastAsia="zh-CN"/>
              </w:rPr>
            </w:pPr>
            <w:r>
              <w:rPr>
                <w:rFonts w:hint="eastAsia"/>
                <w:vertAlign w:val="baseline"/>
                <w:lang w:val="en-US" w:eastAsia="zh-CN"/>
              </w:rPr>
              <w:t>责令停止使用，可并处1000元以下罚款</w:t>
            </w:r>
          </w:p>
        </w:tc>
        <w:tc>
          <w:tcPr>
            <w:tcW w:w="3405" w:type="dxa"/>
            <w:vAlign w:val="center"/>
          </w:tcPr>
          <w:p>
            <w:pPr>
              <w:numPr>
                <w:ilvl w:val="0"/>
                <w:numId w:val="4"/>
              </w:numPr>
              <w:jc w:val="both"/>
              <w:rPr>
                <w:rFonts w:hint="eastAsia"/>
                <w:vertAlign w:val="baseline"/>
                <w:lang w:val="en-US" w:eastAsia="zh-CN"/>
              </w:rPr>
            </w:pPr>
            <w:r>
              <w:rPr>
                <w:rFonts w:hint="eastAsia"/>
                <w:vertAlign w:val="baseline"/>
                <w:lang w:val="en-US" w:eastAsia="zh-CN"/>
              </w:rPr>
              <w:t>《行政处罚法》第三十二条第（一）项“主动消除或者减轻违法行为危害后果的”。</w:t>
            </w:r>
          </w:p>
          <w:p>
            <w:pPr>
              <w:numPr>
                <w:ilvl w:val="0"/>
                <w:numId w:val="4"/>
              </w:numPr>
              <w:jc w:val="both"/>
              <w:rPr>
                <w:rFonts w:hint="eastAsia"/>
                <w:vertAlign w:val="baseline"/>
                <w:lang w:val="en-US" w:eastAsia="zh-CN"/>
              </w:rPr>
            </w:pPr>
            <w:r>
              <w:rPr>
                <w:rFonts w:hint="eastAsia"/>
                <w:vertAlign w:val="baseline"/>
                <w:lang w:val="en-US" w:eastAsia="zh-CN"/>
              </w:rPr>
              <w:t>《中华人民共和国计量法实施细则》第十一条第二款“使用实行强制检定的工作计量器具的单位和个人，应当向当地县（市）级人民政府计量行政部门指定的计量检定机构申请周期检定。当地不能检定的，向上一级人民政府计量行政部门指定的计量检定机构申请周期检定”。</w:t>
            </w:r>
          </w:p>
        </w:tc>
        <w:tc>
          <w:tcPr>
            <w:tcW w:w="1605"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701" w:type="dxa"/>
            <w:vMerge w:val="continue"/>
            <w:vAlign w:val="center"/>
          </w:tcPr>
          <w:p>
            <w:pPr>
              <w:jc w:val="center"/>
              <w:rPr>
                <w:vertAlign w:val="baseline"/>
              </w:rPr>
            </w:pPr>
          </w:p>
        </w:tc>
      </w:tr>
    </w:tbl>
    <w:p/>
    <w:tbl>
      <w:tblPr>
        <w:tblStyle w:val="5"/>
        <w:tblpPr w:leftFromText="180" w:rightFromText="180" w:vertAnchor="text" w:horzAnchor="page" w:tblpX="1483" w:tblpY="39"/>
        <w:tblOverlap w:val="never"/>
        <w:tblW w:w="13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2133"/>
        <w:gridCol w:w="1905"/>
        <w:gridCol w:w="2325"/>
        <w:gridCol w:w="4005"/>
        <w:gridCol w:w="157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9" w:hRule="atLeast"/>
        </w:trPr>
        <w:tc>
          <w:tcPr>
            <w:tcW w:w="487" w:type="dxa"/>
            <w:vAlign w:val="center"/>
          </w:tcPr>
          <w:p>
            <w:pPr>
              <w:jc w:val="center"/>
              <w:rPr>
                <w:rFonts w:hint="eastAsia" w:eastAsiaTheme="minorEastAsia"/>
                <w:vertAlign w:val="baseline"/>
                <w:lang w:val="en-US" w:eastAsia="zh-CN"/>
              </w:rPr>
            </w:pPr>
            <w:r>
              <w:rPr>
                <w:rFonts w:hint="eastAsia"/>
                <w:vertAlign w:val="baseline"/>
                <w:lang w:val="en-US" w:eastAsia="zh-CN"/>
              </w:rPr>
              <w:t>5</w:t>
            </w:r>
          </w:p>
        </w:tc>
        <w:tc>
          <w:tcPr>
            <w:tcW w:w="2133" w:type="dxa"/>
            <w:vAlign w:val="center"/>
          </w:tcPr>
          <w:p>
            <w:pPr>
              <w:jc w:val="center"/>
              <w:rPr>
                <w:rFonts w:hint="eastAsia" w:eastAsiaTheme="minorEastAsia"/>
                <w:vertAlign w:val="baseline"/>
                <w:lang w:val="en-US" w:eastAsia="zh-CN"/>
              </w:rPr>
            </w:pPr>
            <w:r>
              <w:rPr>
                <w:rFonts w:hint="eastAsia"/>
                <w:vertAlign w:val="baseline"/>
                <w:lang w:val="en-US" w:eastAsia="zh-CN"/>
              </w:rPr>
              <w:t>限期使用的产品，未在显著位置清晰地标明生产日期和安全使用期或者失效日期</w:t>
            </w:r>
          </w:p>
        </w:tc>
        <w:tc>
          <w:tcPr>
            <w:tcW w:w="1905" w:type="dxa"/>
            <w:vAlign w:val="center"/>
          </w:tcPr>
          <w:p>
            <w:pPr>
              <w:jc w:val="center"/>
              <w:rPr>
                <w:rFonts w:hint="eastAsia" w:eastAsiaTheme="minorEastAsia"/>
                <w:vertAlign w:val="baseline"/>
                <w:lang w:val="en-US" w:eastAsia="zh-CN"/>
              </w:rPr>
            </w:pPr>
            <w:r>
              <w:rPr>
                <w:rFonts w:hint="eastAsia"/>
                <w:vertAlign w:val="baseline"/>
                <w:lang w:val="en-US" w:eastAsia="zh-CN"/>
              </w:rPr>
              <w:t>能够及时改正的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责令改正；情节严重的，责令停止生产、销售，并处违法生产、销售产品货值金额百分之三十以下的罚款；有违法所得的，并处没收违法所得</w:t>
            </w:r>
          </w:p>
        </w:tc>
        <w:tc>
          <w:tcPr>
            <w:tcW w:w="4005" w:type="dxa"/>
            <w:vAlign w:val="top"/>
          </w:tcPr>
          <w:p>
            <w:pPr>
              <w:numPr>
                <w:ilvl w:val="0"/>
                <w:numId w:val="0"/>
              </w:numPr>
              <w:jc w:val="both"/>
              <w:rPr>
                <w:rFonts w:hint="eastAsia"/>
                <w:vertAlign w:val="baseline"/>
                <w:lang w:val="en-US" w:eastAsia="zh-CN"/>
              </w:rPr>
            </w:pPr>
            <w:r>
              <w:rPr>
                <w:rFonts w:hint="eastAsia"/>
                <w:vertAlign w:val="baseline"/>
                <w:lang w:val="en-US" w:eastAsia="zh-CN"/>
              </w:rPr>
              <w:t>1、《行政处罚法》第三十二条第（一）项“主动消除或者减轻违法行为危害后果的”。</w:t>
            </w:r>
          </w:p>
          <w:p>
            <w:pPr>
              <w:jc w:val="both"/>
              <w:rPr>
                <w:vertAlign w:val="baseline"/>
              </w:rPr>
            </w:pPr>
            <w:r>
              <w:rPr>
                <w:rFonts w:hint="eastAsia"/>
                <w:vertAlign w:val="baseline"/>
                <w:lang w:val="en-US" w:eastAsia="zh-CN"/>
              </w:rPr>
              <w:t>2、</w:t>
            </w:r>
            <w:r>
              <w:rPr>
                <w:rFonts w:hint="eastAsia" w:ascii="宋体" w:hAnsi="宋体" w:eastAsia="宋体" w:cs="宋体"/>
                <w:vertAlign w:val="baseline"/>
                <w:lang w:val="en-US" w:eastAsia="zh-CN"/>
              </w:rPr>
              <w:t>《中华人民共和国产品质量法》第五十四条“</w:t>
            </w:r>
            <w:r>
              <w:rPr>
                <w:rFonts w:hint="eastAsia" w:ascii="宋体" w:hAnsi="宋体" w:eastAsia="宋体" w:cs="宋体"/>
                <w:i w:val="0"/>
                <w:caps w:val="0"/>
                <w:color w:val="333333"/>
                <w:spacing w:val="0"/>
                <w:sz w:val="21"/>
                <w:szCs w:val="21"/>
                <w:shd w:val="clear" w:fill="FFFFFF"/>
              </w:rPr>
              <w:t>产品标识不符合本法第二十七条规定的，责令改正</w:t>
            </w:r>
            <w:r>
              <w:rPr>
                <w:rFonts w:hint="eastAsia" w:ascii="宋体" w:hAnsi="宋体" w:eastAsia="宋体" w:cs="宋体"/>
                <w:i w:val="0"/>
                <w:caps w:val="0"/>
                <w:color w:val="333333"/>
                <w:spacing w:val="0"/>
                <w:sz w:val="21"/>
                <w:szCs w:val="21"/>
                <w:shd w:val="clear" w:fill="FFFFFF"/>
                <w:lang w:eastAsia="zh-CN"/>
              </w:rPr>
              <w:t>；</w:t>
            </w:r>
            <w:r>
              <w:rPr>
                <w:rFonts w:hint="eastAsia" w:ascii="宋体" w:hAnsi="宋体" w:eastAsia="宋体" w:cs="宋体"/>
                <w:i w:val="0"/>
                <w:caps w:val="0"/>
                <w:color w:val="333333"/>
                <w:spacing w:val="0"/>
                <w:sz w:val="21"/>
                <w:szCs w:val="21"/>
                <w:shd w:val="clear" w:fill="FFFFFF"/>
              </w:rPr>
              <w:t>有包装的产品标识不符合本法第二十七条第(四)项、第(五)项规定，情节严重的，责令停止生产、销售，并处违法生产、销售产品货值金额百分之三十以下的罚款</w:t>
            </w:r>
            <w:r>
              <w:rPr>
                <w:rFonts w:hint="eastAsia" w:ascii="宋体" w:hAnsi="宋体" w:eastAsia="宋体" w:cs="宋体"/>
                <w:i w:val="0"/>
                <w:caps w:val="0"/>
                <w:color w:val="333333"/>
                <w:spacing w:val="0"/>
                <w:sz w:val="21"/>
                <w:szCs w:val="21"/>
                <w:shd w:val="clear" w:fill="FFFFFF"/>
                <w:lang w:eastAsia="zh-CN"/>
              </w:rPr>
              <w:t>；</w:t>
            </w:r>
            <w:r>
              <w:rPr>
                <w:rFonts w:hint="eastAsia" w:ascii="宋体" w:hAnsi="宋体" w:eastAsia="宋体" w:cs="宋体"/>
                <w:i w:val="0"/>
                <w:caps w:val="0"/>
                <w:color w:val="333333"/>
                <w:spacing w:val="0"/>
                <w:sz w:val="21"/>
                <w:szCs w:val="21"/>
                <w:shd w:val="clear" w:fill="FFFFFF"/>
              </w:rPr>
              <w:t>有违法所得的，并处没收违法所得。</w:t>
            </w:r>
          </w:p>
        </w:tc>
        <w:tc>
          <w:tcPr>
            <w:tcW w:w="1575"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29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9" w:hRule="atLeast"/>
        </w:trPr>
        <w:tc>
          <w:tcPr>
            <w:tcW w:w="487" w:type="dxa"/>
            <w:vAlign w:val="center"/>
          </w:tcPr>
          <w:p>
            <w:pPr>
              <w:jc w:val="center"/>
              <w:rPr>
                <w:rFonts w:hint="eastAsia" w:eastAsiaTheme="minorEastAsia"/>
                <w:vertAlign w:val="baseline"/>
                <w:lang w:val="en-US" w:eastAsia="zh-CN"/>
              </w:rPr>
            </w:pPr>
            <w:r>
              <w:rPr>
                <w:rFonts w:hint="eastAsia"/>
                <w:vertAlign w:val="baseline"/>
                <w:lang w:val="en-US" w:eastAsia="zh-CN"/>
              </w:rPr>
              <w:t>6</w:t>
            </w:r>
          </w:p>
        </w:tc>
        <w:tc>
          <w:tcPr>
            <w:tcW w:w="2133" w:type="dxa"/>
            <w:vAlign w:val="center"/>
          </w:tcPr>
          <w:p>
            <w:pPr>
              <w:jc w:val="center"/>
              <w:rPr>
                <w:rFonts w:hint="eastAsia" w:eastAsiaTheme="minorEastAsia"/>
                <w:vertAlign w:val="baseline"/>
                <w:lang w:val="en-US" w:eastAsia="zh-CN"/>
              </w:rPr>
            </w:pPr>
            <w:r>
              <w:rPr>
                <w:rFonts w:hint="eastAsia"/>
                <w:vertAlign w:val="baseline"/>
                <w:lang w:val="en-US" w:eastAsia="zh-CN"/>
              </w:rPr>
              <w:t>使用不当，容易造成产品本身损坏或者可能危及人身、财产安全的产品；未按规定标注警示标志或者中文警示说明的</w:t>
            </w:r>
          </w:p>
        </w:tc>
        <w:tc>
          <w:tcPr>
            <w:tcW w:w="1905" w:type="dxa"/>
            <w:vAlign w:val="center"/>
          </w:tcPr>
          <w:p>
            <w:pPr>
              <w:jc w:val="center"/>
              <w:rPr>
                <w:rFonts w:hint="eastAsia" w:eastAsiaTheme="minorEastAsia"/>
                <w:vertAlign w:val="baseline"/>
                <w:lang w:val="en-US" w:eastAsia="zh-CN"/>
              </w:rPr>
            </w:pPr>
            <w:r>
              <w:rPr>
                <w:rFonts w:hint="eastAsia"/>
                <w:vertAlign w:val="baseline"/>
                <w:lang w:val="en-US" w:eastAsia="zh-CN"/>
              </w:rPr>
              <w:t>未销售的</w:t>
            </w:r>
          </w:p>
        </w:tc>
        <w:tc>
          <w:tcPr>
            <w:tcW w:w="2325" w:type="dxa"/>
            <w:vAlign w:val="center"/>
          </w:tcPr>
          <w:p>
            <w:pPr>
              <w:jc w:val="center"/>
              <w:rPr>
                <w:vertAlign w:val="baseline"/>
              </w:rPr>
            </w:pPr>
            <w:r>
              <w:rPr>
                <w:rFonts w:hint="eastAsia"/>
                <w:vertAlign w:val="baseline"/>
                <w:lang w:val="en-US" w:eastAsia="zh-CN"/>
              </w:rPr>
              <w:t>责令改正；情节严重的，责令停止生产、销售，并处违法生产、销售产品货值金额百分之三十以下的罚款；有违法所得的，并处没收违法所得</w:t>
            </w:r>
          </w:p>
        </w:tc>
        <w:tc>
          <w:tcPr>
            <w:tcW w:w="4005" w:type="dxa"/>
            <w:vAlign w:val="center"/>
          </w:tcPr>
          <w:p>
            <w:pPr>
              <w:numPr>
                <w:ilvl w:val="0"/>
                <w:numId w:val="0"/>
              </w:numPr>
              <w:jc w:val="both"/>
              <w:rPr>
                <w:rFonts w:hint="eastAsia"/>
                <w:vertAlign w:val="baseline"/>
                <w:lang w:val="en-US" w:eastAsia="zh-CN"/>
              </w:rPr>
            </w:pPr>
            <w:r>
              <w:rPr>
                <w:rFonts w:hint="eastAsia"/>
                <w:vertAlign w:val="baseline"/>
                <w:lang w:val="en-US" w:eastAsia="zh-CN"/>
              </w:rPr>
              <w:t>1、《行政处罚法》第三十二条第（一）项“主动消除或者减轻违法行为危害后果的”。</w:t>
            </w:r>
          </w:p>
          <w:p>
            <w:pPr>
              <w:numPr>
                <w:ilvl w:val="0"/>
                <w:numId w:val="0"/>
              </w:numPr>
              <w:jc w:val="both"/>
              <w:rPr>
                <w:rFonts w:hint="eastAsia" w:ascii="宋体" w:hAnsi="宋体" w:eastAsia="宋体" w:cs="宋体"/>
                <w:vertAlign w:val="baseline"/>
                <w:lang w:val="en-US" w:eastAsia="zh-CN"/>
              </w:rPr>
            </w:pPr>
            <w:r>
              <w:rPr>
                <w:rFonts w:hint="eastAsia"/>
                <w:vertAlign w:val="baseline"/>
                <w:lang w:val="en-US" w:eastAsia="zh-CN"/>
              </w:rPr>
              <w:t>2、</w:t>
            </w:r>
            <w:r>
              <w:rPr>
                <w:rFonts w:hint="eastAsia" w:ascii="宋体" w:hAnsi="宋体" w:eastAsia="宋体" w:cs="宋体"/>
                <w:vertAlign w:val="baseline"/>
                <w:lang w:val="en-US" w:eastAsia="zh-CN"/>
              </w:rPr>
              <w:t>《中华人民共和国产品质量法》第五十四条“</w:t>
            </w:r>
            <w:r>
              <w:rPr>
                <w:rFonts w:hint="eastAsia" w:ascii="宋体" w:hAnsi="宋体" w:eastAsia="宋体" w:cs="宋体"/>
                <w:i w:val="0"/>
                <w:caps w:val="0"/>
                <w:color w:val="333333"/>
                <w:spacing w:val="0"/>
                <w:sz w:val="21"/>
                <w:szCs w:val="21"/>
                <w:shd w:val="clear" w:fill="FFFFFF"/>
              </w:rPr>
              <w:t>产品标识不符合本法第二十七条规定的，责令改正</w:t>
            </w:r>
            <w:r>
              <w:rPr>
                <w:rFonts w:hint="eastAsia" w:ascii="宋体" w:hAnsi="宋体" w:eastAsia="宋体" w:cs="宋体"/>
                <w:i w:val="0"/>
                <w:caps w:val="0"/>
                <w:color w:val="333333"/>
                <w:spacing w:val="0"/>
                <w:sz w:val="21"/>
                <w:szCs w:val="21"/>
                <w:shd w:val="clear" w:fill="FFFFFF"/>
                <w:lang w:eastAsia="zh-CN"/>
              </w:rPr>
              <w:t>；</w:t>
            </w:r>
            <w:r>
              <w:rPr>
                <w:rFonts w:hint="eastAsia" w:ascii="宋体" w:hAnsi="宋体" w:eastAsia="宋体" w:cs="宋体"/>
                <w:i w:val="0"/>
                <w:caps w:val="0"/>
                <w:color w:val="333333"/>
                <w:spacing w:val="0"/>
                <w:sz w:val="21"/>
                <w:szCs w:val="21"/>
                <w:shd w:val="clear" w:fill="FFFFFF"/>
              </w:rPr>
              <w:t>有包装的产品标识不符合本法第二十七条第(四)项、第(五)项规定，情节严重的，责令停止生产、销售，并处违法生产、销售产品货值金额百分之三十以下的罚款</w:t>
            </w:r>
            <w:r>
              <w:rPr>
                <w:rFonts w:hint="eastAsia" w:ascii="宋体" w:hAnsi="宋体" w:eastAsia="宋体" w:cs="宋体"/>
                <w:i w:val="0"/>
                <w:caps w:val="0"/>
                <w:color w:val="333333"/>
                <w:spacing w:val="0"/>
                <w:sz w:val="21"/>
                <w:szCs w:val="21"/>
                <w:shd w:val="clear" w:fill="FFFFFF"/>
                <w:lang w:eastAsia="zh-CN"/>
              </w:rPr>
              <w:t>；</w:t>
            </w:r>
            <w:r>
              <w:rPr>
                <w:rFonts w:hint="eastAsia" w:ascii="宋体" w:hAnsi="宋体" w:eastAsia="宋体" w:cs="宋体"/>
                <w:i w:val="0"/>
                <w:caps w:val="0"/>
                <w:color w:val="333333"/>
                <w:spacing w:val="0"/>
                <w:sz w:val="21"/>
                <w:szCs w:val="21"/>
                <w:shd w:val="clear" w:fill="FFFFFF"/>
              </w:rPr>
              <w:t>有违法所得的，并处没收违法所得。</w:t>
            </w:r>
          </w:p>
          <w:p>
            <w:pPr>
              <w:jc w:val="both"/>
              <w:rPr>
                <w:vertAlign w:val="baseline"/>
              </w:rPr>
            </w:pPr>
          </w:p>
        </w:tc>
        <w:tc>
          <w:tcPr>
            <w:tcW w:w="1575"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290" w:type="dxa"/>
            <w:vMerge w:val="continue"/>
            <w:vAlign w:val="center"/>
          </w:tcPr>
          <w:p>
            <w:pPr>
              <w:jc w:val="center"/>
              <w:rPr>
                <w:vertAlign w:val="baseline"/>
              </w:rPr>
            </w:pPr>
          </w:p>
        </w:tc>
      </w:tr>
    </w:tbl>
    <w:p/>
    <w:p/>
    <w:p/>
    <w:tbl>
      <w:tblPr>
        <w:tblStyle w:val="5"/>
        <w:tblpPr w:leftFromText="180" w:rightFromText="180" w:vertAnchor="text" w:horzAnchor="page" w:tblpX="1588" w:tblpY="87"/>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355"/>
        <w:gridCol w:w="1727"/>
        <w:gridCol w:w="2085"/>
        <w:gridCol w:w="4198"/>
        <w:gridCol w:w="160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6"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7</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不按照规定办理注销登记的</w:t>
            </w:r>
          </w:p>
        </w:tc>
        <w:tc>
          <w:tcPr>
            <w:tcW w:w="1727" w:type="dxa"/>
            <w:vAlign w:val="center"/>
          </w:tcPr>
          <w:p>
            <w:pPr>
              <w:jc w:val="center"/>
              <w:rPr>
                <w:rFonts w:hint="eastAsia" w:eastAsiaTheme="minorEastAsia"/>
                <w:vertAlign w:val="baseline"/>
                <w:lang w:val="en-US" w:eastAsia="zh-CN"/>
              </w:rPr>
            </w:pPr>
            <w:r>
              <w:rPr>
                <w:rFonts w:hint="eastAsia"/>
                <w:vertAlign w:val="baseline"/>
                <w:lang w:val="en-US" w:eastAsia="zh-CN"/>
              </w:rPr>
              <w:t>违法情节轻微的</w:t>
            </w:r>
          </w:p>
        </w:tc>
        <w:tc>
          <w:tcPr>
            <w:tcW w:w="2085" w:type="dxa"/>
            <w:vAlign w:val="center"/>
          </w:tcPr>
          <w:p>
            <w:pPr>
              <w:jc w:val="center"/>
              <w:rPr>
                <w:rFonts w:hint="eastAsia" w:eastAsiaTheme="minorEastAsia"/>
                <w:vertAlign w:val="baseline"/>
                <w:lang w:val="en-US" w:eastAsia="zh-CN"/>
              </w:rPr>
            </w:pPr>
            <w:r>
              <w:rPr>
                <w:rFonts w:hint="eastAsia"/>
                <w:vertAlign w:val="baseline"/>
                <w:lang w:val="en-US" w:eastAsia="zh-CN"/>
              </w:rPr>
              <w:t>警告、罚款、没收违法所得、停业整顿、扣缴、吊销《企业法人营业执照》</w:t>
            </w:r>
          </w:p>
        </w:tc>
        <w:tc>
          <w:tcPr>
            <w:tcW w:w="4198" w:type="dxa"/>
            <w:vAlign w:val="center"/>
          </w:tcPr>
          <w:p>
            <w:pPr>
              <w:numPr>
                <w:ilvl w:val="0"/>
                <w:numId w:val="0"/>
              </w:numPr>
              <w:jc w:val="both"/>
              <w:rPr>
                <w:rFonts w:hint="eastAsia"/>
                <w:vertAlign w:val="baseline"/>
                <w:lang w:val="en-US" w:eastAsia="zh-CN"/>
              </w:rPr>
            </w:pPr>
            <w:r>
              <w:rPr>
                <w:rFonts w:hint="eastAsia"/>
                <w:vertAlign w:val="baseline"/>
                <w:lang w:val="en-US" w:eastAsia="zh-CN"/>
              </w:rPr>
              <w:t>1、《行政处罚法》第三十二条第（五）项“法律、法规、规章规定其他应当从轻或者减轻行政处罚的”。</w:t>
            </w:r>
          </w:p>
          <w:p>
            <w:pPr>
              <w:numPr>
                <w:ilvl w:val="0"/>
                <w:numId w:val="0"/>
              </w:numPr>
              <w:jc w:val="both"/>
              <w:rPr>
                <w:rFonts w:hint="eastAsia"/>
                <w:vertAlign w:val="baseline"/>
                <w:lang w:val="en-US" w:eastAsia="zh-CN"/>
              </w:rPr>
            </w:pPr>
            <w:r>
              <w:rPr>
                <w:rFonts w:hint="eastAsia"/>
                <w:vertAlign w:val="baseline"/>
                <w:lang w:val="en-US" w:eastAsia="zh-CN"/>
              </w:rPr>
              <w:t>2、《中华人民共和国企业法人登记管理条例》第二十九条第一款第（三）项“不按规定办理注销登记的”。</w:t>
            </w:r>
          </w:p>
          <w:p>
            <w:pPr>
              <w:jc w:val="center"/>
              <w:rPr>
                <w:vertAlign w:val="baseline"/>
              </w:rPr>
            </w:pPr>
          </w:p>
        </w:tc>
        <w:tc>
          <w:tcPr>
            <w:tcW w:w="1605"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701"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6"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8</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未经核准登记注册擅自开业</w:t>
            </w:r>
          </w:p>
        </w:tc>
        <w:tc>
          <w:tcPr>
            <w:tcW w:w="1727" w:type="dxa"/>
            <w:vAlign w:val="center"/>
          </w:tcPr>
          <w:p>
            <w:pPr>
              <w:jc w:val="center"/>
              <w:rPr>
                <w:vertAlign w:val="baseline"/>
              </w:rPr>
            </w:pPr>
            <w:r>
              <w:rPr>
                <w:rFonts w:hint="eastAsia"/>
                <w:vertAlign w:val="baseline"/>
                <w:lang w:val="en-US" w:eastAsia="zh-CN"/>
              </w:rPr>
              <w:t>违法情节轻微的</w:t>
            </w:r>
          </w:p>
        </w:tc>
        <w:tc>
          <w:tcPr>
            <w:tcW w:w="2085" w:type="dxa"/>
            <w:vAlign w:val="center"/>
          </w:tcPr>
          <w:p>
            <w:pPr>
              <w:jc w:val="center"/>
              <w:rPr>
                <w:vertAlign w:val="baseline"/>
              </w:rPr>
            </w:pPr>
            <w:r>
              <w:rPr>
                <w:rFonts w:hint="eastAsia"/>
                <w:vertAlign w:val="baseline"/>
                <w:lang w:val="en-US" w:eastAsia="zh-CN"/>
              </w:rPr>
              <w:t>警告、罚款、没收违法所得、停业整顿、扣缴、吊销《企业法人营业执照》</w:t>
            </w:r>
          </w:p>
        </w:tc>
        <w:tc>
          <w:tcPr>
            <w:tcW w:w="4198" w:type="dxa"/>
            <w:vAlign w:val="center"/>
          </w:tcPr>
          <w:p>
            <w:pPr>
              <w:numPr>
                <w:ilvl w:val="0"/>
                <w:numId w:val="0"/>
              </w:numPr>
              <w:jc w:val="both"/>
              <w:rPr>
                <w:rFonts w:hint="eastAsia"/>
                <w:vertAlign w:val="baseline"/>
                <w:lang w:val="en-US" w:eastAsia="zh-CN"/>
              </w:rPr>
            </w:pPr>
            <w:r>
              <w:rPr>
                <w:rFonts w:hint="eastAsia"/>
                <w:vertAlign w:val="baseline"/>
                <w:lang w:val="en-US" w:eastAsia="zh-CN"/>
              </w:rPr>
              <w:t>1、《行政处罚法》第三十二条第（五）项“法律、法规、规章规定其他应当从轻或者减轻行政处罚的”。</w:t>
            </w:r>
          </w:p>
          <w:p>
            <w:pPr>
              <w:jc w:val="both"/>
              <w:rPr>
                <w:vertAlign w:val="baseline"/>
              </w:rPr>
            </w:pPr>
            <w:r>
              <w:rPr>
                <w:rFonts w:hint="eastAsia"/>
                <w:vertAlign w:val="baseline"/>
                <w:lang w:val="en-US" w:eastAsia="zh-CN"/>
              </w:rPr>
              <w:t>2、《中华人民共和国企业法人登记管理条例》第二十九条第一款第（一）项“登记中隐瞒真实情况、弄虚作假或者未经核准登记注册擅自开业的”。</w:t>
            </w:r>
          </w:p>
        </w:tc>
        <w:tc>
          <w:tcPr>
            <w:tcW w:w="1605" w:type="dxa"/>
            <w:vAlign w:val="center"/>
          </w:tcPr>
          <w:p>
            <w:pPr>
              <w:jc w:val="center"/>
              <w:rPr>
                <w:vertAlign w:val="baseline"/>
              </w:rPr>
            </w:pPr>
            <w:r>
              <w:rPr>
                <w:rFonts w:hint="eastAsia"/>
                <w:vertAlign w:val="baseline"/>
                <w:lang w:val="en-US" w:eastAsia="zh-CN"/>
              </w:rPr>
              <w:t>市场监管部门</w:t>
            </w:r>
          </w:p>
        </w:tc>
        <w:tc>
          <w:tcPr>
            <w:tcW w:w="1701"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6" w:hRule="atLeast"/>
        </w:trPr>
        <w:tc>
          <w:tcPr>
            <w:tcW w:w="503" w:type="dxa"/>
            <w:vAlign w:val="center"/>
          </w:tcPr>
          <w:p>
            <w:pPr>
              <w:jc w:val="center"/>
              <w:rPr>
                <w:rFonts w:hint="eastAsia"/>
                <w:vertAlign w:val="baseline"/>
                <w:lang w:val="en-US" w:eastAsia="zh-CN"/>
              </w:rPr>
            </w:pPr>
            <w:r>
              <w:rPr>
                <w:rFonts w:hint="eastAsia"/>
                <w:vertAlign w:val="baseline"/>
                <w:lang w:val="en-US" w:eastAsia="zh-CN"/>
              </w:rPr>
              <w:t>9</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擅自转让或者出租自己的企业名称</w:t>
            </w:r>
          </w:p>
        </w:tc>
        <w:tc>
          <w:tcPr>
            <w:tcW w:w="1727" w:type="dxa"/>
            <w:vAlign w:val="center"/>
          </w:tcPr>
          <w:p>
            <w:pPr>
              <w:jc w:val="center"/>
              <w:rPr>
                <w:vertAlign w:val="baseline"/>
              </w:rPr>
            </w:pPr>
            <w:r>
              <w:rPr>
                <w:rFonts w:hint="eastAsia"/>
                <w:vertAlign w:val="baseline"/>
                <w:lang w:val="en-US" w:eastAsia="zh-CN"/>
              </w:rPr>
              <w:t>违法情节轻微的</w:t>
            </w:r>
          </w:p>
        </w:tc>
        <w:tc>
          <w:tcPr>
            <w:tcW w:w="2085" w:type="dxa"/>
            <w:vAlign w:val="center"/>
          </w:tcPr>
          <w:p>
            <w:pPr>
              <w:jc w:val="center"/>
              <w:rPr>
                <w:rFonts w:hint="eastAsia" w:eastAsiaTheme="minorEastAsia"/>
                <w:vertAlign w:val="baseline"/>
                <w:lang w:val="en-US" w:eastAsia="zh-CN"/>
              </w:rPr>
            </w:pPr>
            <w:r>
              <w:rPr>
                <w:rFonts w:hint="eastAsia"/>
                <w:vertAlign w:val="baseline"/>
                <w:lang w:val="en-US" w:eastAsia="zh-CN"/>
              </w:rPr>
              <w:t>没收非法所得并处以一千元以上、一万元以下罚款</w:t>
            </w:r>
          </w:p>
        </w:tc>
        <w:tc>
          <w:tcPr>
            <w:tcW w:w="4198" w:type="dxa"/>
            <w:vAlign w:val="center"/>
          </w:tcPr>
          <w:p>
            <w:pPr>
              <w:numPr>
                <w:ilvl w:val="0"/>
                <w:numId w:val="5"/>
              </w:numPr>
              <w:jc w:val="both"/>
              <w:rPr>
                <w:rFonts w:hint="eastAsia"/>
                <w:vertAlign w:val="baseline"/>
                <w:lang w:val="en-US" w:eastAsia="zh-CN"/>
              </w:rPr>
            </w:pPr>
            <w:r>
              <w:rPr>
                <w:rFonts w:hint="eastAsia"/>
                <w:vertAlign w:val="baseline"/>
                <w:lang w:val="en-US" w:eastAsia="zh-CN"/>
              </w:rPr>
              <w:t>《行政处罚法》第三十二条第（五）项“法律、法规、规章规定其他应当从轻或者减轻行政处罚的”。</w:t>
            </w:r>
          </w:p>
          <w:p>
            <w:pPr>
              <w:numPr>
                <w:ilvl w:val="0"/>
                <w:numId w:val="5"/>
              </w:numPr>
              <w:jc w:val="both"/>
              <w:rPr>
                <w:rFonts w:hint="eastAsia"/>
                <w:vertAlign w:val="baseline"/>
                <w:lang w:val="en-US" w:eastAsia="zh-CN"/>
              </w:rPr>
            </w:pPr>
            <w:r>
              <w:rPr>
                <w:rFonts w:hint="eastAsia"/>
                <w:vertAlign w:val="baseline"/>
                <w:lang w:val="en-US" w:eastAsia="zh-CN"/>
              </w:rPr>
              <w:t>《企业名称登记管理规定》第二十六条第（三）项“擅自转让或者出租自己企业名称的，予以警告或者处以一千元以上、一万元以下罚款，并限期办理变更登记”。</w:t>
            </w:r>
          </w:p>
        </w:tc>
        <w:tc>
          <w:tcPr>
            <w:tcW w:w="1605" w:type="dxa"/>
            <w:vAlign w:val="center"/>
          </w:tcPr>
          <w:p>
            <w:pPr>
              <w:jc w:val="center"/>
              <w:rPr>
                <w:vertAlign w:val="baseline"/>
              </w:rPr>
            </w:pPr>
            <w:r>
              <w:rPr>
                <w:rFonts w:hint="eastAsia"/>
                <w:vertAlign w:val="baseline"/>
                <w:lang w:val="en-US" w:eastAsia="zh-CN"/>
              </w:rPr>
              <w:t>市场监管部门</w:t>
            </w:r>
          </w:p>
        </w:tc>
        <w:tc>
          <w:tcPr>
            <w:tcW w:w="1701" w:type="dxa"/>
            <w:vMerge w:val="continue"/>
            <w:vAlign w:val="center"/>
          </w:tcPr>
          <w:p>
            <w:pPr>
              <w:jc w:val="center"/>
              <w:rPr>
                <w:vertAlign w:val="baseline"/>
              </w:rPr>
            </w:pPr>
          </w:p>
        </w:tc>
      </w:tr>
    </w:tbl>
    <w:p/>
    <w:p/>
    <w:tbl>
      <w:tblPr>
        <w:tblStyle w:val="5"/>
        <w:tblpPr w:leftFromText="180" w:rightFromText="180" w:vertAnchor="text" w:horzAnchor="page" w:tblpX="1483" w:tblpY="105"/>
        <w:tblOverlap w:val="never"/>
        <w:tblW w:w="13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2279"/>
        <w:gridCol w:w="1939"/>
        <w:gridCol w:w="2295"/>
        <w:gridCol w:w="3855"/>
        <w:gridCol w:w="157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8" w:hRule="atLeast"/>
        </w:trPr>
        <w:tc>
          <w:tcPr>
            <w:tcW w:w="487" w:type="dxa"/>
            <w:vAlign w:val="center"/>
          </w:tcPr>
          <w:p>
            <w:pPr>
              <w:jc w:val="center"/>
              <w:rPr>
                <w:rFonts w:hint="eastAsia" w:eastAsiaTheme="minorEastAsia"/>
                <w:vertAlign w:val="baseline"/>
                <w:lang w:val="en-US" w:eastAsia="zh-CN"/>
              </w:rPr>
            </w:pPr>
            <w:r>
              <w:rPr>
                <w:rFonts w:hint="eastAsia"/>
                <w:vertAlign w:val="baseline"/>
                <w:lang w:val="en-US" w:eastAsia="zh-CN"/>
              </w:rPr>
              <w:t>10</w:t>
            </w:r>
          </w:p>
        </w:tc>
        <w:tc>
          <w:tcPr>
            <w:tcW w:w="2279" w:type="dxa"/>
            <w:vAlign w:val="center"/>
          </w:tcPr>
          <w:p>
            <w:pPr>
              <w:jc w:val="center"/>
              <w:rPr>
                <w:rFonts w:hint="eastAsia" w:eastAsiaTheme="minorEastAsia"/>
                <w:vertAlign w:val="baseline"/>
                <w:lang w:val="en-US" w:eastAsia="zh-CN"/>
              </w:rPr>
            </w:pPr>
            <w:r>
              <w:rPr>
                <w:rFonts w:hint="eastAsia"/>
                <w:vertAlign w:val="baseline"/>
                <w:lang w:val="en-US" w:eastAsia="zh-CN"/>
              </w:rPr>
              <w:t>出租、出借公司营业执照</w:t>
            </w:r>
          </w:p>
        </w:tc>
        <w:tc>
          <w:tcPr>
            <w:tcW w:w="1939" w:type="dxa"/>
            <w:vAlign w:val="center"/>
          </w:tcPr>
          <w:p>
            <w:pPr>
              <w:jc w:val="center"/>
              <w:rPr>
                <w:rFonts w:hint="eastAsia" w:eastAsiaTheme="minorEastAsia"/>
                <w:vertAlign w:val="baseline"/>
                <w:lang w:val="en-US" w:eastAsia="zh-CN"/>
              </w:rPr>
            </w:pPr>
            <w:r>
              <w:rPr>
                <w:rFonts w:hint="eastAsia"/>
                <w:vertAlign w:val="baseline"/>
                <w:lang w:val="en-US" w:eastAsia="zh-CN"/>
              </w:rPr>
              <w:t>违法行为轻微、及时改正，未造成任何危害后果的</w:t>
            </w:r>
          </w:p>
        </w:tc>
        <w:tc>
          <w:tcPr>
            <w:tcW w:w="2295" w:type="dxa"/>
            <w:vAlign w:val="center"/>
          </w:tcPr>
          <w:p>
            <w:pPr>
              <w:jc w:val="center"/>
              <w:rPr>
                <w:rFonts w:hint="eastAsia" w:eastAsiaTheme="minorEastAsia"/>
                <w:vertAlign w:val="baseline"/>
                <w:lang w:val="en-US" w:eastAsia="zh-CN"/>
              </w:rPr>
            </w:pPr>
            <w:r>
              <w:rPr>
                <w:rFonts w:hint="eastAsia" w:asciiTheme="minorEastAsia" w:hAnsiTheme="minorEastAsia" w:eastAsiaTheme="minorEastAsia" w:cstheme="minorEastAsia"/>
                <w:i w:val="0"/>
                <w:caps w:val="0"/>
                <w:color w:val="333333"/>
                <w:spacing w:val="0"/>
                <w:sz w:val="21"/>
                <w:szCs w:val="21"/>
                <w:shd w:val="clear" w:fill="FFFFFF"/>
              </w:rPr>
              <w:t>处以1万元以上10万元以下的罚款;情节严重的，吊销营业执照。</w:t>
            </w:r>
          </w:p>
        </w:tc>
        <w:tc>
          <w:tcPr>
            <w:tcW w:w="3855" w:type="dxa"/>
            <w:vAlign w:val="center"/>
          </w:tcPr>
          <w:p>
            <w:pPr>
              <w:numPr>
                <w:ilvl w:val="0"/>
                <w:numId w:val="6"/>
              </w:numPr>
              <w:jc w:val="both"/>
              <w:rPr>
                <w:rFonts w:hint="eastAsia"/>
                <w:vertAlign w:val="baseline"/>
                <w:lang w:val="en-US" w:eastAsia="zh-CN"/>
              </w:rPr>
            </w:pPr>
            <w:r>
              <w:rPr>
                <w:rFonts w:hint="eastAsia"/>
                <w:vertAlign w:val="baseline"/>
                <w:lang w:val="en-US" w:eastAsia="zh-CN"/>
              </w:rPr>
              <w:t>《行政处罚法》第三十二条第（一）项“主动消除或者减轻违法行为危害后果的”。</w:t>
            </w:r>
          </w:p>
          <w:p>
            <w:pPr>
              <w:numPr>
                <w:ilvl w:val="0"/>
                <w:numId w:val="6"/>
              </w:numPr>
              <w:jc w:val="both"/>
              <w:rPr>
                <w:rFonts w:hint="eastAsia" w:asciiTheme="minorEastAsia" w:hAnsiTheme="minorEastAsia" w:eastAsiaTheme="minorEastAsia" w:cstheme="minorEastAsia"/>
                <w:sz w:val="21"/>
                <w:szCs w:val="21"/>
                <w:vertAlign w:val="baseline"/>
                <w:lang w:val="en-US" w:eastAsia="zh-CN"/>
              </w:rPr>
            </w:pPr>
            <w:r>
              <w:rPr>
                <w:rFonts w:hint="eastAsia"/>
                <w:vertAlign w:val="baseline"/>
                <w:lang w:val="en-US" w:eastAsia="zh-CN"/>
              </w:rPr>
              <w:t>《中华人民共和国公司登记管理条例》第七十一条“</w:t>
            </w:r>
            <w:r>
              <w:rPr>
                <w:rFonts w:hint="eastAsia" w:asciiTheme="minorEastAsia" w:hAnsiTheme="minorEastAsia" w:eastAsiaTheme="minorEastAsia" w:cstheme="minorEastAsia"/>
                <w:i w:val="0"/>
                <w:caps w:val="0"/>
                <w:color w:val="333333"/>
                <w:spacing w:val="0"/>
                <w:sz w:val="21"/>
                <w:szCs w:val="21"/>
                <w:shd w:val="clear" w:fill="FFFFFF"/>
              </w:rPr>
              <w:t>伪造、涂改、出租、出借、转让营业执照的，由公司登记机关处以1万元以上10万元以下的罚款;情节严重的，吊销营业执照</w:t>
            </w:r>
            <w:r>
              <w:rPr>
                <w:rFonts w:hint="eastAsia" w:asciiTheme="minorEastAsia" w:hAnsiTheme="minorEastAsia" w:eastAsiaTheme="minorEastAsia" w:cstheme="minorEastAsia"/>
                <w:sz w:val="21"/>
                <w:szCs w:val="21"/>
                <w:vertAlign w:val="baseline"/>
                <w:lang w:val="en-US" w:eastAsia="zh-CN"/>
              </w:rPr>
              <w:t>”</w:t>
            </w:r>
            <w:r>
              <w:rPr>
                <w:rFonts w:hint="eastAsia" w:asciiTheme="minorEastAsia" w:hAnsiTheme="minorEastAsia" w:cstheme="minorEastAsia"/>
                <w:sz w:val="21"/>
                <w:szCs w:val="21"/>
                <w:vertAlign w:val="baseline"/>
                <w:lang w:val="en-US" w:eastAsia="zh-CN"/>
              </w:rPr>
              <w:t>。</w:t>
            </w:r>
          </w:p>
          <w:p>
            <w:pPr>
              <w:jc w:val="both"/>
              <w:rPr>
                <w:vertAlign w:val="baseline"/>
              </w:rPr>
            </w:pPr>
          </w:p>
        </w:tc>
        <w:tc>
          <w:tcPr>
            <w:tcW w:w="1575"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29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9" w:hRule="atLeast"/>
        </w:trPr>
        <w:tc>
          <w:tcPr>
            <w:tcW w:w="487" w:type="dxa"/>
            <w:vAlign w:val="center"/>
          </w:tcPr>
          <w:p>
            <w:pPr>
              <w:jc w:val="center"/>
              <w:rPr>
                <w:rFonts w:hint="eastAsia" w:eastAsiaTheme="minorEastAsia"/>
                <w:vertAlign w:val="baseline"/>
                <w:lang w:val="en-US" w:eastAsia="zh-CN"/>
              </w:rPr>
            </w:pPr>
            <w:r>
              <w:rPr>
                <w:rFonts w:hint="eastAsia"/>
                <w:vertAlign w:val="baseline"/>
                <w:lang w:val="en-US" w:eastAsia="zh-CN"/>
              </w:rPr>
              <w:t>11</w:t>
            </w:r>
          </w:p>
        </w:tc>
        <w:tc>
          <w:tcPr>
            <w:tcW w:w="2279" w:type="dxa"/>
            <w:vAlign w:val="center"/>
          </w:tcPr>
          <w:p>
            <w:pPr>
              <w:jc w:val="center"/>
              <w:rPr>
                <w:rFonts w:hint="eastAsia" w:eastAsiaTheme="minorEastAsia"/>
                <w:vertAlign w:val="baseline"/>
                <w:lang w:val="en-US" w:eastAsia="zh-CN"/>
              </w:rPr>
            </w:pPr>
            <w:r>
              <w:rPr>
                <w:rFonts w:hint="eastAsia"/>
                <w:vertAlign w:val="baseline"/>
                <w:lang w:val="en-US" w:eastAsia="zh-CN"/>
              </w:rPr>
              <w:t>擅自出租自己的企业名称</w:t>
            </w:r>
          </w:p>
        </w:tc>
        <w:tc>
          <w:tcPr>
            <w:tcW w:w="1939" w:type="dxa"/>
            <w:vAlign w:val="center"/>
          </w:tcPr>
          <w:p>
            <w:pPr>
              <w:jc w:val="center"/>
              <w:rPr>
                <w:rFonts w:hint="eastAsia" w:eastAsiaTheme="minorEastAsia"/>
                <w:vertAlign w:val="baseline"/>
                <w:lang w:val="en-US" w:eastAsia="zh-CN"/>
              </w:rPr>
            </w:pPr>
            <w:r>
              <w:rPr>
                <w:rFonts w:hint="eastAsia"/>
                <w:vertAlign w:val="baseline"/>
                <w:lang w:val="en-US" w:eastAsia="zh-CN"/>
              </w:rPr>
              <w:t>违法情节轻微并立即改正，无违法所得的</w:t>
            </w:r>
          </w:p>
        </w:tc>
        <w:tc>
          <w:tcPr>
            <w:tcW w:w="2295" w:type="dxa"/>
            <w:vAlign w:val="center"/>
          </w:tcPr>
          <w:p>
            <w:pPr>
              <w:jc w:val="center"/>
              <w:rPr>
                <w:vertAlign w:val="baseline"/>
              </w:rPr>
            </w:pPr>
            <w:r>
              <w:rPr>
                <w:rFonts w:hint="eastAsia"/>
                <w:vertAlign w:val="baseline"/>
                <w:lang w:val="en-US" w:eastAsia="zh-CN"/>
              </w:rPr>
              <w:t>没收非法所得并处以一千元以上、一万以下罚款</w:t>
            </w:r>
          </w:p>
        </w:tc>
        <w:tc>
          <w:tcPr>
            <w:tcW w:w="3855" w:type="dxa"/>
            <w:vAlign w:val="center"/>
          </w:tcPr>
          <w:p>
            <w:pPr>
              <w:numPr>
                <w:ilvl w:val="0"/>
                <w:numId w:val="0"/>
              </w:numPr>
              <w:jc w:val="both"/>
              <w:rPr>
                <w:rFonts w:hint="eastAsia"/>
                <w:vertAlign w:val="baseline"/>
                <w:lang w:val="en-US" w:eastAsia="zh-CN"/>
              </w:rPr>
            </w:pPr>
            <w:r>
              <w:rPr>
                <w:rFonts w:hint="eastAsia"/>
                <w:vertAlign w:val="baseline"/>
                <w:lang w:val="en-US" w:eastAsia="zh-CN"/>
              </w:rPr>
              <w:t>1、《行政处罚法》第三十二条第（五）项“法律、法规、规章规定其他应当从轻或者减轻行政处罚的”。</w:t>
            </w:r>
          </w:p>
          <w:p>
            <w:pPr>
              <w:jc w:val="both"/>
              <w:rPr>
                <w:vertAlign w:val="baseline"/>
              </w:rPr>
            </w:pPr>
            <w:r>
              <w:rPr>
                <w:rFonts w:hint="eastAsia"/>
                <w:vertAlign w:val="baseline"/>
                <w:lang w:val="en-US" w:eastAsia="zh-CN"/>
              </w:rPr>
              <w:t>2、《企业名称登记管理规定》第二十六条第（三）项“擅自转让或者出租自己企业名称的，擅自转让或者出租自己企业名称的，予以警告或者处以一千元以上、一万元以下罚款，并限期办理变更登记”</w:t>
            </w:r>
          </w:p>
        </w:tc>
        <w:tc>
          <w:tcPr>
            <w:tcW w:w="1575"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290" w:type="dxa"/>
            <w:vMerge w:val="continue"/>
            <w:vAlign w:val="center"/>
          </w:tcPr>
          <w:p>
            <w:pPr>
              <w:jc w:val="center"/>
              <w:rPr>
                <w:vertAlign w:val="baseline"/>
              </w:rPr>
            </w:pPr>
          </w:p>
        </w:tc>
      </w:tr>
    </w:tbl>
    <w:p/>
    <w:p/>
    <w:p/>
    <w:p/>
    <w:p/>
    <w:p/>
    <w:p/>
    <w:tbl>
      <w:tblPr>
        <w:tblStyle w:val="5"/>
        <w:tblpPr w:leftFromText="180" w:rightFromText="180" w:vertAnchor="text" w:horzAnchor="page" w:tblpX="1483" w:tblpY="324"/>
        <w:tblOverlap w:val="never"/>
        <w:tblW w:w="13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2279"/>
        <w:gridCol w:w="1939"/>
        <w:gridCol w:w="2970"/>
        <w:gridCol w:w="3180"/>
        <w:gridCol w:w="157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8" w:hRule="atLeast"/>
        </w:trPr>
        <w:tc>
          <w:tcPr>
            <w:tcW w:w="487" w:type="dxa"/>
            <w:vAlign w:val="center"/>
          </w:tcPr>
          <w:p>
            <w:pPr>
              <w:jc w:val="center"/>
              <w:rPr>
                <w:rFonts w:hint="eastAsia" w:eastAsiaTheme="minorEastAsia"/>
                <w:vertAlign w:val="baseline"/>
                <w:lang w:val="en-US" w:eastAsia="zh-CN"/>
              </w:rPr>
            </w:pPr>
            <w:r>
              <w:rPr>
                <w:rFonts w:hint="eastAsia"/>
                <w:vertAlign w:val="baseline"/>
                <w:lang w:val="en-US" w:eastAsia="zh-CN"/>
              </w:rPr>
              <w:t>12</w:t>
            </w:r>
          </w:p>
        </w:tc>
        <w:tc>
          <w:tcPr>
            <w:tcW w:w="2279" w:type="dxa"/>
            <w:vAlign w:val="center"/>
          </w:tcPr>
          <w:p>
            <w:pPr>
              <w:jc w:val="center"/>
              <w:rPr>
                <w:rFonts w:hint="eastAsia" w:eastAsiaTheme="minorEastAsia"/>
                <w:vertAlign w:val="baseline"/>
                <w:lang w:val="en-US" w:eastAsia="zh-CN"/>
              </w:rPr>
            </w:pPr>
            <w:r>
              <w:rPr>
                <w:rFonts w:hint="eastAsia"/>
                <w:vertAlign w:val="baseline"/>
                <w:lang w:val="en-US" w:eastAsia="zh-CN"/>
              </w:rPr>
              <w:t>违反《中华人民共和国广告法》第九条第二项</w:t>
            </w:r>
          </w:p>
        </w:tc>
        <w:tc>
          <w:tcPr>
            <w:tcW w:w="1939" w:type="dxa"/>
            <w:vAlign w:val="center"/>
          </w:tcPr>
          <w:p>
            <w:pPr>
              <w:jc w:val="center"/>
              <w:rPr>
                <w:rFonts w:hint="eastAsia" w:eastAsiaTheme="minorEastAsia"/>
                <w:vertAlign w:val="baseline"/>
                <w:lang w:val="en-US" w:eastAsia="zh-CN"/>
              </w:rPr>
            </w:pPr>
            <w:r>
              <w:rPr>
                <w:rFonts w:hint="eastAsia"/>
                <w:vertAlign w:val="baseline"/>
                <w:lang w:val="en-US" w:eastAsia="zh-CN"/>
              </w:rPr>
              <w:t>所述事项与实际情况相符；使用或者变相使用国家机关、国家机关工作人员名义或者形象的内容与所推销商品或服务无直接联系；不涉及党和国家领导人的名义或形象</w:t>
            </w:r>
          </w:p>
        </w:tc>
        <w:tc>
          <w:tcPr>
            <w:tcW w:w="297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caps w:val="0"/>
                <w:color w:val="333333"/>
                <w:spacing w:val="0"/>
                <w:sz w:val="21"/>
                <w:szCs w:val="21"/>
                <w:shd w:val="clear" w:fill="FFFFFF"/>
              </w:rPr>
              <w:t>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吊销广告发布登记证件：</w:t>
            </w:r>
          </w:p>
        </w:tc>
        <w:tc>
          <w:tcPr>
            <w:tcW w:w="3180" w:type="dxa"/>
            <w:vAlign w:val="center"/>
          </w:tcPr>
          <w:p>
            <w:pPr>
              <w:numPr>
                <w:ilvl w:val="0"/>
                <w:numId w:val="7"/>
              </w:numPr>
              <w:jc w:val="both"/>
              <w:rPr>
                <w:rFonts w:hint="eastAsia"/>
                <w:vertAlign w:val="baseline"/>
                <w:lang w:val="en-US" w:eastAsia="zh-CN"/>
              </w:rPr>
            </w:pPr>
            <w:r>
              <w:rPr>
                <w:rFonts w:hint="eastAsia"/>
                <w:vertAlign w:val="baseline"/>
                <w:lang w:val="en-US" w:eastAsia="zh-CN"/>
              </w:rPr>
              <w:t>《行政处罚法》第三十二条第（五）项“法律、法规、规章规定其他应当从轻或者减轻行政处罚的”。</w:t>
            </w:r>
          </w:p>
          <w:p>
            <w:pPr>
              <w:numPr>
                <w:ilvl w:val="0"/>
                <w:numId w:val="0"/>
              </w:numPr>
              <w:jc w:val="both"/>
              <w:rPr>
                <w:rFonts w:hint="eastAsia"/>
                <w:vertAlign w:val="baseline"/>
                <w:lang w:val="en-US" w:eastAsia="zh-CN"/>
              </w:rPr>
            </w:pPr>
            <w:r>
              <w:rPr>
                <w:rFonts w:hint="eastAsia"/>
                <w:vertAlign w:val="baseline"/>
                <w:lang w:val="en-US" w:eastAsia="zh-CN"/>
              </w:rPr>
              <w:t>2、《中华人民共和国广告法》第五十七条第（一）项“发布有本法第九条、第十条规定的禁止情形的广告的”</w:t>
            </w:r>
          </w:p>
        </w:tc>
        <w:tc>
          <w:tcPr>
            <w:tcW w:w="1575"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29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4" w:hRule="atLeast"/>
        </w:trPr>
        <w:tc>
          <w:tcPr>
            <w:tcW w:w="487" w:type="dxa"/>
            <w:vAlign w:val="center"/>
          </w:tcPr>
          <w:p>
            <w:pPr>
              <w:jc w:val="center"/>
              <w:rPr>
                <w:rFonts w:hint="eastAsia" w:eastAsiaTheme="minorEastAsia"/>
                <w:vertAlign w:val="baseline"/>
                <w:lang w:val="en-US" w:eastAsia="zh-CN"/>
              </w:rPr>
            </w:pPr>
            <w:r>
              <w:rPr>
                <w:rFonts w:hint="eastAsia"/>
                <w:vertAlign w:val="baseline"/>
                <w:lang w:val="en-US" w:eastAsia="zh-CN"/>
              </w:rPr>
              <w:t>13</w:t>
            </w:r>
          </w:p>
        </w:tc>
        <w:tc>
          <w:tcPr>
            <w:tcW w:w="2279" w:type="dxa"/>
            <w:vAlign w:val="center"/>
          </w:tcPr>
          <w:p>
            <w:pPr>
              <w:jc w:val="center"/>
              <w:rPr>
                <w:rFonts w:hint="eastAsia" w:eastAsiaTheme="minorEastAsia"/>
                <w:vertAlign w:val="baseline"/>
                <w:lang w:val="en-US" w:eastAsia="zh-CN"/>
              </w:rPr>
            </w:pPr>
            <w:r>
              <w:rPr>
                <w:rFonts w:hint="eastAsia"/>
                <w:vertAlign w:val="baseline"/>
                <w:lang w:val="en-US" w:eastAsia="zh-CN"/>
              </w:rPr>
              <w:t>违法《中华人民共和国广告法》第九条第三项</w:t>
            </w:r>
          </w:p>
        </w:tc>
        <w:tc>
          <w:tcPr>
            <w:tcW w:w="1939" w:type="dxa"/>
            <w:vAlign w:val="center"/>
          </w:tcPr>
          <w:p>
            <w:pPr>
              <w:jc w:val="center"/>
              <w:rPr>
                <w:rFonts w:hint="eastAsia" w:eastAsiaTheme="minorEastAsia"/>
                <w:vertAlign w:val="baseline"/>
                <w:lang w:val="en-US" w:eastAsia="zh-CN"/>
              </w:rPr>
            </w:pPr>
            <w:r>
              <w:rPr>
                <w:rFonts w:hint="eastAsia"/>
                <w:vertAlign w:val="baseline"/>
                <w:lang w:val="en-US" w:eastAsia="zh-CN"/>
              </w:rPr>
              <w:t>客观上对市场秩序的扰乱程度较轻微，对同行业商品或服务的贬低危害较小，广告发布前后相同时段内商品销售额或服务营业额未明显增加</w:t>
            </w:r>
          </w:p>
        </w:tc>
        <w:tc>
          <w:tcPr>
            <w:tcW w:w="2970" w:type="dxa"/>
            <w:vAlign w:val="center"/>
          </w:tcPr>
          <w:p>
            <w:pPr>
              <w:jc w:val="center"/>
              <w:rPr>
                <w:vertAlign w:val="baseline"/>
              </w:rPr>
            </w:pPr>
            <w:r>
              <w:rPr>
                <w:rFonts w:hint="eastAsia" w:asciiTheme="minorEastAsia" w:hAnsiTheme="minorEastAsia" w:eastAsiaTheme="minorEastAsia" w:cstheme="minorEastAsia"/>
                <w:i w:val="0"/>
                <w:caps w:val="0"/>
                <w:color w:val="333333"/>
                <w:spacing w:val="0"/>
                <w:sz w:val="21"/>
                <w:szCs w:val="21"/>
                <w:shd w:val="clear" w:fill="FFFFFF"/>
              </w:rPr>
              <w:t>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吊销广告发布登记证件：</w:t>
            </w:r>
          </w:p>
        </w:tc>
        <w:tc>
          <w:tcPr>
            <w:tcW w:w="3180" w:type="dxa"/>
            <w:vAlign w:val="center"/>
          </w:tcPr>
          <w:p>
            <w:pPr>
              <w:numPr>
                <w:ilvl w:val="0"/>
                <w:numId w:val="8"/>
              </w:numPr>
              <w:jc w:val="both"/>
              <w:rPr>
                <w:rFonts w:hint="eastAsia"/>
                <w:vertAlign w:val="baseline"/>
                <w:lang w:val="en-US" w:eastAsia="zh-CN"/>
              </w:rPr>
            </w:pPr>
            <w:r>
              <w:rPr>
                <w:rFonts w:hint="eastAsia"/>
                <w:vertAlign w:val="baseline"/>
                <w:lang w:val="en-US" w:eastAsia="zh-CN"/>
              </w:rPr>
              <w:t>《行政处罚法》第三十二条第（五）项“法律、法规、规章规定其他应当从轻或者减轻行政处罚的”。</w:t>
            </w:r>
          </w:p>
          <w:p>
            <w:pPr>
              <w:numPr>
                <w:ilvl w:val="0"/>
                <w:numId w:val="0"/>
              </w:numPr>
              <w:jc w:val="both"/>
              <w:rPr>
                <w:rFonts w:hint="eastAsia"/>
                <w:vertAlign w:val="baseline"/>
                <w:lang w:val="en-US" w:eastAsia="zh-CN"/>
              </w:rPr>
            </w:pPr>
            <w:r>
              <w:rPr>
                <w:rFonts w:hint="eastAsia"/>
                <w:vertAlign w:val="baseline"/>
                <w:lang w:val="en-US" w:eastAsia="zh-CN"/>
              </w:rPr>
              <w:t>2、《中华人民共和国广告法》第五十七条第（一）项“发布有本法第九条、第十条规定的禁止情形的广告的”</w:t>
            </w:r>
          </w:p>
        </w:tc>
        <w:tc>
          <w:tcPr>
            <w:tcW w:w="1575"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290" w:type="dxa"/>
            <w:vMerge w:val="continue"/>
            <w:vAlign w:val="center"/>
          </w:tcPr>
          <w:p>
            <w:pPr>
              <w:jc w:val="center"/>
              <w:rPr>
                <w:vertAlign w:val="baseline"/>
              </w:rPr>
            </w:pPr>
          </w:p>
        </w:tc>
      </w:tr>
    </w:tbl>
    <w:p/>
    <w:tbl>
      <w:tblPr>
        <w:tblStyle w:val="5"/>
        <w:tblpPr w:leftFromText="180" w:rightFromText="180" w:vertAnchor="text" w:horzAnchor="page" w:tblpX="1498" w:tblpY="352"/>
        <w:tblOverlap w:val="never"/>
        <w:tblW w:w="13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2279"/>
        <w:gridCol w:w="1939"/>
        <w:gridCol w:w="2640"/>
        <w:gridCol w:w="3510"/>
        <w:gridCol w:w="157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8" w:hRule="atLeast"/>
        </w:trPr>
        <w:tc>
          <w:tcPr>
            <w:tcW w:w="487" w:type="dxa"/>
            <w:vAlign w:val="center"/>
          </w:tcPr>
          <w:p>
            <w:pPr>
              <w:jc w:val="center"/>
              <w:rPr>
                <w:rFonts w:hint="eastAsia" w:eastAsiaTheme="minorEastAsia"/>
                <w:vertAlign w:val="baseline"/>
                <w:lang w:val="en-US" w:eastAsia="zh-CN"/>
              </w:rPr>
            </w:pPr>
            <w:r>
              <w:rPr>
                <w:rFonts w:hint="eastAsia"/>
                <w:vertAlign w:val="baseline"/>
                <w:lang w:val="en-US" w:eastAsia="zh-CN"/>
              </w:rPr>
              <w:t>14</w:t>
            </w:r>
          </w:p>
        </w:tc>
        <w:tc>
          <w:tcPr>
            <w:tcW w:w="2279" w:type="dxa"/>
            <w:vAlign w:val="center"/>
          </w:tcPr>
          <w:p>
            <w:pPr>
              <w:jc w:val="center"/>
              <w:rPr>
                <w:rFonts w:hint="eastAsia" w:eastAsiaTheme="minorEastAsia"/>
                <w:vertAlign w:val="baseline"/>
                <w:lang w:val="en-US" w:eastAsia="zh-CN"/>
              </w:rPr>
            </w:pPr>
            <w:r>
              <w:rPr>
                <w:rFonts w:hint="eastAsia"/>
                <w:vertAlign w:val="baseline"/>
                <w:lang w:val="en-US" w:eastAsia="zh-CN"/>
              </w:rPr>
              <w:t>未按要求填写《商标印制业务登记表》</w:t>
            </w:r>
          </w:p>
        </w:tc>
        <w:tc>
          <w:tcPr>
            <w:tcW w:w="1939" w:type="dxa"/>
            <w:vAlign w:val="center"/>
          </w:tcPr>
          <w:p>
            <w:pPr>
              <w:jc w:val="center"/>
              <w:rPr>
                <w:rFonts w:hint="eastAsia" w:eastAsiaTheme="minorEastAsia"/>
                <w:vertAlign w:val="baseline"/>
                <w:lang w:val="en-US" w:eastAsia="zh-CN"/>
              </w:rPr>
            </w:pPr>
            <w:r>
              <w:rPr>
                <w:rFonts w:hint="eastAsia"/>
                <w:vertAlign w:val="baseline"/>
                <w:lang w:val="en-US" w:eastAsia="zh-CN"/>
              </w:rPr>
              <w:t>及时纠正的</w:t>
            </w:r>
          </w:p>
        </w:tc>
        <w:tc>
          <w:tcPr>
            <w:tcW w:w="2640"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val="0"/>
                <w:caps w:val="0"/>
                <w:color w:val="333333"/>
                <w:spacing w:val="8"/>
                <w:sz w:val="21"/>
                <w:szCs w:val="21"/>
                <w:shd w:val="clear" w:fill="FFFFFF"/>
              </w:rPr>
              <w:t>由所在地市场监督管理部门责令其限期改正，并视其情节予以警告，处以非法所得额三倍以下的罚款，但最高不超过三万元，没有违法所得的，可以处以一万元以下的罚款。</w:t>
            </w:r>
          </w:p>
        </w:tc>
        <w:tc>
          <w:tcPr>
            <w:tcW w:w="3510" w:type="dxa"/>
            <w:vAlign w:val="center"/>
          </w:tcPr>
          <w:p>
            <w:pPr>
              <w:numPr>
                <w:ilvl w:val="0"/>
                <w:numId w:val="9"/>
              </w:num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《行政处罚法》第三十二条第</w:t>
            </w:r>
            <w:r>
              <w:rPr>
                <w:rFonts w:hint="eastAsia" w:asciiTheme="minorEastAsia" w:hAnsiTheme="minorEastAsia" w:cstheme="minorEastAsia"/>
                <w:sz w:val="21"/>
                <w:szCs w:val="21"/>
                <w:vertAlign w:val="baseline"/>
                <w:lang w:val="en-US" w:eastAsia="zh-CN"/>
              </w:rPr>
              <w:t>（五）项</w:t>
            </w:r>
            <w:r>
              <w:rPr>
                <w:rFonts w:hint="eastAsia" w:asciiTheme="minorEastAsia" w:hAnsiTheme="minorEastAsia" w:eastAsiaTheme="minorEastAsia" w:cstheme="minorEastAsia"/>
                <w:sz w:val="21"/>
                <w:szCs w:val="21"/>
                <w:vertAlign w:val="baseline"/>
                <w:lang w:val="en-US" w:eastAsia="zh-CN"/>
              </w:rPr>
              <w:t>“法律、法规、规章规定其他应当从轻或者减轻行政处罚的”。</w:t>
            </w:r>
          </w:p>
          <w:p>
            <w:pPr>
              <w:numPr>
                <w:ilvl w:val="0"/>
                <w:numId w:val="9"/>
              </w:numPr>
              <w:jc w:val="both"/>
              <w:rPr>
                <w:rFonts w:hint="eastAsia"/>
                <w:vertAlign w:val="baseline"/>
                <w:lang w:val="en-US" w:eastAsia="zh-CN"/>
              </w:rPr>
            </w:pPr>
            <w:r>
              <w:rPr>
                <w:rFonts w:hint="eastAsia" w:asciiTheme="minorEastAsia" w:hAnsiTheme="minorEastAsia" w:eastAsiaTheme="minorEastAsia" w:cstheme="minorEastAsia"/>
                <w:sz w:val="21"/>
                <w:szCs w:val="21"/>
                <w:vertAlign w:val="baseline"/>
                <w:lang w:val="en-US" w:eastAsia="zh-CN"/>
              </w:rPr>
              <w:t>《商标印制管理办法》第十一条“</w:t>
            </w:r>
            <w:r>
              <w:rPr>
                <w:rFonts w:hint="eastAsia" w:asciiTheme="minorEastAsia" w:hAnsiTheme="minorEastAsia" w:eastAsiaTheme="minorEastAsia" w:cstheme="minorEastAsia"/>
                <w:i w:val="0"/>
                <w:caps w:val="0"/>
                <w:color w:val="333333"/>
                <w:spacing w:val="8"/>
                <w:sz w:val="21"/>
                <w:szCs w:val="21"/>
                <w:shd w:val="clear" w:fill="FFFFFF"/>
              </w:rPr>
              <w:t>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r>
              <w:rPr>
                <w:rFonts w:hint="eastAsia" w:asciiTheme="minorEastAsia" w:hAnsiTheme="minorEastAsia" w:eastAsiaTheme="minorEastAsia" w:cstheme="minorEastAsia"/>
                <w:sz w:val="21"/>
                <w:szCs w:val="21"/>
                <w:vertAlign w:val="baseline"/>
                <w:lang w:val="en-US" w:eastAsia="zh-CN"/>
              </w:rPr>
              <w:t>”。</w:t>
            </w:r>
          </w:p>
        </w:tc>
        <w:tc>
          <w:tcPr>
            <w:tcW w:w="1575"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29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4" w:hRule="atLeast"/>
        </w:trPr>
        <w:tc>
          <w:tcPr>
            <w:tcW w:w="487" w:type="dxa"/>
            <w:vAlign w:val="center"/>
          </w:tcPr>
          <w:p>
            <w:pPr>
              <w:jc w:val="center"/>
              <w:rPr>
                <w:rFonts w:hint="eastAsia" w:eastAsiaTheme="minorEastAsia"/>
                <w:vertAlign w:val="baseline"/>
                <w:lang w:val="en-US" w:eastAsia="zh-CN"/>
              </w:rPr>
            </w:pPr>
            <w:r>
              <w:rPr>
                <w:rFonts w:hint="eastAsia"/>
                <w:vertAlign w:val="baseline"/>
                <w:lang w:val="en-US" w:eastAsia="zh-CN"/>
              </w:rPr>
              <w:t>15</w:t>
            </w:r>
          </w:p>
        </w:tc>
        <w:tc>
          <w:tcPr>
            <w:tcW w:w="2279" w:type="dxa"/>
            <w:vAlign w:val="center"/>
          </w:tcPr>
          <w:p>
            <w:pPr>
              <w:jc w:val="both"/>
              <w:rPr>
                <w:rFonts w:hint="eastAsia" w:eastAsiaTheme="minorEastAsia"/>
                <w:vertAlign w:val="baseline"/>
                <w:lang w:val="en-US" w:eastAsia="zh-CN"/>
              </w:rPr>
            </w:pPr>
            <w:r>
              <w:rPr>
                <w:rFonts w:hint="eastAsia"/>
                <w:vertAlign w:val="baseline"/>
                <w:lang w:val="en-US" w:eastAsia="zh-CN"/>
              </w:rPr>
              <w:t>销售者销售国家明令淘汰并停止销售的产品和失效、变质的产品</w:t>
            </w:r>
          </w:p>
        </w:tc>
        <w:tc>
          <w:tcPr>
            <w:tcW w:w="1939" w:type="dxa"/>
            <w:vAlign w:val="center"/>
          </w:tcPr>
          <w:p>
            <w:pPr>
              <w:jc w:val="both"/>
              <w:rPr>
                <w:rFonts w:hint="eastAsia" w:eastAsiaTheme="minorEastAsia"/>
                <w:vertAlign w:val="baseline"/>
                <w:lang w:val="en-US" w:eastAsia="zh-CN"/>
              </w:rPr>
            </w:pPr>
            <w:r>
              <w:rPr>
                <w:rFonts w:hint="eastAsia"/>
                <w:vertAlign w:val="baseline"/>
                <w:lang w:val="en-US" w:eastAsia="zh-CN"/>
              </w:rPr>
              <w:t>情节轻微，有充分证据证明其不知道该产品为禁止销售的产品并如实说明其进货来源的</w:t>
            </w:r>
          </w:p>
        </w:tc>
        <w:tc>
          <w:tcPr>
            <w:tcW w:w="2640" w:type="dxa"/>
            <w:vAlign w:val="center"/>
          </w:tcPr>
          <w:p>
            <w:pPr>
              <w:jc w:val="both"/>
              <w:rPr>
                <w:vertAlign w:val="baseline"/>
              </w:rPr>
            </w:pPr>
            <w:r>
              <w:rPr>
                <w:rFonts w:hint="eastAsia" w:asciiTheme="minorEastAsia" w:hAnsiTheme="minorEastAsia" w:eastAsiaTheme="minorEastAsia" w:cstheme="minorEastAsia"/>
                <w:i w:val="0"/>
                <w:caps w:val="0"/>
                <w:color w:val="333333"/>
                <w:spacing w:val="0"/>
                <w:sz w:val="21"/>
                <w:szCs w:val="21"/>
                <w:shd w:val="clear" w:fill="FFFFFF"/>
              </w:rPr>
              <w:t>责令停止生产、销售，没收违法生产、销售的产品，并处违法生产、销售产品货值金额等值以下的罚款;有违法所得的，并处没收违法所得;情节严重的，吊销营业执照</w:t>
            </w:r>
          </w:p>
        </w:tc>
        <w:tc>
          <w:tcPr>
            <w:tcW w:w="3510" w:type="dxa"/>
            <w:vAlign w:val="center"/>
          </w:tcPr>
          <w:p>
            <w:pPr>
              <w:numPr>
                <w:ilvl w:val="0"/>
                <w:numId w:val="0"/>
              </w:numPr>
              <w:jc w:val="both"/>
              <w:rPr>
                <w:rFonts w:hint="eastAsia"/>
                <w:vertAlign w:val="baseline"/>
                <w:lang w:val="en-US" w:eastAsia="zh-CN"/>
              </w:rPr>
            </w:pPr>
            <w:r>
              <w:rPr>
                <w:rFonts w:hint="eastAsia"/>
                <w:vertAlign w:val="baseline"/>
                <w:lang w:val="en-US" w:eastAsia="zh-CN"/>
              </w:rPr>
              <w:t>1、《行政处罚法》第三十二条第（五）项“法律、法规、规章规定其他应当从轻或者减轻行政处罚的”。</w:t>
            </w:r>
          </w:p>
          <w:p>
            <w:pPr>
              <w:numPr>
                <w:ilvl w:val="0"/>
                <w:numId w:val="0"/>
              </w:numPr>
              <w:jc w:val="both"/>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w:t>
            </w:r>
            <w:r>
              <w:rPr>
                <w:rFonts w:hint="eastAsia" w:asciiTheme="minorEastAsia" w:hAnsiTheme="minorEastAsia" w:eastAsiaTheme="minorEastAsia" w:cstheme="minorEastAsia"/>
                <w:sz w:val="21"/>
                <w:szCs w:val="21"/>
                <w:vertAlign w:val="baseline"/>
                <w:lang w:val="en-US" w:eastAsia="zh-CN"/>
              </w:rPr>
              <w:t>中华人民共和国产品质量法》</w:t>
            </w:r>
          </w:p>
          <w:p>
            <w:pPr>
              <w:numPr>
                <w:ilvl w:val="0"/>
                <w:numId w:val="0"/>
              </w:numPr>
              <w:jc w:val="both"/>
              <w:rPr>
                <w:rFonts w:hint="eastAsia"/>
                <w:vertAlign w:val="baseline"/>
                <w:lang w:val="en-US" w:eastAsia="zh-CN"/>
              </w:rPr>
            </w:pPr>
            <w:r>
              <w:rPr>
                <w:rFonts w:hint="eastAsia" w:asciiTheme="minorEastAsia" w:hAnsiTheme="minorEastAsia" w:eastAsiaTheme="minorEastAsia" w:cstheme="minorEastAsia"/>
                <w:sz w:val="21"/>
                <w:szCs w:val="21"/>
                <w:vertAlign w:val="baseline"/>
                <w:lang w:val="en-US" w:eastAsia="zh-CN"/>
              </w:rPr>
              <w:t>第五十一条“</w:t>
            </w:r>
            <w:r>
              <w:rPr>
                <w:rFonts w:hint="eastAsia" w:asciiTheme="minorEastAsia" w:hAnsiTheme="minorEastAsia" w:eastAsiaTheme="minorEastAsia" w:cstheme="minorEastAsia"/>
                <w:i w:val="0"/>
                <w:caps w:val="0"/>
                <w:color w:val="333333"/>
                <w:spacing w:val="0"/>
                <w:sz w:val="21"/>
                <w:szCs w:val="21"/>
                <w:shd w:val="clear" w:fill="FFFFFF"/>
              </w:rPr>
              <w:t>生产国家明令淘汰的产品的，销售国家明令淘汰并停止销售的产品的，责令停止生产、销售，没收违法生产、销售的产品，并处违法生产、销售产品货值金额等值以下的罚款;有违法所得的，并处没收违法所得;情节严重的，吊销营业执</w:t>
            </w:r>
            <w:r>
              <w:rPr>
                <w:rFonts w:hint="eastAsia" w:ascii="宋体" w:hAnsi="宋体" w:eastAsia="宋体" w:cs="宋体"/>
                <w:i w:val="0"/>
                <w:caps w:val="0"/>
                <w:color w:val="333333"/>
                <w:spacing w:val="0"/>
                <w:sz w:val="24"/>
                <w:szCs w:val="24"/>
                <w:shd w:val="clear" w:fill="FFFFFF"/>
              </w:rPr>
              <w:t>照</w:t>
            </w:r>
            <w:r>
              <w:rPr>
                <w:rFonts w:hint="eastAsia"/>
                <w:vertAlign w:val="baseline"/>
                <w:lang w:val="en-US" w:eastAsia="zh-CN"/>
              </w:rPr>
              <w:t>”。</w:t>
            </w:r>
          </w:p>
        </w:tc>
        <w:tc>
          <w:tcPr>
            <w:tcW w:w="1575"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290" w:type="dxa"/>
            <w:vMerge w:val="continue"/>
            <w:vAlign w:val="center"/>
          </w:tcPr>
          <w:p>
            <w:pPr>
              <w:jc w:val="center"/>
              <w:rPr>
                <w:vertAlign w:val="baseline"/>
              </w:rPr>
            </w:pPr>
          </w:p>
        </w:tc>
      </w:tr>
    </w:tbl>
    <w:p/>
    <w:p/>
    <w:tbl>
      <w:tblPr>
        <w:tblStyle w:val="5"/>
        <w:tblpPr w:leftFromText="180" w:rightFromText="180" w:vertAnchor="text" w:horzAnchor="page" w:tblpX="1498" w:tblpY="244"/>
        <w:tblOverlap w:val="never"/>
        <w:tblW w:w="13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593"/>
        <w:gridCol w:w="1635"/>
        <w:gridCol w:w="1935"/>
        <w:gridCol w:w="5340"/>
        <w:gridCol w:w="162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3" w:hRule="atLeast"/>
        </w:trPr>
        <w:tc>
          <w:tcPr>
            <w:tcW w:w="487" w:type="dxa"/>
            <w:vAlign w:val="center"/>
          </w:tcPr>
          <w:p>
            <w:pPr>
              <w:jc w:val="center"/>
              <w:rPr>
                <w:rFonts w:hint="eastAsia" w:eastAsiaTheme="minorEastAsia"/>
                <w:vertAlign w:val="baseline"/>
                <w:lang w:val="en-US" w:eastAsia="zh-CN"/>
              </w:rPr>
            </w:pPr>
            <w:r>
              <w:rPr>
                <w:rFonts w:hint="eastAsia"/>
                <w:vertAlign w:val="baseline"/>
                <w:lang w:val="en-US" w:eastAsia="zh-CN"/>
              </w:rPr>
              <w:t>16</w:t>
            </w:r>
          </w:p>
        </w:tc>
        <w:tc>
          <w:tcPr>
            <w:tcW w:w="1593" w:type="dxa"/>
            <w:vAlign w:val="center"/>
          </w:tcPr>
          <w:p>
            <w:pPr>
              <w:jc w:val="center"/>
              <w:rPr>
                <w:rFonts w:hint="eastAsia" w:eastAsiaTheme="minorEastAsia"/>
                <w:vertAlign w:val="baseline"/>
                <w:lang w:val="en-US" w:eastAsia="zh-CN"/>
              </w:rPr>
            </w:pPr>
            <w:r>
              <w:rPr>
                <w:rFonts w:hint="eastAsia"/>
                <w:vertAlign w:val="baseline"/>
                <w:lang w:val="en-US" w:eastAsia="zh-CN"/>
              </w:rPr>
              <w:t>销售者销售伪造产地，伪造或者冒用他人的厂名、厂址的产品</w:t>
            </w:r>
          </w:p>
        </w:tc>
        <w:tc>
          <w:tcPr>
            <w:tcW w:w="1635" w:type="dxa"/>
            <w:vAlign w:val="center"/>
          </w:tcPr>
          <w:p>
            <w:pPr>
              <w:jc w:val="center"/>
              <w:rPr>
                <w:rFonts w:hint="eastAsia" w:eastAsiaTheme="minorEastAsia"/>
                <w:vertAlign w:val="baseline"/>
                <w:lang w:val="en-US" w:eastAsia="zh-CN"/>
              </w:rPr>
            </w:pPr>
            <w:r>
              <w:rPr>
                <w:rFonts w:hint="eastAsia"/>
                <w:vertAlign w:val="baseline"/>
                <w:lang w:val="en-US" w:eastAsia="zh-CN"/>
              </w:rPr>
              <w:t>违法情节轻微，有充分证据证明其不知道该产品为禁止销售的产品并如实说明进货来源的</w:t>
            </w:r>
          </w:p>
        </w:tc>
        <w:tc>
          <w:tcPr>
            <w:tcW w:w="1935" w:type="dxa"/>
            <w:vAlign w:val="center"/>
          </w:tcPr>
          <w:p>
            <w:pPr>
              <w:jc w:val="both"/>
              <w:rPr>
                <w:rFonts w:hint="eastAsia" w:asciiTheme="minorEastAsia" w:hAnsiTheme="minorEastAsia" w:eastAsiaTheme="minorEastAsia" w:cstheme="minorEastAsia"/>
                <w:sz w:val="21"/>
                <w:szCs w:val="21"/>
                <w:vertAlign w:val="baseline"/>
                <w:lang w:val="en-US" w:eastAsia="zh-CN"/>
              </w:rPr>
            </w:pPr>
            <w:r>
              <w:rPr>
                <w:rFonts w:hint="eastAsia" w:ascii="宋体" w:hAnsi="宋体" w:eastAsia="宋体" w:cs="宋体"/>
                <w:i w:val="0"/>
                <w:caps w:val="0"/>
                <w:color w:val="333333"/>
                <w:spacing w:val="0"/>
                <w:sz w:val="21"/>
                <w:szCs w:val="21"/>
                <w:shd w:val="clear" w:fill="FFFFFF"/>
              </w:rPr>
              <w:t>责令改正，没收违法生产、销售的产品，并处违法生产、销售产品货值金额等值以下的罚款;有违法所得的，并处没收违法所得;情节严重的，吊销营业执照</w:t>
            </w:r>
          </w:p>
        </w:tc>
        <w:tc>
          <w:tcPr>
            <w:tcW w:w="5340" w:type="dxa"/>
            <w:vAlign w:val="center"/>
          </w:tcPr>
          <w:p>
            <w:pPr>
              <w:numPr>
                <w:ilvl w:val="0"/>
                <w:numId w:val="10"/>
              </w:numPr>
              <w:jc w:val="both"/>
              <w:rPr>
                <w:rFonts w:hint="eastAsia"/>
                <w:vertAlign w:val="baseline"/>
                <w:lang w:val="en-US" w:eastAsia="zh-CN"/>
              </w:rPr>
            </w:pPr>
            <w:r>
              <w:rPr>
                <w:rFonts w:hint="eastAsia"/>
                <w:vertAlign w:val="baseline"/>
                <w:lang w:val="en-US" w:eastAsia="zh-CN"/>
              </w:rPr>
              <w:t>《行政处罚法》第三十二条第（五）项“法律、法规、规章规定其他应当从轻或者减轻行政处罚的”。</w:t>
            </w:r>
          </w:p>
          <w:p>
            <w:pPr>
              <w:numPr>
                <w:ilvl w:val="0"/>
                <w:numId w:val="0"/>
              </w:numPr>
              <w:jc w:val="both"/>
              <w:rPr>
                <w:rFonts w:hint="eastAsia"/>
                <w:vertAlign w:val="baseline"/>
                <w:lang w:val="en-US" w:eastAsia="zh-CN"/>
              </w:rPr>
            </w:pPr>
            <w:r>
              <w:rPr>
                <w:rFonts w:hint="eastAsia"/>
                <w:vertAlign w:val="baseline"/>
                <w:lang w:val="en-US" w:eastAsia="zh-CN"/>
              </w:rPr>
              <w:t>2</w:t>
            </w:r>
            <w:r>
              <w:rPr>
                <w:rFonts w:hint="eastAsia" w:asciiTheme="minorEastAsia" w:hAnsiTheme="minorEastAsia" w:eastAsiaTheme="minorEastAsia" w:cstheme="minorEastAsia"/>
                <w:sz w:val="21"/>
                <w:szCs w:val="21"/>
                <w:vertAlign w:val="baseline"/>
                <w:lang w:val="en-US" w:eastAsia="zh-CN"/>
              </w:rPr>
              <w:t>、《中华人民共和国产品质量法》第五十三条“</w:t>
            </w:r>
            <w:r>
              <w:rPr>
                <w:rFonts w:hint="eastAsia" w:asciiTheme="minorEastAsia" w:hAnsiTheme="minorEastAsia" w:eastAsiaTheme="minorEastAsia" w:cstheme="minorEastAsia"/>
                <w:i w:val="0"/>
                <w:caps w:val="0"/>
                <w:color w:val="333333"/>
                <w:spacing w:val="0"/>
                <w:sz w:val="21"/>
                <w:szCs w:val="21"/>
                <w:shd w:val="clear" w:fill="FFFFFF"/>
              </w:rPr>
              <w:t>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r>
              <w:rPr>
                <w:rFonts w:hint="eastAsia" w:asciiTheme="minorEastAsia" w:hAnsiTheme="minorEastAsia" w:eastAsiaTheme="minorEastAsia" w:cstheme="minorEastAsia"/>
                <w:sz w:val="21"/>
                <w:szCs w:val="21"/>
                <w:vertAlign w:val="baseline"/>
                <w:lang w:val="en-US" w:eastAsia="zh-CN"/>
              </w:rPr>
              <w:t>”</w:t>
            </w:r>
          </w:p>
        </w:tc>
        <w:tc>
          <w:tcPr>
            <w:tcW w:w="1620"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8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6" w:hRule="atLeast"/>
        </w:trPr>
        <w:tc>
          <w:tcPr>
            <w:tcW w:w="487" w:type="dxa"/>
            <w:vAlign w:val="center"/>
          </w:tcPr>
          <w:p>
            <w:pPr>
              <w:jc w:val="center"/>
              <w:rPr>
                <w:rFonts w:hint="eastAsia" w:eastAsiaTheme="minorEastAsia"/>
                <w:vertAlign w:val="baseline"/>
                <w:lang w:val="en-US" w:eastAsia="zh-CN"/>
              </w:rPr>
            </w:pPr>
            <w:r>
              <w:rPr>
                <w:rFonts w:hint="eastAsia"/>
                <w:vertAlign w:val="baseline"/>
                <w:lang w:val="en-US" w:eastAsia="zh-CN"/>
              </w:rPr>
              <w:t>17</w:t>
            </w:r>
          </w:p>
        </w:tc>
        <w:tc>
          <w:tcPr>
            <w:tcW w:w="1593" w:type="dxa"/>
            <w:vAlign w:val="center"/>
          </w:tcPr>
          <w:p>
            <w:pPr>
              <w:jc w:val="both"/>
              <w:rPr>
                <w:rFonts w:hint="eastAsia" w:eastAsiaTheme="minorEastAsia"/>
                <w:vertAlign w:val="baseline"/>
                <w:lang w:val="en-US" w:eastAsia="zh-CN"/>
              </w:rPr>
            </w:pPr>
            <w:r>
              <w:rPr>
                <w:rFonts w:hint="eastAsia"/>
                <w:vertAlign w:val="baseline"/>
                <w:lang w:val="en-US" w:eastAsia="zh-CN"/>
              </w:rPr>
              <w:t>个体经营者及中小微企业不执行政府定价、政府指导价</w:t>
            </w:r>
          </w:p>
        </w:tc>
        <w:tc>
          <w:tcPr>
            <w:tcW w:w="1635" w:type="dxa"/>
            <w:vAlign w:val="center"/>
          </w:tcPr>
          <w:p>
            <w:pPr>
              <w:jc w:val="both"/>
              <w:rPr>
                <w:rFonts w:hint="eastAsia" w:eastAsiaTheme="minorEastAsia"/>
                <w:vertAlign w:val="baseline"/>
                <w:lang w:val="en-US" w:eastAsia="zh-CN"/>
              </w:rPr>
            </w:pPr>
            <w:r>
              <w:rPr>
                <w:rFonts w:hint="eastAsia"/>
                <w:vertAlign w:val="baseline"/>
                <w:lang w:val="en-US" w:eastAsia="zh-CN"/>
              </w:rPr>
              <w:t>违法所得数额较小且主动消除违法后果的</w:t>
            </w:r>
          </w:p>
        </w:tc>
        <w:tc>
          <w:tcPr>
            <w:tcW w:w="1935" w:type="dxa"/>
            <w:vAlign w:val="center"/>
          </w:tcPr>
          <w:p>
            <w:pPr>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val="0"/>
                <w:caps w:val="0"/>
                <w:color w:val="333333"/>
                <w:spacing w:val="0"/>
                <w:sz w:val="21"/>
                <w:szCs w:val="21"/>
                <w:shd w:val="clear" w:fill="FFFFFF"/>
              </w:rPr>
              <w:t>责令改正，没收违法所得，可以并处违法所得五倍以下的罚款;没有违法所得的，可以处以罚款;情节严重的，责令停业整顿</w:t>
            </w:r>
          </w:p>
        </w:tc>
        <w:tc>
          <w:tcPr>
            <w:tcW w:w="5340" w:type="dxa"/>
            <w:vAlign w:val="center"/>
          </w:tcPr>
          <w:p>
            <w:pPr>
              <w:numPr>
                <w:ilvl w:val="0"/>
                <w:numId w:val="11"/>
              </w:numPr>
              <w:jc w:val="both"/>
              <w:rPr>
                <w:rFonts w:hint="eastAsia"/>
                <w:vertAlign w:val="baseline"/>
                <w:lang w:val="en-US" w:eastAsia="zh-CN"/>
              </w:rPr>
            </w:pPr>
            <w:r>
              <w:rPr>
                <w:rFonts w:hint="eastAsia"/>
                <w:vertAlign w:val="baseline"/>
                <w:lang w:val="en-US" w:eastAsia="zh-CN"/>
              </w:rPr>
              <w:t>《行政处罚法》第三十二条第（一）项“主动消除或者减轻违法行为危害后果的”。</w:t>
            </w:r>
          </w:p>
          <w:p>
            <w:pPr>
              <w:numPr>
                <w:ilvl w:val="0"/>
                <w:numId w:val="11"/>
              </w:numPr>
              <w:jc w:val="both"/>
              <w:rPr>
                <w:rFonts w:hint="eastAsia"/>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《中华人民共和国价格法》第三十九条“</w:t>
            </w:r>
            <w:r>
              <w:rPr>
                <w:rFonts w:hint="eastAsia" w:asciiTheme="minorEastAsia" w:hAnsiTheme="minorEastAsia" w:eastAsiaTheme="minorEastAsia" w:cstheme="minorEastAsia"/>
                <w:i w:val="0"/>
                <w:caps w:val="0"/>
                <w:color w:val="333333"/>
                <w:spacing w:val="0"/>
                <w:sz w:val="21"/>
                <w:szCs w:val="21"/>
                <w:shd w:val="clear" w:fill="FFFFFF"/>
              </w:rPr>
              <w:t>经营者不执行政府指导价、政府定价以及法定的价格干预措施、紧急措施的，责令改正，没收违法所得，可以并处违法所得五倍以下的罚款;没有违法所得的，可以处以罚款;情节严重的，责令停业整顿。</w:t>
            </w:r>
            <w:r>
              <w:rPr>
                <w:rFonts w:hint="eastAsia"/>
                <w:vertAlign w:val="baseline"/>
                <w:lang w:val="en-US" w:eastAsia="zh-CN"/>
              </w:rPr>
              <w:t>”</w:t>
            </w:r>
          </w:p>
        </w:tc>
        <w:tc>
          <w:tcPr>
            <w:tcW w:w="1620"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9" w:hRule="atLeast"/>
        </w:trPr>
        <w:tc>
          <w:tcPr>
            <w:tcW w:w="487" w:type="dxa"/>
            <w:vAlign w:val="center"/>
          </w:tcPr>
          <w:p>
            <w:pPr>
              <w:jc w:val="center"/>
              <w:rPr>
                <w:rFonts w:hint="eastAsia"/>
                <w:vertAlign w:val="baseline"/>
                <w:lang w:val="en-US" w:eastAsia="zh-CN"/>
              </w:rPr>
            </w:pPr>
            <w:r>
              <w:rPr>
                <w:rFonts w:hint="eastAsia"/>
                <w:vertAlign w:val="baseline"/>
                <w:lang w:val="en-US" w:eastAsia="zh-CN"/>
              </w:rPr>
              <w:t>18</w:t>
            </w:r>
          </w:p>
        </w:tc>
        <w:tc>
          <w:tcPr>
            <w:tcW w:w="1593" w:type="dxa"/>
            <w:vAlign w:val="center"/>
          </w:tcPr>
          <w:p>
            <w:pPr>
              <w:jc w:val="both"/>
              <w:rPr>
                <w:rFonts w:hint="eastAsia" w:eastAsiaTheme="minorEastAsia"/>
                <w:vertAlign w:val="baseline"/>
                <w:lang w:val="en-US" w:eastAsia="zh-CN"/>
              </w:rPr>
            </w:pPr>
            <w:r>
              <w:rPr>
                <w:rFonts w:hint="eastAsia"/>
                <w:vertAlign w:val="baseline"/>
                <w:lang w:val="en-US" w:eastAsia="zh-CN"/>
              </w:rPr>
              <w:t>未经商标注册人的许可，在同一种商品上使用与其注册商标近似的商标</w:t>
            </w:r>
          </w:p>
        </w:tc>
        <w:tc>
          <w:tcPr>
            <w:tcW w:w="1635" w:type="dxa"/>
            <w:vAlign w:val="center"/>
          </w:tcPr>
          <w:p>
            <w:pPr>
              <w:jc w:val="both"/>
              <w:rPr>
                <w:rFonts w:hint="eastAsia" w:eastAsiaTheme="minorEastAsia"/>
                <w:vertAlign w:val="baseline"/>
                <w:lang w:val="en-US" w:eastAsia="zh-CN"/>
              </w:rPr>
            </w:pPr>
            <w:r>
              <w:rPr>
                <w:rFonts w:hint="eastAsia"/>
                <w:vertAlign w:val="baseline"/>
                <w:lang w:val="en-US" w:eastAsia="zh-CN"/>
              </w:rPr>
              <w:t>涉案财物或者违法所得较少且取得权利人谅解的</w:t>
            </w:r>
          </w:p>
        </w:tc>
        <w:tc>
          <w:tcPr>
            <w:tcW w:w="1935" w:type="dxa"/>
            <w:vAlign w:val="center"/>
          </w:tcPr>
          <w:p>
            <w:pPr>
              <w:jc w:val="both"/>
              <w:rPr>
                <w:rFonts w:hint="eastAsia" w:eastAsiaTheme="minorEastAsia"/>
                <w:vertAlign w:val="baseline"/>
                <w:lang w:val="en-US" w:eastAsia="zh-CN"/>
              </w:rPr>
            </w:pPr>
            <w:r>
              <w:rPr>
                <w:rFonts w:hint="eastAsia"/>
                <w:vertAlign w:val="baseline"/>
                <w:lang w:val="en-US" w:eastAsia="zh-CN"/>
              </w:rPr>
              <w:t>构成犯罪的，除赔偿被侵权人的损失外，依法追究刑事责任</w:t>
            </w:r>
          </w:p>
        </w:tc>
        <w:tc>
          <w:tcPr>
            <w:tcW w:w="5340" w:type="dxa"/>
            <w:vAlign w:val="center"/>
          </w:tcPr>
          <w:p>
            <w:pPr>
              <w:numPr>
                <w:ilvl w:val="0"/>
                <w:numId w:val="12"/>
              </w:numPr>
              <w:jc w:val="both"/>
              <w:rPr>
                <w:rFonts w:hint="eastAsia"/>
                <w:vertAlign w:val="baseline"/>
                <w:lang w:val="en-US" w:eastAsia="zh-CN"/>
              </w:rPr>
            </w:pPr>
            <w:r>
              <w:rPr>
                <w:rFonts w:hint="eastAsia"/>
                <w:vertAlign w:val="baseline"/>
                <w:lang w:val="en-US" w:eastAsia="zh-CN"/>
              </w:rPr>
              <w:t>《行政处罚法》第三十二条第（五）项“法律、法规、规章规定其他应当从轻或者减轻行政处罚的”。</w:t>
            </w:r>
          </w:p>
          <w:p>
            <w:pPr>
              <w:numPr>
                <w:ilvl w:val="0"/>
                <w:numId w:val="12"/>
              </w:numPr>
              <w:jc w:val="both"/>
              <w:rPr>
                <w:rFonts w:hint="eastAsia"/>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《中华人民共和国商标法》第六十七条</w:t>
            </w:r>
            <w:r>
              <w:rPr>
                <w:rFonts w:hint="eastAsia" w:asciiTheme="minorEastAsia" w:hAnsiTheme="minorEastAsia" w:cstheme="minorEastAsia"/>
                <w:sz w:val="21"/>
                <w:szCs w:val="21"/>
                <w:vertAlign w:val="baseline"/>
                <w:lang w:val="en-US" w:eastAsia="zh-CN"/>
              </w:rPr>
              <w:t>第一款</w:t>
            </w:r>
            <w:r>
              <w:rPr>
                <w:rFonts w:hint="eastAsia" w:asciiTheme="minorEastAsia" w:hAnsiTheme="minorEastAsia" w:eastAsiaTheme="minorEastAsia" w:cstheme="minorEastAsia"/>
                <w:sz w:val="21"/>
                <w:szCs w:val="21"/>
                <w:vertAlign w:val="baseline"/>
                <w:lang w:val="en-US" w:eastAsia="zh-CN"/>
              </w:rPr>
              <w:t>“</w:t>
            </w:r>
            <w:r>
              <w:rPr>
                <w:rFonts w:hint="eastAsia" w:asciiTheme="minorEastAsia" w:hAnsiTheme="minorEastAsia" w:eastAsiaTheme="minorEastAsia" w:cstheme="minorEastAsia"/>
                <w:i w:val="0"/>
                <w:caps w:val="0"/>
                <w:color w:val="000000"/>
                <w:spacing w:val="0"/>
                <w:sz w:val="21"/>
                <w:szCs w:val="21"/>
                <w:shd w:val="clear" w:fill="FFFFFF"/>
              </w:rPr>
              <w:t>未经商标注册人许可，在同一种商品上使用与其注册商标相同的商标，构成犯罪的，除赔偿被侵权人的损失外，依法追究刑事责任</w:t>
            </w:r>
            <w:r>
              <w:rPr>
                <w:rFonts w:hint="eastAsia" w:asciiTheme="minorEastAsia" w:hAnsiTheme="minorEastAsia" w:eastAsiaTheme="minorEastAsia" w:cstheme="minorEastAsia"/>
                <w:sz w:val="21"/>
                <w:szCs w:val="21"/>
                <w:vertAlign w:val="baseline"/>
                <w:lang w:val="en-US" w:eastAsia="zh-CN"/>
              </w:rPr>
              <w:t>”。</w:t>
            </w:r>
          </w:p>
        </w:tc>
        <w:tc>
          <w:tcPr>
            <w:tcW w:w="1620" w:type="dxa"/>
            <w:vAlign w:val="center"/>
          </w:tcPr>
          <w:p>
            <w:pPr>
              <w:jc w:val="center"/>
              <w:rPr>
                <w:rFonts w:hint="eastAsia"/>
                <w:vertAlign w:val="baseline"/>
                <w:lang w:val="en-US" w:eastAsia="zh-CN"/>
              </w:rPr>
            </w:pPr>
            <w:r>
              <w:rPr>
                <w:rFonts w:hint="eastAsia"/>
                <w:vertAlign w:val="baseline"/>
                <w:lang w:val="en-US" w:eastAsia="zh-CN"/>
              </w:rPr>
              <w:t>市场监督部门</w:t>
            </w:r>
          </w:p>
        </w:tc>
        <w:tc>
          <w:tcPr>
            <w:tcW w:w="1380" w:type="dxa"/>
            <w:vMerge w:val="continue"/>
            <w:vAlign w:val="center"/>
          </w:tcPr>
          <w:p>
            <w:pPr>
              <w:jc w:val="center"/>
              <w:rPr>
                <w:vertAlign w:val="baseline"/>
              </w:rPr>
            </w:pPr>
          </w:p>
        </w:tc>
      </w:tr>
    </w:tbl>
    <w:p/>
    <w:p/>
    <w:tbl>
      <w:tblPr>
        <w:tblStyle w:val="5"/>
        <w:tblpPr w:leftFromText="180" w:rightFromText="180" w:vertAnchor="page" w:horzAnchor="page" w:tblpX="1468" w:tblpY="2523"/>
        <w:tblOverlap w:val="never"/>
        <w:tblW w:w="14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355"/>
        <w:gridCol w:w="2325"/>
        <w:gridCol w:w="5804"/>
        <w:gridCol w:w="154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503"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355" w:type="dxa"/>
            <w:vAlign w:val="center"/>
          </w:tcPr>
          <w:p>
            <w:pPr>
              <w:jc w:val="center"/>
              <w:rPr>
                <w:rFonts w:hint="eastAsia" w:eastAsiaTheme="minorEastAsia"/>
                <w:vertAlign w:val="baseline"/>
                <w:lang w:eastAsia="zh-CN"/>
              </w:rPr>
            </w:pPr>
            <w:r>
              <w:rPr>
                <w:rFonts w:hint="eastAsia"/>
                <w:vertAlign w:val="baseline"/>
                <w:lang w:eastAsia="zh-CN"/>
              </w:rPr>
              <w:t>违法行为</w:t>
            </w:r>
          </w:p>
        </w:tc>
        <w:tc>
          <w:tcPr>
            <w:tcW w:w="2325" w:type="dxa"/>
            <w:vAlign w:val="center"/>
          </w:tcPr>
          <w:p>
            <w:pPr>
              <w:jc w:val="center"/>
              <w:rPr>
                <w:rFonts w:hint="eastAsia" w:eastAsiaTheme="minorEastAsia"/>
                <w:vertAlign w:val="baseline"/>
                <w:lang w:eastAsia="zh-CN"/>
              </w:rPr>
            </w:pPr>
            <w:r>
              <w:rPr>
                <w:rFonts w:hint="eastAsia"/>
                <w:vertAlign w:val="baseline"/>
                <w:lang w:val="en-US" w:eastAsia="zh-CN"/>
              </w:rPr>
              <w:t>不予处罚条件</w:t>
            </w:r>
          </w:p>
        </w:tc>
        <w:tc>
          <w:tcPr>
            <w:tcW w:w="5804" w:type="dxa"/>
            <w:vAlign w:val="center"/>
          </w:tcPr>
          <w:p>
            <w:pPr>
              <w:jc w:val="center"/>
              <w:rPr>
                <w:vertAlign w:val="baseline"/>
              </w:rPr>
            </w:pPr>
            <w:r>
              <w:rPr>
                <w:rFonts w:hint="eastAsia"/>
                <w:vertAlign w:val="baseline"/>
                <w:lang w:eastAsia="zh-CN"/>
              </w:rPr>
              <w:t>法律依据</w:t>
            </w:r>
          </w:p>
        </w:tc>
        <w:tc>
          <w:tcPr>
            <w:tcW w:w="1545" w:type="dxa"/>
            <w:vAlign w:val="center"/>
          </w:tcPr>
          <w:p>
            <w:pPr>
              <w:jc w:val="center"/>
              <w:rPr>
                <w:rFonts w:hint="eastAsia" w:eastAsiaTheme="minorEastAsia"/>
                <w:vertAlign w:val="baseline"/>
                <w:lang w:eastAsia="zh-CN"/>
              </w:rPr>
            </w:pPr>
            <w:r>
              <w:rPr>
                <w:rFonts w:hint="eastAsia"/>
                <w:vertAlign w:val="baseline"/>
                <w:lang w:eastAsia="zh-CN"/>
              </w:rPr>
              <w:t>实施主体</w:t>
            </w:r>
          </w:p>
        </w:tc>
        <w:tc>
          <w:tcPr>
            <w:tcW w:w="1485" w:type="dxa"/>
            <w:vAlign w:val="center"/>
          </w:tcPr>
          <w:p>
            <w:pPr>
              <w:jc w:val="center"/>
              <w:rPr>
                <w:rFonts w:hint="eastAsia" w:eastAsiaTheme="minorEastAsia"/>
                <w:vertAlign w:val="baseline"/>
                <w:lang w:eastAsia="zh-CN"/>
              </w:rPr>
            </w:pPr>
            <w:r>
              <w:rPr>
                <w:rFonts w:hint="eastAsia"/>
                <w:vertAlign w:val="baseline"/>
                <w:lang w:eastAsia="zh-CN"/>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明知属于无照经营而为经营者提供经营场所</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没有造成实际危害后果的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 xml:space="preserve"> 《无证无照经营查处办法》 第十四条</w:t>
            </w:r>
            <w:r>
              <w:rPr>
                <w:rFonts w:hint="eastAsia" w:asciiTheme="minorEastAsia" w:hAnsiTheme="minorEastAsia" w:eastAsiaTheme="minorEastAsia" w:cstheme="minorEastAsia"/>
                <w:sz w:val="21"/>
                <w:szCs w:val="21"/>
                <w:vertAlign w:val="baseline"/>
                <w:lang w:val="en-US" w:eastAsia="zh-CN"/>
              </w:rPr>
              <w:t xml:space="preserve"> </w:t>
            </w:r>
            <w:r>
              <w:rPr>
                <w:rFonts w:hint="eastAsia" w:asciiTheme="minorEastAsia" w:hAnsiTheme="minorEastAsia" w:eastAsiaTheme="minorEastAsia" w:cstheme="minorEastAsia"/>
                <w:i w:val="0"/>
                <w:caps w:val="0"/>
                <w:color w:val="333333"/>
                <w:spacing w:val="0"/>
                <w:sz w:val="21"/>
                <w:szCs w:val="21"/>
                <w:shd w:val="clear" w:fill="FFFFFF"/>
              </w:rPr>
              <w:t>明知属于无照经营而为经营者提供经营场所，或者提供运输、保管、仓储等条件的，由工商行政管理部门责令停止违法行为，没收违法所得，可以处5000元以下的罚款。</w:t>
            </w:r>
          </w:p>
        </w:tc>
        <w:tc>
          <w:tcPr>
            <w:tcW w:w="1545"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485"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8"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2</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登记事项发生变更时，未依法办理有关变更登记的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没有造成实际危害后果的</w:t>
            </w:r>
          </w:p>
        </w:tc>
        <w:tc>
          <w:tcPr>
            <w:tcW w:w="5804" w:type="dxa"/>
            <w:vAlign w:val="center"/>
          </w:tcPr>
          <w:p>
            <w:pPr>
              <w:numPr>
                <w:ilvl w:val="0"/>
                <w:numId w:val="0"/>
              </w:numPr>
              <w:jc w:val="both"/>
              <w:rPr>
                <w:rFonts w:ascii="Arial" w:hAnsi="Arial" w:eastAsia="宋体" w:cs="Arial"/>
                <w:i w:val="0"/>
                <w:caps w:val="0"/>
                <w:color w:val="333333"/>
                <w:spacing w:val="0"/>
                <w:sz w:val="21"/>
                <w:szCs w:val="21"/>
                <w:shd w:val="clear" w:fill="FFFFFF"/>
              </w:rPr>
            </w:pPr>
            <w:r>
              <w:rPr>
                <w:rFonts w:hint="eastAsia"/>
                <w:vertAlign w:val="baseline"/>
                <w:lang w:val="en-US" w:eastAsia="zh-CN"/>
              </w:rPr>
              <w:t xml:space="preserve">《公司法》 第七条第三款 </w:t>
            </w:r>
            <w:r>
              <w:rPr>
                <w:rFonts w:ascii="Arial" w:hAnsi="Arial" w:eastAsia="宋体" w:cs="Arial"/>
                <w:i w:val="0"/>
                <w:caps w:val="0"/>
                <w:color w:val="333333"/>
                <w:spacing w:val="0"/>
                <w:sz w:val="21"/>
                <w:szCs w:val="21"/>
                <w:shd w:val="clear" w:fill="FFFFFF"/>
              </w:rPr>
              <w:t>公司营业执照记载的事项发生变更的，公司应当依法办理变更登记，由公司登记机关换发营业执照。</w:t>
            </w:r>
          </w:p>
          <w:p>
            <w:pPr>
              <w:numPr>
                <w:ilvl w:val="0"/>
                <w:numId w:val="0"/>
              </w:numPr>
              <w:jc w:val="both"/>
              <w:rPr>
                <w:rFonts w:hint="eastAsia" w:ascii="Arial" w:hAnsi="Arial" w:eastAsia="宋体" w:cs="Arial"/>
                <w:i w:val="0"/>
                <w:caps w:val="0"/>
                <w:color w:val="333333"/>
                <w:spacing w:val="0"/>
                <w:sz w:val="21"/>
                <w:szCs w:val="21"/>
                <w:shd w:val="clear" w:fill="FFFFFF"/>
                <w:lang w:val="en-US" w:eastAsia="zh-CN"/>
              </w:rPr>
            </w:pPr>
            <w:r>
              <w:rPr>
                <w:rFonts w:hint="eastAsia" w:ascii="Arial" w:hAnsi="Arial" w:eastAsia="宋体" w:cs="Arial"/>
                <w:i w:val="0"/>
                <w:caps w:val="0"/>
                <w:color w:val="333333"/>
                <w:spacing w:val="0"/>
                <w:sz w:val="21"/>
                <w:szCs w:val="21"/>
                <w:shd w:val="clear" w:fill="FFFFFF"/>
                <w:lang w:eastAsia="zh-CN"/>
              </w:rPr>
              <w:t>《</w:t>
            </w:r>
            <w:r>
              <w:rPr>
                <w:rFonts w:hint="eastAsia" w:ascii="Arial" w:hAnsi="Arial" w:eastAsia="宋体" w:cs="Arial"/>
                <w:i w:val="0"/>
                <w:caps w:val="0"/>
                <w:color w:val="333333"/>
                <w:spacing w:val="0"/>
                <w:sz w:val="21"/>
                <w:szCs w:val="21"/>
                <w:shd w:val="clear" w:fill="FFFFFF"/>
                <w:lang w:val="en-US" w:eastAsia="zh-CN"/>
              </w:rPr>
              <w:t>中华人民共和国合伙企业法</w:t>
            </w:r>
            <w:r>
              <w:rPr>
                <w:rFonts w:hint="eastAsia" w:ascii="Arial" w:hAnsi="Arial" w:eastAsia="宋体" w:cs="Arial"/>
                <w:i w:val="0"/>
                <w:caps w:val="0"/>
                <w:color w:val="333333"/>
                <w:spacing w:val="0"/>
                <w:sz w:val="21"/>
                <w:szCs w:val="21"/>
                <w:shd w:val="clear" w:fill="FFFFFF"/>
                <w:lang w:eastAsia="zh-CN"/>
              </w:rPr>
              <w:t>》</w:t>
            </w:r>
            <w:r>
              <w:rPr>
                <w:rFonts w:hint="eastAsia" w:ascii="Arial" w:hAnsi="Arial" w:eastAsia="宋体" w:cs="Arial"/>
                <w:i w:val="0"/>
                <w:caps w:val="0"/>
                <w:color w:val="333333"/>
                <w:spacing w:val="0"/>
                <w:sz w:val="21"/>
                <w:szCs w:val="21"/>
                <w:shd w:val="clear" w:fill="FFFFFF"/>
                <w:lang w:val="en-US" w:eastAsia="zh-CN"/>
              </w:rPr>
              <w:t xml:space="preserve"> 第十三条 合伙企业登记事项发生变更的，执行合伙事务的合伙人应当自作出变更决定或者发生变更事由之日起十五日内，向企业登记机关申请变更登记。</w:t>
            </w:r>
          </w:p>
          <w:p>
            <w:pPr>
              <w:numPr>
                <w:ilvl w:val="0"/>
                <w:numId w:val="0"/>
              </w:numPr>
              <w:jc w:val="both"/>
              <w:rPr>
                <w:rFonts w:hint="eastAsia" w:ascii="Arial" w:hAnsi="Arial" w:eastAsia="宋体" w:cs="Arial"/>
                <w:i w:val="0"/>
                <w:caps w:val="0"/>
                <w:color w:val="333333"/>
                <w:spacing w:val="0"/>
                <w:sz w:val="21"/>
                <w:szCs w:val="21"/>
                <w:shd w:val="clear" w:fill="FFFFFF"/>
                <w:lang w:val="en-US" w:eastAsia="zh-CN"/>
              </w:rPr>
            </w:pPr>
            <w:r>
              <w:rPr>
                <w:rFonts w:hint="eastAsia" w:ascii="Arial" w:hAnsi="Arial" w:eastAsia="宋体" w:cs="Arial"/>
                <w:i w:val="0"/>
                <w:caps w:val="0"/>
                <w:color w:val="333333"/>
                <w:spacing w:val="0"/>
                <w:sz w:val="21"/>
                <w:szCs w:val="21"/>
                <w:shd w:val="clear" w:fill="FFFFFF"/>
                <w:lang w:val="en-US" w:eastAsia="zh-CN"/>
              </w:rPr>
              <w:t>《个人独资企业法》 第十五条 个人独资企业存续期间登记事项发生变更的，应当在作出变更决定之日起的十五日内依法向登记机关申请办理变更登记。</w:t>
            </w:r>
          </w:p>
          <w:p>
            <w:pPr>
              <w:numPr>
                <w:ilvl w:val="0"/>
                <w:numId w:val="0"/>
              </w:numPr>
              <w:jc w:val="both"/>
              <w:rPr>
                <w:rFonts w:hint="eastAsia" w:ascii="Arial" w:hAnsi="Arial" w:eastAsia="宋体" w:cs="Arial"/>
                <w:i w:val="0"/>
                <w:caps w:val="0"/>
                <w:color w:val="333333"/>
                <w:spacing w:val="0"/>
                <w:sz w:val="21"/>
                <w:szCs w:val="21"/>
                <w:shd w:val="clear" w:fill="FFFFFF"/>
                <w:lang w:val="en-US" w:eastAsia="zh-CN"/>
              </w:rPr>
            </w:pPr>
            <w:r>
              <w:rPr>
                <w:rFonts w:hint="eastAsia" w:ascii="Arial" w:hAnsi="Arial" w:eastAsia="宋体" w:cs="Arial"/>
                <w:i w:val="0"/>
                <w:caps w:val="0"/>
                <w:color w:val="333333"/>
                <w:spacing w:val="0"/>
                <w:sz w:val="21"/>
                <w:szCs w:val="21"/>
                <w:shd w:val="clear" w:fill="FFFFFF"/>
                <w:lang w:val="en-US" w:eastAsia="zh-CN"/>
              </w:rPr>
              <w:t>《个体工商户条例》 第十条 个体工商户登记事项变更的，应当向登记机关申请办理变更登记。</w:t>
            </w:r>
          </w:p>
        </w:tc>
        <w:tc>
          <w:tcPr>
            <w:tcW w:w="1545"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485"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3</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违反《中华人民共和国公司登记管理条例》第二十六条规定的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不涉及法律、行政法规或国务院决定规定在登记前须经批准的项目，责令限期登记后及时办理登记的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《中华人民共和国公司登记管理条例》 第二十六条第一款 公司变更登记事项，应当向原公司登记机关申请变更登记。</w:t>
            </w:r>
          </w:p>
          <w:p>
            <w:pPr>
              <w:numPr>
                <w:ilvl w:val="0"/>
                <w:numId w:val="0"/>
              </w:numPr>
              <w:jc w:val="both"/>
              <w:rPr>
                <w:rFonts w:hint="eastAsia"/>
                <w:vertAlign w:val="baseline"/>
                <w:lang w:val="en-US" w:eastAsia="zh-CN"/>
              </w:rPr>
            </w:pPr>
            <w:r>
              <w:rPr>
                <w:rFonts w:hint="eastAsia"/>
                <w:vertAlign w:val="baseline"/>
                <w:lang w:val="en-US" w:eastAsia="zh-CN"/>
              </w:rPr>
              <w:t>第二款 未经变更登记，公司不得擅自改变登记事项。</w:t>
            </w:r>
          </w:p>
        </w:tc>
        <w:tc>
          <w:tcPr>
            <w:tcW w:w="1545"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485" w:type="dxa"/>
            <w:vMerge w:val="continue"/>
            <w:vAlign w:val="center"/>
          </w:tcPr>
          <w:p>
            <w:pPr>
              <w:jc w:val="center"/>
              <w:rPr>
                <w:vertAlign w:val="baseline"/>
              </w:rPr>
            </w:pPr>
          </w:p>
        </w:tc>
      </w:tr>
    </w:tbl>
    <w:p>
      <w:pPr>
        <w:jc w:val="center"/>
        <w:rPr>
          <w:rFonts w:hint="eastAsia" w:eastAsiaTheme="minorEastAsia"/>
          <w:b/>
          <w:bCs/>
          <w:sz w:val="44"/>
          <w:szCs w:val="44"/>
          <w:lang w:val="en-US" w:eastAsia="zh-CN"/>
        </w:rPr>
      </w:pPr>
      <w:r>
        <w:rPr>
          <w:rFonts w:hint="eastAsia"/>
          <w:b/>
          <w:bCs/>
          <w:sz w:val="44"/>
          <w:szCs w:val="44"/>
          <w:lang w:val="en-US" w:eastAsia="zh-CN"/>
        </w:rPr>
        <w:t>岳阳市市场监督管理局不予处罚清单</w:t>
      </w:r>
    </w:p>
    <w:tbl>
      <w:tblPr>
        <w:tblStyle w:val="5"/>
        <w:tblW w:w="14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355"/>
        <w:gridCol w:w="2325"/>
        <w:gridCol w:w="5804"/>
        <w:gridCol w:w="165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4</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公司未将修改后的公司章程或公司章程修正案报送原登记机关备案的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 xml:space="preserve"> 《中华人民共和国公司登记管理条例》 第三十六条 公司章程修改未涉及登记事项的，公司应当将修改后的公司章程或者公司章程修正案送原公司登记机关备案。</w:t>
            </w:r>
          </w:p>
        </w:tc>
        <w:tc>
          <w:tcPr>
            <w:tcW w:w="1650"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8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3"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5</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公司董事、监事、经理发生变动的未向原公司登记机关备案的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限期改正后及时改正的</w:t>
            </w:r>
          </w:p>
        </w:tc>
        <w:tc>
          <w:tcPr>
            <w:tcW w:w="5804" w:type="dxa"/>
            <w:vAlign w:val="center"/>
          </w:tcPr>
          <w:p>
            <w:pPr>
              <w:numPr>
                <w:ilvl w:val="0"/>
                <w:numId w:val="0"/>
              </w:numPr>
              <w:jc w:val="both"/>
              <w:rPr>
                <w:rFonts w:hint="eastAsia" w:ascii="Arial" w:hAnsi="Arial" w:eastAsia="宋体" w:cs="Arial"/>
                <w:i w:val="0"/>
                <w:caps w:val="0"/>
                <w:color w:val="333333"/>
                <w:spacing w:val="0"/>
                <w:sz w:val="21"/>
                <w:szCs w:val="21"/>
                <w:shd w:val="clear" w:fill="FFFFFF"/>
                <w:lang w:val="en-US" w:eastAsia="zh-CN"/>
              </w:rPr>
            </w:pPr>
            <w:r>
              <w:rPr>
                <w:rFonts w:hint="eastAsia" w:ascii="Arial" w:hAnsi="Arial" w:eastAsia="宋体" w:cs="Arial"/>
                <w:i w:val="0"/>
                <w:caps w:val="0"/>
                <w:color w:val="333333"/>
                <w:spacing w:val="0"/>
                <w:sz w:val="21"/>
                <w:szCs w:val="21"/>
                <w:shd w:val="clear" w:fill="FFFFFF"/>
                <w:lang w:val="en-US" w:eastAsia="zh-CN"/>
              </w:rPr>
              <w:t>《中华人民共和国公司登记管理条例》 第三十七条 公司董事、监事、经理发生变动的，应当向原公司登记机关备案。</w:t>
            </w:r>
          </w:p>
        </w:tc>
        <w:tc>
          <w:tcPr>
            <w:tcW w:w="1650"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6</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公司清算组未按规定将清算组成员、清算组负责人名单备案的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ascii="Arial" w:hAnsi="Arial" w:eastAsia="宋体" w:cs="Arial"/>
                <w:i w:val="0"/>
                <w:caps w:val="0"/>
                <w:color w:val="333333"/>
                <w:spacing w:val="0"/>
                <w:sz w:val="21"/>
                <w:szCs w:val="21"/>
                <w:shd w:val="clear" w:fill="FFFFFF"/>
                <w:lang w:val="en-US" w:eastAsia="zh-CN"/>
              </w:rPr>
              <w:t>《中华人民共和国公司登记管理条例》 第四十一条 公司解散，依法应当清算的，清算组应当自成立之日起10日内将清算组成员、清算组负责人名单向公司登记机关备案。</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7</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公司未按规定将其设立分公司情况备案的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ascii="Arial" w:hAnsi="Arial" w:eastAsia="宋体" w:cs="Arial"/>
                <w:i w:val="0"/>
                <w:caps w:val="0"/>
                <w:color w:val="333333"/>
                <w:spacing w:val="0"/>
                <w:sz w:val="21"/>
                <w:szCs w:val="21"/>
                <w:shd w:val="clear" w:fill="FFFFFF"/>
                <w:lang w:val="en-US" w:eastAsia="zh-CN"/>
              </w:rPr>
              <w:t>《中华人民共和国公司登记管理条例》 第四十七条第四款 分公司的公司登记机关准予登记的，发给《营业执照》。公司应当自分公司登记之日起30日内，持分公司的《营业执照》到公司登记机关办理备案。</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bl>
    <w:p/>
    <w:p/>
    <w:p/>
    <w:tbl>
      <w:tblPr>
        <w:tblStyle w:val="5"/>
        <w:tblW w:w="14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355"/>
        <w:gridCol w:w="2325"/>
        <w:gridCol w:w="5804"/>
        <w:gridCol w:w="165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8</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未将《企业法人营业执照》正本或者《营业执照》正本置于公司住所或者分公司营业场所的醒目位置</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 xml:space="preserve"> 《中华人民共和国公司登记管理条例》 第五十八条第三款 《企业法人营业执照》正本或者《营业执照》正本应当置于公司住所或者分公司营业场所的醒目位置。 </w:t>
            </w:r>
          </w:p>
        </w:tc>
        <w:tc>
          <w:tcPr>
            <w:tcW w:w="1650"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8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3"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9</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违反《中华人民共和国合伙企业法》第十三条规定的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不涉及法律、行政法规或国务院决定规定在登记前须经批准的项目，责令限期登记后及时办理登记的</w:t>
            </w:r>
          </w:p>
        </w:tc>
        <w:tc>
          <w:tcPr>
            <w:tcW w:w="5804" w:type="dxa"/>
            <w:vAlign w:val="center"/>
          </w:tcPr>
          <w:p>
            <w:pPr>
              <w:numPr>
                <w:ilvl w:val="0"/>
                <w:numId w:val="0"/>
              </w:numPr>
              <w:jc w:val="both"/>
              <w:rPr>
                <w:rFonts w:hint="eastAsia" w:ascii="Arial" w:hAnsi="Arial" w:eastAsia="宋体" w:cs="Arial"/>
                <w:i w:val="0"/>
                <w:caps w:val="0"/>
                <w:color w:val="333333"/>
                <w:spacing w:val="0"/>
                <w:sz w:val="21"/>
                <w:szCs w:val="21"/>
                <w:shd w:val="clear" w:fill="FFFFFF"/>
                <w:lang w:val="en-US" w:eastAsia="zh-CN"/>
              </w:rPr>
            </w:pPr>
            <w:r>
              <w:rPr>
                <w:rFonts w:hint="eastAsia" w:ascii="Arial" w:hAnsi="Arial" w:eastAsia="宋体" w:cs="Arial"/>
                <w:i w:val="0"/>
                <w:caps w:val="0"/>
                <w:color w:val="333333"/>
                <w:spacing w:val="0"/>
                <w:sz w:val="21"/>
                <w:szCs w:val="21"/>
                <w:shd w:val="clear" w:fill="FFFFFF"/>
                <w:lang w:val="en-US" w:eastAsia="zh-CN"/>
              </w:rPr>
              <w:t>《中华人民共和国合伙企业法》  第十三条 合伙企业登记事项发生变更的，执行合伙事务的合伙人应当自作出变更决定或者发生变更事由之日起十五日内，向企业登记机关申请办理变更登记。</w:t>
            </w:r>
          </w:p>
        </w:tc>
        <w:tc>
          <w:tcPr>
            <w:tcW w:w="1650"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10</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合伙企业解散未依法办理清算人成员名单备案的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《中华人民共和国合伙企业登记管理办法》 第二十一条 合伙企业解散，依法由清算人进行清算。清算人应当自被确定之日起10日内，将清算人成员名单向企业登记机关备案。</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11</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合伙企业未将营业执照正本置放在经营场所醒目位置</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《中华人民共和国合伙企业登记管理办法》 第四十三条 合伙企业未将其营业执照正本置放在经营场所醒目位置的，由企业登记机关责令改正；拒不改正的，处1000元以上5000元以下的罚款。</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bl>
    <w:p>
      <w:pPr>
        <w:rPr>
          <w:rFonts w:hint="eastAsia" w:eastAsiaTheme="minorEastAsia"/>
          <w:lang w:val="en-US" w:eastAsia="zh-CN"/>
        </w:rPr>
      </w:pPr>
    </w:p>
    <w:p>
      <w:pPr>
        <w:rPr>
          <w:rFonts w:hint="eastAsia" w:eastAsiaTheme="minorEastAsia"/>
          <w:lang w:val="en-US" w:eastAsia="zh-CN"/>
        </w:rPr>
      </w:pPr>
    </w:p>
    <w:tbl>
      <w:tblPr>
        <w:tblStyle w:val="5"/>
        <w:tblW w:w="14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164"/>
        <w:gridCol w:w="2136"/>
        <w:gridCol w:w="6225"/>
        <w:gridCol w:w="169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462" w:type="dxa"/>
            <w:vAlign w:val="center"/>
          </w:tcPr>
          <w:p>
            <w:pPr>
              <w:jc w:val="center"/>
              <w:rPr>
                <w:rFonts w:hint="eastAsia" w:eastAsiaTheme="minorEastAsia"/>
                <w:vertAlign w:val="baseline"/>
                <w:lang w:val="en-US" w:eastAsia="zh-CN"/>
              </w:rPr>
            </w:pPr>
            <w:r>
              <w:rPr>
                <w:rFonts w:hint="eastAsia"/>
                <w:vertAlign w:val="baseline"/>
                <w:lang w:val="en-US" w:eastAsia="zh-CN"/>
              </w:rPr>
              <w:t>12</w:t>
            </w:r>
          </w:p>
        </w:tc>
        <w:tc>
          <w:tcPr>
            <w:tcW w:w="2164" w:type="dxa"/>
            <w:vAlign w:val="center"/>
          </w:tcPr>
          <w:p>
            <w:pPr>
              <w:jc w:val="both"/>
              <w:rPr>
                <w:rFonts w:hint="eastAsia" w:eastAsiaTheme="minorEastAsia"/>
                <w:vertAlign w:val="baseline"/>
                <w:lang w:val="en-US" w:eastAsia="zh-CN"/>
              </w:rPr>
            </w:pPr>
            <w:r>
              <w:rPr>
                <w:rFonts w:hint="eastAsia"/>
                <w:vertAlign w:val="baseline"/>
                <w:lang w:val="en-US" w:eastAsia="zh-CN"/>
              </w:rPr>
              <w:t>未将营业执照置于住所或者营业场所醒目位置的</w:t>
            </w:r>
          </w:p>
        </w:tc>
        <w:tc>
          <w:tcPr>
            <w:tcW w:w="2136" w:type="dxa"/>
            <w:vAlign w:val="center"/>
          </w:tcPr>
          <w:p>
            <w:pPr>
              <w:jc w:val="both"/>
              <w:rPr>
                <w:rFonts w:hint="eastAsia" w:eastAsiaTheme="minorEastAsia"/>
                <w:vertAlign w:val="baseline"/>
                <w:lang w:val="en-US" w:eastAsia="zh-CN"/>
              </w:rPr>
            </w:pPr>
            <w:r>
              <w:rPr>
                <w:rFonts w:hint="eastAsia"/>
                <w:vertAlign w:val="baseline"/>
                <w:lang w:val="en-US" w:eastAsia="zh-CN"/>
              </w:rPr>
              <w:t>限期改正后及时改正的</w:t>
            </w:r>
          </w:p>
        </w:tc>
        <w:tc>
          <w:tcPr>
            <w:tcW w:w="6225" w:type="dxa"/>
            <w:vAlign w:val="center"/>
          </w:tcPr>
          <w:p>
            <w:pPr>
              <w:numPr>
                <w:ilvl w:val="0"/>
                <w:numId w:val="0"/>
              </w:numPr>
              <w:jc w:val="both"/>
              <w:rPr>
                <w:rFonts w:hint="eastAsia"/>
                <w:vertAlign w:val="baseline"/>
                <w:lang w:val="en-US" w:eastAsia="zh-CN"/>
              </w:rPr>
            </w:pPr>
            <w:r>
              <w:rPr>
                <w:rFonts w:hint="eastAsia"/>
                <w:vertAlign w:val="baseline"/>
                <w:lang w:val="en-US" w:eastAsia="zh-CN"/>
              </w:rPr>
              <w:t xml:space="preserve">  《合伙企业登记管理办法》 第三十三条第四款 合伙企业应当将营业执照正本置放在经营场所的醒目位置。</w:t>
            </w:r>
          </w:p>
          <w:p>
            <w:pPr>
              <w:numPr>
                <w:ilvl w:val="0"/>
                <w:numId w:val="0"/>
              </w:numPr>
              <w:jc w:val="both"/>
              <w:rPr>
                <w:rFonts w:hint="eastAsia"/>
                <w:vertAlign w:val="baseline"/>
                <w:lang w:val="en-US" w:eastAsia="zh-CN"/>
              </w:rPr>
            </w:pPr>
            <w:r>
              <w:rPr>
                <w:rFonts w:hint="eastAsia"/>
                <w:vertAlign w:val="baseline"/>
                <w:lang w:val="en-US" w:eastAsia="zh-CN"/>
              </w:rPr>
              <w:t>《个人独资企业登记管理办法》 第三十条 个人独资企业应当将营业执照正本置放在企业住所的醒目位置。</w:t>
            </w:r>
          </w:p>
          <w:p>
            <w:pPr>
              <w:numPr>
                <w:ilvl w:val="0"/>
                <w:numId w:val="0"/>
              </w:numPr>
              <w:jc w:val="both"/>
              <w:rPr>
                <w:rFonts w:hint="eastAsia"/>
                <w:vertAlign w:val="baseline"/>
                <w:lang w:val="en-US" w:eastAsia="zh-CN"/>
              </w:rPr>
            </w:pPr>
            <w:r>
              <w:rPr>
                <w:rFonts w:hint="eastAsia"/>
                <w:vertAlign w:val="baseline"/>
                <w:lang w:val="en-US" w:eastAsia="zh-CN"/>
              </w:rPr>
              <w:t>《个体工商户登记管理办法》 第二十五条 营业执照正本应当置于个体工商户经营场所的醒目位置。</w:t>
            </w:r>
          </w:p>
        </w:tc>
        <w:tc>
          <w:tcPr>
            <w:tcW w:w="1695"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5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3" w:hRule="atLeast"/>
        </w:trPr>
        <w:tc>
          <w:tcPr>
            <w:tcW w:w="462" w:type="dxa"/>
            <w:vAlign w:val="center"/>
          </w:tcPr>
          <w:p>
            <w:pPr>
              <w:jc w:val="center"/>
              <w:rPr>
                <w:rFonts w:hint="eastAsia" w:eastAsiaTheme="minorEastAsia"/>
                <w:vertAlign w:val="baseline"/>
                <w:lang w:val="en-US" w:eastAsia="zh-CN"/>
              </w:rPr>
            </w:pPr>
            <w:r>
              <w:rPr>
                <w:rFonts w:hint="eastAsia"/>
                <w:vertAlign w:val="baseline"/>
                <w:lang w:val="en-US" w:eastAsia="zh-CN"/>
              </w:rPr>
              <w:t>13</w:t>
            </w:r>
          </w:p>
        </w:tc>
        <w:tc>
          <w:tcPr>
            <w:tcW w:w="2164" w:type="dxa"/>
            <w:vAlign w:val="center"/>
          </w:tcPr>
          <w:p>
            <w:pPr>
              <w:jc w:val="both"/>
              <w:rPr>
                <w:rFonts w:hint="eastAsia" w:eastAsiaTheme="minorEastAsia"/>
                <w:vertAlign w:val="baseline"/>
                <w:lang w:val="en-US" w:eastAsia="zh-CN"/>
              </w:rPr>
            </w:pPr>
            <w:r>
              <w:rPr>
                <w:rFonts w:hint="eastAsia"/>
                <w:vertAlign w:val="baseline"/>
                <w:lang w:val="en-US" w:eastAsia="zh-CN"/>
              </w:rPr>
              <w:t>应当申请办理法定代表人变更登记而未办理的</w:t>
            </w:r>
          </w:p>
        </w:tc>
        <w:tc>
          <w:tcPr>
            <w:tcW w:w="2136" w:type="dxa"/>
            <w:vAlign w:val="center"/>
          </w:tcPr>
          <w:p>
            <w:pPr>
              <w:jc w:val="both"/>
              <w:rPr>
                <w:rFonts w:hint="eastAsia" w:eastAsiaTheme="minorEastAsia"/>
                <w:vertAlign w:val="baseline"/>
                <w:lang w:val="en-US" w:eastAsia="zh-CN"/>
              </w:rPr>
            </w:pPr>
            <w:r>
              <w:rPr>
                <w:rFonts w:hint="eastAsia"/>
                <w:vertAlign w:val="baseline"/>
                <w:lang w:val="en-US" w:eastAsia="zh-CN"/>
              </w:rPr>
              <w:t>限期改正后及时改正的</w:t>
            </w:r>
          </w:p>
        </w:tc>
        <w:tc>
          <w:tcPr>
            <w:tcW w:w="6225" w:type="dxa"/>
            <w:vAlign w:val="center"/>
          </w:tcPr>
          <w:p>
            <w:pPr>
              <w:numPr>
                <w:ilvl w:val="0"/>
                <w:numId w:val="0"/>
              </w:numPr>
              <w:jc w:val="both"/>
              <w:rPr>
                <w:rFonts w:hint="eastAsia" w:ascii="Arial" w:hAnsi="Arial" w:eastAsia="宋体" w:cs="Arial"/>
                <w:i w:val="0"/>
                <w:caps w:val="0"/>
                <w:color w:val="333333"/>
                <w:spacing w:val="0"/>
                <w:sz w:val="21"/>
                <w:szCs w:val="21"/>
                <w:shd w:val="clear" w:fill="FFFFFF"/>
                <w:lang w:val="en-US" w:eastAsia="zh-CN"/>
              </w:rPr>
            </w:pPr>
            <w:r>
              <w:rPr>
                <w:rFonts w:hint="eastAsia" w:ascii="Arial" w:hAnsi="Arial" w:eastAsia="宋体" w:cs="Arial"/>
                <w:i w:val="0"/>
                <w:caps w:val="0"/>
                <w:color w:val="333333"/>
                <w:spacing w:val="0"/>
                <w:sz w:val="21"/>
                <w:szCs w:val="21"/>
                <w:shd w:val="clear" w:fill="FFFFFF"/>
                <w:lang w:val="en-US" w:eastAsia="zh-CN"/>
              </w:rPr>
              <w:t>《企业法人法定代表人登记管理规定》 第八条 法定代表人任职期间出现本规定第四条所列情形之一的，该企业法人应当申请办理法定代表人变更登记。</w:t>
            </w:r>
          </w:p>
        </w:tc>
        <w:tc>
          <w:tcPr>
            <w:tcW w:w="1695"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5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3" w:hRule="atLeast"/>
        </w:trPr>
        <w:tc>
          <w:tcPr>
            <w:tcW w:w="462" w:type="dxa"/>
            <w:vAlign w:val="center"/>
          </w:tcPr>
          <w:p>
            <w:pPr>
              <w:jc w:val="center"/>
              <w:rPr>
                <w:rFonts w:hint="eastAsia"/>
                <w:vertAlign w:val="baseline"/>
                <w:lang w:val="en-US" w:eastAsia="zh-CN"/>
              </w:rPr>
            </w:pPr>
            <w:r>
              <w:rPr>
                <w:rFonts w:hint="eastAsia"/>
                <w:vertAlign w:val="baseline"/>
                <w:lang w:val="en-US" w:eastAsia="zh-CN"/>
              </w:rPr>
              <w:t>14</w:t>
            </w:r>
          </w:p>
        </w:tc>
        <w:tc>
          <w:tcPr>
            <w:tcW w:w="2164" w:type="dxa"/>
            <w:vAlign w:val="center"/>
          </w:tcPr>
          <w:p>
            <w:pPr>
              <w:jc w:val="both"/>
              <w:rPr>
                <w:rFonts w:hint="eastAsia"/>
                <w:vertAlign w:val="baseline"/>
                <w:lang w:val="en-US" w:eastAsia="zh-CN"/>
              </w:rPr>
            </w:pPr>
            <w:r>
              <w:rPr>
                <w:rFonts w:hint="eastAsia"/>
                <w:vertAlign w:val="baseline"/>
                <w:lang w:val="en-US" w:eastAsia="zh-CN"/>
              </w:rPr>
              <w:t>受到诱骗、胁迫，首次参加传销的</w:t>
            </w:r>
          </w:p>
        </w:tc>
        <w:tc>
          <w:tcPr>
            <w:tcW w:w="2136" w:type="dxa"/>
            <w:vAlign w:val="center"/>
          </w:tcPr>
          <w:p>
            <w:pPr>
              <w:jc w:val="both"/>
              <w:rPr>
                <w:rFonts w:hint="eastAsia"/>
                <w:vertAlign w:val="baseline"/>
                <w:lang w:val="en-US" w:eastAsia="zh-CN"/>
              </w:rPr>
            </w:pPr>
            <w:r>
              <w:rPr>
                <w:rFonts w:hint="eastAsia"/>
                <w:vertAlign w:val="baseline"/>
                <w:lang w:val="en-US" w:eastAsia="zh-CN"/>
              </w:rPr>
              <w:t>责令停止违法行为后立即停止的</w:t>
            </w:r>
          </w:p>
        </w:tc>
        <w:tc>
          <w:tcPr>
            <w:tcW w:w="6225" w:type="dxa"/>
            <w:vAlign w:val="center"/>
          </w:tcPr>
          <w:p>
            <w:pPr>
              <w:numPr>
                <w:ilvl w:val="0"/>
                <w:numId w:val="0"/>
              </w:numPr>
              <w:jc w:val="both"/>
              <w:rPr>
                <w:rFonts w:hint="eastAsia" w:ascii="Arial" w:hAnsi="Arial" w:eastAsia="宋体" w:cs="Arial"/>
                <w:i w:val="0"/>
                <w:caps w:val="0"/>
                <w:color w:val="333333"/>
                <w:spacing w:val="0"/>
                <w:sz w:val="21"/>
                <w:szCs w:val="21"/>
                <w:shd w:val="clear" w:fill="FFFFFF"/>
                <w:lang w:val="en-US" w:eastAsia="zh-CN"/>
              </w:rPr>
            </w:pPr>
            <w:r>
              <w:rPr>
                <w:rFonts w:hint="eastAsia" w:ascii="Arial" w:hAnsi="Arial" w:eastAsia="宋体" w:cs="Arial"/>
                <w:i w:val="0"/>
                <w:caps w:val="0"/>
                <w:color w:val="333333"/>
                <w:spacing w:val="0"/>
                <w:sz w:val="21"/>
                <w:szCs w:val="21"/>
                <w:shd w:val="clear" w:fill="FFFFFF"/>
                <w:lang w:val="en-US" w:eastAsia="zh-CN"/>
              </w:rPr>
              <w:t>《禁止传销条例》 第七条 第</w:t>
            </w:r>
            <w:r>
              <w:rPr>
                <w:rFonts w:hint="eastAsia" w:ascii="宋体" w:hAnsi="宋体" w:eastAsia="宋体" w:cs="宋体"/>
                <w:i w:val="0"/>
                <w:caps w:val="0"/>
                <w:color w:val="000000"/>
                <w:spacing w:val="0"/>
                <w:sz w:val="21"/>
                <w:szCs w:val="21"/>
                <w:shd w:val="clear" w:fill="FFFFFF"/>
              </w:rPr>
              <w:t>（一）</w:t>
            </w:r>
            <w:r>
              <w:rPr>
                <w:rFonts w:hint="eastAsia" w:ascii="宋体" w:hAnsi="宋体" w:eastAsia="宋体" w:cs="宋体"/>
                <w:i w:val="0"/>
                <w:caps w:val="0"/>
                <w:color w:val="000000"/>
                <w:spacing w:val="0"/>
                <w:sz w:val="21"/>
                <w:szCs w:val="21"/>
                <w:shd w:val="clear" w:fill="FFFFFF"/>
                <w:lang w:val="en-US" w:eastAsia="zh-CN"/>
              </w:rPr>
              <w:t>项</w:t>
            </w:r>
            <w:r>
              <w:rPr>
                <w:rFonts w:hint="eastAsia" w:ascii="宋体" w:hAnsi="宋体" w:eastAsia="宋体" w:cs="宋体"/>
                <w:i w:val="0"/>
                <w:caps w:val="0"/>
                <w:color w:val="000000"/>
                <w:spacing w:val="0"/>
                <w:sz w:val="21"/>
                <w:szCs w:val="21"/>
                <w:shd w:val="clear" w:fill="FFFFFF"/>
              </w:rPr>
              <w:t>组织者或者经营者通过发展人员，要求被发展人员发展其他人员加入，对发展的人员以其直接或者间接滚动发展的人员数量为依据计算和给付报酬（包括物质奖励和其他经济利益，下同），牟取非法利益的；</w:t>
            </w:r>
            <w:r>
              <w:rPr>
                <w:rFonts w:hint="eastAsia" w:ascii="宋体" w:hAnsi="宋体" w:eastAsia="宋体" w:cs="宋体"/>
                <w:i w:val="0"/>
                <w:caps w:val="0"/>
                <w:color w:val="000000"/>
                <w:spacing w:val="0"/>
                <w:sz w:val="21"/>
                <w:szCs w:val="21"/>
                <w:shd w:val="clear" w:fill="FFFFFF"/>
                <w:lang w:val="en-US" w:eastAsia="zh-CN"/>
              </w:rPr>
              <w:t>第</w:t>
            </w:r>
            <w:r>
              <w:rPr>
                <w:rFonts w:hint="eastAsia" w:ascii="宋体" w:hAnsi="宋体" w:eastAsia="宋体" w:cs="宋体"/>
                <w:i w:val="0"/>
                <w:caps w:val="0"/>
                <w:color w:val="000000"/>
                <w:spacing w:val="0"/>
                <w:sz w:val="21"/>
                <w:szCs w:val="21"/>
                <w:shd w:val="clear" w:fill="FFFFFF"/>
              </w:rPr>
              <w:t>（二）</w:t>
            </w:r>
            <w:r>
              <w:rPr>
                <w:rFonts w:hint="eastAsia" w:ascii="宋体" w:hAnsi="宋体" w:eastAsia="宋体" w:cs="宋体"/>
                <w:i w:val="0"/>
                <w:caps w:val="0"/>
                <w:color w:val="000000"/>
                <w:spacing w:val="0"/>
                <w:sz w:val="21"/>
                <w:szCs w:val="21"/>
                <w:shd w:val="clear" w:fill="FFFFFF"/>
                <w:lang w:val="en-US" w:eastAsia="zh-CN"/>
              </w:rPr>
              <w:t>项</w:t>
            </w:r>
            <w:r>
              <w:rPr>
                <w:rFonts w:hint="eastAsia" w:ascii="宋体" w:hAnsi="宋体" w:eastAsia="宋体" w:cs="宋体"/>
                <w:i w:val="0"/>
                <w:caps w:val="0"/>
                <w:color w:val="000000"/>
                <w:spacing w:val="0"/>
                <w:sz w:val="21"/>
                <w:szCs w:val="21"/>
                <w:shd w:val="clear" w:fill="FFFFFF"/>
              </w:rPr>
              <w:t>组织者或者经营者通过发展人员，要求被发展人员交纳费用或者以认购商品等方式变相交纳费用，取得加入或者发展其他人员加入的资格，牟取非法利益的；</w:t>
            </w:r>
            <w:r>
              <w:rPr>
                <w:rFonts w:hint="eastAsia" w:ascii="宋体" w:hAnsi="宋体" w:eastAsia="宋体" w:cs="宋体"/>
                <w:i w:val="0"/>
                <w:caps w:val="0"/>
                <w:color w:val="000000"/>
                <w:spacing w:val="0"/>
                <w:sz w:val="21"/>
                <w:szCs w:val="21"/>
                <w:shd w:val="clear" w:fill="FFFFFF"/>
                <w:lang w:val="en-US" w:eastAsia="zh-CN"/>
              </w:rPr>
              <w:t>第</w:t>
            </w:r>
            <w:r>
              <w:rPr>
                <w:rFonts w:hint="eastAsia" w:ascii="宋体" w:hAnsi="宋体" w:eastAsia="宋体" w:cs="宋体"/>
                <w:i w:val="0"/>
                <w:caps w:val="0"/>
                <w:color w:val="000000"/>
                <w:spacing w:val="0"/>
                <w:sz w:val="21"/>
                <w:szCs w:val="21"/>
                <w:shd w:val="clear" w:fill="FFFFFF"/>
              </w:rPr>
              <w:t>（三）</w:t>
            </w:r>
            <w:r>
              <w:rPr>
                <w:rFonts w:hint="eastAsia" w:ascii="宋体" w:hAnsi="宋体" w:eastAsia="宋体" w:cs="宋体"/>
                <w:i w:val="0"/>
                <w:caps w:val="0"/>
                <w:color w:val="000000"/>
                <w:spacing w:val="0"/>
                <w:sz w:val="21"/>
                <w:szCs w:val="21"/>
                <w:shd w:val="clear" w:fill="FFFFFF"/>
                <w:lang w:val="en-US" w:eastAsia="zh-CN"/>
              </w:rPr>
              <w:t>项</w:t>
            </w:r>
            <w:r>
              <w:rPr>
                <w:rFonts w:hint="eastAsia" w:ascii="宋体" w:hAnsi="宋体" w:eastAsia="宋体" w:cs="宋体"/>
                <w:i w:val="0"/>
                <w:caps w:val="0"/>
                <w:color w:val="000000"/>
                <w:spacing w:val="0"/>
                <w:sz w:val="21"/>
                <w:szCs w:val="21"/>
                <w:shd w:val="clear" w:fill="FFFFFF"/>
              </w:rPr>
              <w:t>组织者或者经营者通过发展人员，要求被发展人员发展其他人员加入，形成上下线关系，并以下线的销售业绩为依据计算和给付上线报酬，牟取非法利益的。</w:t>
            </w:r>
          </w:p>
        </w:tc>
        <w:tc>
          <w:tcPr>
            <w:tcW w:w="1695"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50" w:type="dxa"/>
            <w:vMerge w:val="continue"/>
            <w:vAlign w:val="center"/>
          </w:tcPr>
          <w:p>
            <w:pPr>
              <w:jc w:val="center"/>
              <w:rPr>
                <w:vertAlign w:val="baseline"/>
              </w:rPr>
            </w:pPr>
          </w:p>
        </w:tc>
      </w:tr>
    </w:tbl>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tbl>
      <w:tblPr>
        <w:tblStyle w:val="5"/>
        <w:tblW w:w="14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355"/>
        <w:gridCol w:w="2325"/>
        <w:gridCol w:w="5804"/>
        <w:gridCol w:w="165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15</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广告引证内容合法有据，但未在广告中表明出处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 xml:space="preserve">  《中华人民共和国广告法》 第十一条第二款 广告使用数据、统计资料、调查结果、文摘、引用语等引证内容的，应当真实、准确，并表明出处。引证内容有适用领域和有效期限的，应当明确表示。</w:t>
            </w:r>
          </w:p>
        </w:tc>
        <w:tc>
          <w:tcPr>
            <w:tcW w:w="1650"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8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3"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16</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广告中涉及专利产品或者专利方法，未标明专利号和专利种类</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但专利有效的</w:t>
            </w:r>
          </w:p>
        </w:tc>
        <w:tc>
          <w:tcPr>
            <w:tcW w:w="5804" w:type="dxa"/>
            <w:vAlign w:val="center"/>
          </w:tcPr>
          <w:p>
            <w:pPr>
              <w:numPr>
                <w:ilvl w:val="0"/>
                <w:numId w:val="0"/>
              </w:numPr>
              <w:jc w:val="both"/>
              <w:rPr>
                <w:rFonts w:hint="eastAsia" w:ascii="Arial" w:hAnsi="Arial" w:eastAsia="宋体" w:cs="Arial"/>
                <w:i w:val="0"/>
                <w:caps w:val="0"/>
                <w:color w:val="333333"/>
                <w:spacing w:val="0"/>
                <w:sz w:val="21"/>
                <w:szCs w:val="21"/>
                <w:shd w:val="clear" w:fill="FFFFFF"/>
                <w:lang w:val="en-US" w:eastAsia="zh-CN"/>
              </w:rPr>
            </w:pPr>
            <w:r>
              <w:rPr>
                <w:rFonts w:hint="eastAsia" w:ascii="Arial" w:hAnsi="Arial" w:eastAsia="宋体" w:cs="Arial"/>
                <w:i w:val="0"/>
                <w:caps w:val="0"/>
                <w:color w:val="333333"/>
                <w:spacing w:val="0"/>
                <w:sz w:val="21"/>
                <w:szCs w:val="21"/>
                <w:shd w:val="clear" w:fill="FFFFFF"/>
                <w:lang w:val="en-US" w:eastAsia="zh-CN"/>
              </w:rPr>
              <w:t>《中华人民共和国广告法》  第十二条第一款 广告中涉及专利产品或者专利方法的，应当标明专利号和专利种类。</w:t>
            </w:r>
          </w:p>
        </w:tc>
        <w:tc>
          <w:tcPr>
            <w:tcW w:w="1650"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17</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通过大众传播媒介发布的广告未显著标注“广告”字样</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内容能使消费者辨明其为广告的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《中华人民共和国广告法》 第十四条 广告应当具有可识别性，能够使消费者辨明其为广告。</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18</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违反《中华人民共和国广告法》第九条第（二）项</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所述事项与实际相等，使用或变相使用的名义或者形象的内容与所推销商品或服务无直接关系，不涉及党和国家领导人的名义或者形象做商业推广活动的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《中华人民共和国广告法》 第九条第（二）项 使用或者变相使用国家机关、国家机关工作人员的名义或者形象。</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bl>
    <w:p>
      <w:pPr>
        <w:rPr>
          <w:rFonts w:hint="eastAsia" w:eastAsiaTheme="minorEastAsia"/>
          <w:lang w:val="en-US" w:eastAsia="zh-CN"/>
        </w:rPr>
      </w:pPr>
    </w:p>
    <w:tbl>
      <w:tblPr>
        <w:tblStyle w:val="5"/>
        <w:tblW w:w="14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355"/>
        <w:gridCol w:w="2325"/>
        <w:gridCol w:w="5804"/>
        <w:gridCol w:w="165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19</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未查验有关证明文件，核对广告内容，而发布广告</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但发布的内容不违反法律、法规、规章的规定且属于初次发现的</w:t>
            </w:r>
          </w:p>
        </w:tc>
        <w:tc>
          <w:tcPr>
            <w:tcW w:w="5804" w:type="dxa"/>
            <w:vAlign w:val="center"/>
          </w:tcPr>
          <w:p>
            <w:pPr>
              <w:numPr>
                <w:ilvl w:val="0"/>
                <w:numId w:val="0"/>
              </w:numPr>
              <w:jc w:val="both"/>
              <w:rPr>
                <w:rFonts w:hint="eastAsia"/>
                <w:vertAlign w:val="baseline"/>
                <w:lang w:val="en-US" w:eastAsia="zh-CN"/>
              </w:rPr>
            </w:pPr>
            <w:r>
              <w:rPr>
                <w:rFonts w:hint="eastAsia" w:ascii="宋体" w:hAnsi="宋体" w:eastAsia="宋体" w:cs="宋体"/>
                <w:color w:val="auto"/>
                <w:shd w:val="clear" w:color="auto" w:fill="auto"/>
                <w:vertAlign w:val="baseline"/>
                <w:lang w:val="en-US" w:eastAsia="zh-CN"/>
              </w:rPr>
              <w:t xml:space="preserve">《中华人民共和国广告法》 第三十四条第二款 </w:t>
            </w:r>
            <w:r>
              <w:rPr>
                <w:rFonts w:hint="eastAsia" w:ascii="宋体" w:hAnsi="宋体" w:eastAsia="宋体" w:cs="宋体"/>
                <w:b w:val="0"/>
                <w:bCs w:val="0"/>
                <w:i w:val="0"/>
                <w:caps w:val="0"/>
                <w:color w:val="auto"/>
                <w:spacing w:val="0"/>
                <w:sz w:val="21"/>
                <w:szCs w:val="21"/>
                <w:shd w:val="clear" w:color="auto" w:fill="auto"/>
              </w:rPr>
              <w:t>广告经营者、广告发布者依据法律、行政法规查验有关证明文件，核对广告内容。对内容不符或者证明文件不全的广告，广告经营者不能给予设计、制作、代理服务，广告发布者不得发布。</w:t>
            </w:r>
          </w:p>
        </w:tc>
        <w:tc>
          <w:tcPr>
            <w:tcW w:w="1650"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8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21</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未载明预售或者销售许可证书的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已取得预售或者销售许可证书仅未载明书号的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《房地产广告发布规定》 第七条第（三）项 预售或者销售许可证号。</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22</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电子商务经营者未在首页显著位置公示营业执照信息、行政许可信息</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属于不需要办理市场主体登记情形等信息，或者上述信息的链接标识</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 xml:space="preserve">《电子商务法》 第十五条 </w:t>
            </w:r>
            <w:r>
              <w:rPr>
                <w:rFonts w:hint="eastAsia" w:ascii="宋体" w:hAnsi="宋体" w:eastAsia="宋体" w:cs="宋体"/>
                <w:i w:val="0"/>
                <w:caps w:val="0"/>
                <w:color w:val="3D3D3D"/>
                <w:spacing w:val="0"/>
                <w:sz w:val="21"/>
                <w:szCs w:val="21"/>
                <w:shd w:val="clear" w:fill="FFFFFF"/>
              </w:rPr>
              <w:t>电子商务经营者应当在其首页显著位置，持续公示营业执照信息、与其经营业务有关的行政许可信息、属于依照本法第十条规定的不需要办理市场主体登记情形等信息，或者上述信息的链接标识。</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23</w:t>
            </w:r>
          </w:p>
        </w:tc>
        <w:tc>
          <w:tcPr>
            <w:tcW w:w="2355" w:type="dxa"/>
            <w:vAlign w:val="center"/>
          </w:tcPr>
          <w:p>
            <w:pPr>
              <w:jc w:val="center"/>
              <w:rPr>
                <w:rFonts w:hint="eastAsia" w:eastAsiaTheme="minorEastAsia"/>
                <w:vertAlign w:val="baseline"/>
                <w:lang w:val="en-US" w:eastAsia="zh-CN"/>
              </w:rPr>
            </w:pPr>
            <w:r>
              <w:rPr>
                <w:rFonts w:hint="eastAsia"/>
                <w:vertAlign w:val="baseline"/>
                <w:lang w:val="en-US" w:eastAsia="zh-CN"/>
              </w:rPr>
              <w:t>电子商务经营者未明示用户查询、更正、删除以及用户注销的方式、程序，或者对用户信息查询、更正、删除以及用户注销设置不合理条件的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 xml:space="preserve">《电子商务法》 第二十四条 </w:t>
            </w:r>
            <w:r>
              <w:rPr>
                <w:rFonts w:hint="eastAsia" w:ascii="宋体" w:hAnsi="宋体" w:eastAsia="宋体" w:cs="宋体"/>
                <w:i w:val="0"/>
                <w:caps w:val="0"/>
                <w:color w:val="3D3D3D"/>
                <w:spacing w:val="0"/>
                <w:sz w:val="21"/>
                <w:szCs w:val="21"/>
                <w:shd w:val="clear" w:fill="FFFFFF"/>
              </w:rPr>
              <w:t>电子商务经营者应当明示用户信息查询、更正、删除以及用户注销的方式、程序，不得对用户信息查询、更正、删除以及用户注销设置不合理条件。</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bl>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tbl>
      <w:tblPr>
        <w:tblStyle w:val="5"/>
        <w:tblpPr w:leftFromText="180" w:rightFromText="180" w:vertAnchor="text" w:horzAnchor="page" w:tblpX="1423" w:tblpY="183"/>
        <w:tblOverlap w:val="never"/>
        <w:tblW w:w="14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355"/>
        <w:gridCol w:w="2325"/>
        <w:gridCol w:w="5804"/>
        <w:gridCol w:w="165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24</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在自有网站、形象宣传片等非公共媒体、场所使用“驰名商标”字样</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但未突出使用的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 xml:space="preserve">《中华人民共和国商标法》 第十四条第五款 </w:t>
            </w:r>
            <w:r>
              <w:rPr>
                <w:rFonts w:hint="eastAsia" w:ascii="宋体" w:hAnsi="宋体" w:eastAsia="宋体" w:cs="宋体"/>
                <w:i w:val="0"/>
                <w:caps w:val="0"/>
                <w:color w:val="333333"/>
                <w:spacing w:val="0"/>
                <w:sz w:val="21"/>
                <w:szCs w:val="21"/>
                <w:shd w:val="clear" w:fill="FFFFFF"/>
              </w:rPr>
              <w:t>生产、经营者不得将“驰名商标”字样用于商品、商品包装或者容器上，或者用于广告宣传、展览以及其他商业活动中。</w:t>
            </w:r>
          </w:p>
        </w:tc>
        <w:tc>
          <w:tcPr>
            <w:tcW w:w="1650"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8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25</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 xml:space="preserve"> 将未注册商标冒充注册商标使用，或者使用未注册商标</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及时纠正的</w:t>
            </w:r>
          </w:p>
        </w:tc>
        <w:tc>
          <w:tcPr>
            <w:tcW w:w="5804" w:type="dxa"/>
            <w:vAlign w:val="center"/>
          </w:tcPr>
          <w:p>
            <w:pPr>
              <w:numPr>
                <w:ilvl w:val="0"/>
                <w:numId w:val="0"/>
              </w:numPr>
              <w:jc w:val="both"/>
              <w:rPr>
                <w:rFonts w:hint="eastAsia"/>
                <w:vertAlign w:val="baseline"/>
                <w:lang w:val="en-US" w:eastAsia="zh-CN"/>
              </w:rPr>
            </w:pPr>
            <w:r>
              <w:rPr>
                <w:rFonts w:hint="eastAsia"/>
                <w:sz w:val="21"/>
                <w:szCs w:val="21"/>
                <w:vertAlign w:val="baseline"/>
                <w:lang w:val="en-US" w:eastAsia="zh-CN"/>
              </w:rPr>
              <w:t xml:space="preserve">《中华人民共和国商标法》 第六条 </w:t>
            </w:r>
            <w:r>
              <w:rPr>
                <w:rFonts w:hint="eastAsia" w:ascii="宋体" w:hAnsi="宋体" w:eastAsia="宋体" w:cs="宋体"/>
                <w:i w:val="0"/>
                <w:caps w:val="0"/>
                <w:color w:val="333333"/>
                <w:spacing w:val="0"/>
                <w:sz w:val="21"/>
                <w:szCs w:val="21"/>
                <w:shd w:val="clear" w:fill="FFFFFF"/>
              </w:rPr>
              <w:t>法律、行政法规规定必须使用注册商标的商品，必须申请商标注册，未经核准注册的，不得在市场销售。</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26</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被许可人使用他人注册商标，未在许可使用的商品上标明被许可人的名称和商品产地的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及时纠正的</w:t>
            </w:r>
          </w:p>
        </w:tc>
        <w:tc>
          <w:tcPr>
            <w:tcW w:w="5804" w:type="dxa"/>
            <w:vAlign w:val="center"/>
          </w:tcPr>
          <w:p>
            <w:pPr>
              <w:numPr>
                <w:ilvl w:val="0"/>
                <w:numId w:val="0"/>
              </w:numPr>
              <w:jc w:val="both"/>
              <w:rPr>
                <w:rFonts w:hint="eastAsia"/>
                <w:vertAlign w:val="baseline"/>
                <w:lang w:val="en-US" w:eastAsia="zh-CN"/>
              </w:rPr>
            </w:pPr>
            <w:r>
              <w:rPr>
                <w:rFonts w:hint="eastAsia"/>
                <w:sz w:val="21"/>
                <w:szCs w:val="21"/>
                <w:vertAlign w:val="baseline"/>
                <w:lang w:val="en-US" w:eastAsia="zh-CN"/>
              </w:rPr>
              <w:t xml:space="preserve">《中华人民共和国商标法》  第四十三条第二款 </w:t>
            </w:r>
            <w:r>
              <w:rPr>
                <w:rFonts w:hint="eastAsia" w:ascii="宋体" w:hAnsi="宋体" w:eastAsia="宋体" w:cs="宋体"/>
                <w:i w:val="0"/>
                <w:caps w:val="0"/>
                <w:color w:val="333333"/>
                <w:spacing w:val="0"/>
                <w:sz w:val="21"/>
                <w:szCs w:val="21"/>
                <w:shd w:val="clear" w:fill="FFFFFF"/>
              </w:rPr>
              <w:t>经许可使用他人注册商标的，必须在使用该注册商标的商品上标明被许可人的名称和商品产地。</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27</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销售不知道是侵犯注册商标专用权的商品，能证明该商品是自己合法取得并说明提供者的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及时纠正的</w:t>
            </w:r>
          </w:p>
        </w:tc>
        <w:tc>
          <w:tcPr>
            <w:tcW w:w="5804" w:type="dxa"/>
            <w:vAlign w:val="center"/>
          </w:tcPr>
          <w:p>
            <w:pPr>
              <w:numPr>
                <w:ilvl w:val="0"/>
                <w:numId w:val="0"/>
              </w:numPr>
              <w:jc w:val="both"/>
              <w:rPr>
                <w:rFonts w:hint="eastAsia"/>
                <w:vertAlign w:val="baseline"/>
                <w:lang w:val="en-US" w:eastAsia="zh-CN"/>
              </w:rPr>
            </w:pPr>
            <w:r>
              <w:rPr>
                <w:rFonts w:hint="eastAsia"/>
                <w:sz w:val="21"/>
                <w:szCs w:val="21"/>
                <w:vertAlign w:val="baseline"/>
                <w:lang w:val="en-US" w:eastAsia="zh-CN"/>
              </w:rPr>
              <w:t xml:space="preserve">《中华人民共和国商标法》 第五十七条第（三）项 </w:t>
            </w:r>
            <w:r>
              <w:rPr>
                <w:rFonts w:hint="eastAsia" w:ascii="宋体" w:hAnsi="宋体" w:eastAsia="宋体" w:cs="宋体"/>
                <w:i w:val="0"/>
                <w:caps w:val="0"/>
                <w:color w:val="333333"/>
                <w:spacing w:val="0"/>
                <w:sz w:val="21"/>
                <w:szCs w:val="21"/>
                <w:shd w:val="clear" w:fill="FFFFFF"/>
              </w:rPr>
              <w:t>销售侵犯注册商标专用权的商品的</w:t>
            </w:r>
            <w:r>
              <w:rPr>
                <w:rFonts w:hint="eastAsia" w:ascii="宋体" w:hAnsi="宋体" w:eastAsia="宋体" w:cs="宋体"/>
                <w:i w:val="0"/>
                <w:caps w:val="0"/>
                <w:color w:val="333333"/>
                <w:spacing w:val="0"/>
                <w:sz w:val="21"/>
                <w:szCs w:val="21"/>
                <w:shd w:val="clear" w:fill="FFFFFF"/>
                <w:lang w:eastAsia="zh-CN"/>
              </w:rPr>
              <w:t>。</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bl>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tbl>
      <w:tblPr>
        <w:tblStyle w:val="5"/>
        <w:tblpPr w:leftFromText="180" w:rightFromText="180" w:vertAnchor="text" w:horzAnchor="page" w:tblpX="1438" w:tblpY="42"/>
        <w:tblOverlap w:val="never"/>
        <w:tblW w:w="14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355"/>
        <w:gridCol w:w="2325"/>
        <w:gridCol w:w="5804"/>
        <w:gridCol w:w="165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28</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商标印制档案及商标标识出入库台账未按要求保存的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及时纠正的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《商标印制管理办法》  第十条 商标印制档案及商标标识出入库台账应当存档备查，存查期为两年。</w:t>
            </w:r>
          </w:p>
        </w:tc>
        <w:tc>
          <w:tcPr>
            <w:tcW w:w="1650"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8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29</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企事业单位最高计量标准未经有关人民政府市场监督管理部门考核合格开展计量检定工作</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 xml:space="preserve">《中华人民共和国计量法》  第八条 </w:t>
            </w:r>
            <w:r>
              <w:rPr>
                <w:rFonts w:ascii="宋体" w:hAnsi="宋体" w:eastAsia="宋体" w:cs="宋体"/>
                <w:sz w:val="21"/>
                <w:szCs w:val="21"/>
              </w:rPr>
              <w:t>企业、事业单位根据需要</w:t>
            </w:r>
            <w:r>
              <w:rPr>
                <w:rFonts w:hint="eastAsia" w:ascii="宋体" w:hAnsi="宋体" w:eastAsia="宋体" w:cs="宋体"/>
                <w:i w:val="0"/>
                <w:caps w:val="0"/>
                <w:color w:val="333333"/>
                <w:spacing w:val="0"/>
                <w:sz w:val="21"/>
                <w:szCs w:val="21"/>
                <w:shd w:val="clear" w:fill="FFFFFF"/>
              </w:rPr>
              <w:t>，</w:t>
            </w:r>
            <w:r>
              <w:rPr>
                <w:rFonts w:ascii="宋体" w:hAnsi="宋体" w:eastAsia="宋体" w:cs="宋体"/>
                <w:sz w:val="21"/>
                <w:szCs w:val="21"/>
              </w:rPr>
              <w:t>可以建立本单位使用的计量标准器具，其各项最高计量标准器具经有关人民政府计量行政部门主持考核合格后使用</w:t>
            </w:r>
            <w:r>
              <w:rPr>
                <w:rFonts w:hint="eastAsia" w:ascii="宋体" w:hAnsi="宋体" w:eastAsia="宋体" w:cs="宋体"/>
                <w:i w:val="0"/>
                <w:caps w:val="0"/>
                <w:color w:val="333333"/>
                <w:spacing w:val="0"/>
                <w:sz w:val="21"/>
                <w:szCs w:val="21"/>
                <w:shd w:val="clear" w:fill="FFFFFF"/>
              </w:rPr>
              <w:t>。</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30</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属于非强制性检定范围的计量器具未自行定期检定或者送其他计量检定机构定期检定</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 xml:space="preserve">《中华人民共和国计量法》  第九条第二款 </w:t>
            </w:r>
            <w:r>
              <w:rPr>
                <w:rFonts w:ascii="宋体" w:hAnsi="宋体" w:eastAsia="宋体" w:cs="宋体"/>
                <w:sz w:val="21"/>
                <w:szCs w:val="21"/>
              </w:rPr>
              <w:t>对前款规定以外的其他计量标准器具和工作计量器具</w:t>
            </w:r>
            <w:r>
              <w:rPr>
                <w:rFonts w:hint="eastAsia" w:ascii="宋体" w:hAnsi="宋体" w:eastAsia="宋体" w:cs="宋体"/>
                <w:i w:val="0"/>
                <w:caps w:val="0"/>
                <w:color w:val="333333"/>
                <w:spacing w:val="0"/>
                <w:sz w:val="21"/>
                <w:szCs w:val="21"/>
                <w:shd w:val="clear" w:fill="FFFFFF"/>
              </w:rPr>
              <w:t>，</w:t>
            </w:r>
            <w:r>
              <w:rPr>
                <w:rFonts w:ascii="宋体" w:hAnsi="宋体" w:eastAsia="宋体" w:cs="宋体"/>
                <w:sz w:val="21"/>
                <w:szCs w:val="21"/>
              </w:rPr>
              <w:t>使用单位应当自行定期检定或者送其他计量检定机构检定。</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31</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使用非法定计量单位</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 xml:space="preserve">《中华人民共和国计量法实施细则》  第二条 </w:t>
            </w:r>
            <w:r>
              <w:rPr>
                <w:rFonts w:hint="eastAsia"/>
                <w:sz w:val="21"/>
                <w:szCs w:val="21"/>
                <w:vertAlign w:val="baseline"/>
                <w:lang w:val="en-US" w:eastAsia="zh-CN"/>
              </w:rPr>
              <w:t xml:space="preserve"> </w:t>
            </w:r>
            <w:r>
              <w:rPr>
                <w:rFonts w:hint="eastAsia" w:ascii="宋体" w:hAnsi="宋体" w:eastAsia="宋体" w:cs="宋体"/>
                <w:i w:val="0"/>
                <w:caps w:val="0"/>
                <w:color w:val="4A4A4A"/>
                <w:spacing w:val="0"/>
                <w:sz w:val="21"/>
                <w:szCs w:val="21"/>
              </w:rPr>
              <w:t>国家实行法定计量单位制度。法定计量单位的名称、符号按照国务院关于在我国统一实行法定计量单位的有关规定执行。</w:t>
            </w:r>
            <w:r>
              <w:rPr>
                <w:rFonts w:hint="eastAsia"/>
                <w:sz w:val="21"/>
                <w:szCs w:val="21"/>
                <w:vertAlign w:val="baseline"/>
                <w:lang w:val="en-US" w:eastAsia="zh-CN"/>
              </w:rPr>
              <w:t xml:space="preserve"> </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bl>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tbl>
      <w:tblPr>
        <w:tblStyle w:val="5"/>
        <w:tblpPr w:leftFromText="180" w:rightFromText="180" w:vertAnchor="text" w:horzAnchor="page" w:tblpX="1393" w:tblpY="141"/>
        <w:tblOverlap w:val="never"/>
        <w:tblW w:w="14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355"/>
        <w:gridCol w:w="2325"/>
        <w:gridCol w:w="5804"/>
        <w:gridCol w:w="165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32</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定量包装商品净含量标注字符最小高度不符合规定的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5804" w:type="dxa"/>
            <w:vAlign w:val="center"/>
          </w:tcPr>
          <w:p>
            <w:pPr>
              <w:pStyle w:val="2"/>
              <w:keepNext w:val="0"/>
              <w:keepLines w:val="0"/>
              <w:widowControl/>
              <w:suppressLineNumbers w:val="0"/>
              <w:spacing w:before="0" w:beforeAutospacing="0" w:after="0" w:afterAutospacing="0" w:line="405" w:lineRule="atLeast"/>
              <w:ind w:right="0"/>
              <w:jc w:val="left"/>
              <w:rPr>
                <w:lang w:val="en-US"/>
              </w:rPr>
            </w:pPr>
            <w:r>
              <w:rPr>
                <w:rFonts w:hint="eastAsia"/>
                <w:vertAlign w:val="baseline"/>
                <w:lang w:val="en-US" w:eastAsia="zh-CN"/>
              </w:rPr>
              <w:t xml:space="preserve">《定量包装商品计量监督管理办法》 第六条 </w:t>
            </w:r>
            <w:r>
              <w:rPr>
                <w:rFonts w:hint="eastAsia" w:ascii="宋体" w:hAnsi="宋体" w:eastAsia="宋体" w:cs="宋体"/>
                <w:b w:val="0"/>
                <w:color w:val="000000"/>
                <w:sz w:val="21"/>
                <w:szCs w:val="21"/>
                <w:shd w:val="clear" w:fill="FFFFFF"/>
                <w:lang w:val="en-US" w:eastAsia="zh-CN"/>
              </w:rPr>
              <w:t>定量包装商品净含量标注字符的最小高度应当符合本办法附表2的规定</w:t>
            </w:r>
          </w:p>
          <w:p>
            <w:pPr>
              <w:numPr>
                <w:ilvl w:val="0"/>
                <w:numId w:val="0"/>
              </w:numPr>
              <w:jc w:val="both"/>
              <w:rPr>
                <w:rFonts w:hint="eastAsia"/>
                <w:vertAlign w:val="baseline"/>
                <w:lang w:val="en-US" w:eastAsia="zh-CN"/>
              </w:rPr>
            </w:pPr>
          </w:p>
        </w:tc>
        <w:tc>
          <w:tcPr>
            <w:tcW w:w="1650"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8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33</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批量定量包装商品的平均实际含量略小于其标注净含量</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《定量包装商品计量监督管理办法》 第九条 批量定量包装商品的平均实际含量应当大于或者等于其标注净含量。</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34</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使用属于强制检定的计量器具未按照规定登记造册，报当地县级市场监督管理部门备案，或者使用未经检定、超过检定周期计量器具</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《眼镜制配计量监督管理办法》 第四条第（四）项 不得使用未经检定、超过检定周期或者经检定不合格的计量器具；第（五）项 不得违反规定使用非法定计量单位。</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35</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集市主办者未按规定对集市使用的属于强制检定的计量器具登记造册和备案，并拒不配合市场监督管理部门及其指定的法定计量检定机构做好强制检定工作的。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 xml:space="preserve">《集贸市场计量监督管理办法》 第五条第（四）项 </w:t>
            </w:r>
            <w:r>
              <w:rPr>
                <w:rFonts w:hint="eastAsia" w:ascii="宋体" w:hAnsi="宋体" w:eastAsia="宋体" w:cs="宋体"/>
                <w:i w:val="0"/>
                <w:caps w:val="0"/>
                <w:color w:val="333333"/>
                <w:spacing w:val="0"/>
                <w:sz w:val="21"/>
                <w:szCs w:val="21"/>
                <w:shd w:val="clear" w:fill="FFFFFF"/>
              </w:rPr>
              <w:t>对集市使用的属于强制检定的计量器具登记造册，向当地市场监督管理部门备案，并配合市场监督管理部门及其指定的法定计量检定机构做好强制检定工作。</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bl>
    <w:p>
      <w:pPr>
        <w:rPr>
          <w:rFonts w:hint="eastAsia" w:eastAsiaTheme="minorEastAsia"/>
          <w:lang w:val="en-US" w:eastAsia="zh-CN"/>
        </w:rPr>
      </w:pPr>
    </w:p>
    <w:p>
      <w:pPr>
        <w:rPr>
          <w:rFonts w:hint="eastAsia" w:eastAsiaTheme="minorEastAsia"/>
          <w:lang w:val="en-US" w:eastAsia="zh-CN"/>
        </w:rPr>
      </w:pPr>
    </w:p>
    <w:tbl>
      <w:tblPr>
        <w:tblStyle w:val="5"/>
        <w:tblpPr w:leftFromText="180" w:rightFromText="180" w:vertAnchor="text" w:horzAnchor="page" w:tblpX="1438" w:tblpY="135"/>
        <w:tblOverlap w:val="never"/>
        <w:tblW w:w="14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579"/>
        <w:gridCol w:w="1875"/>
        <w:gridCol w:w="6030"/>
        <w:gridCol w:w="165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7"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36</w:t>
            </w:r>
          </w:p>
        </w:tc>
        <w:tc>
          <w:tcPr>
            <w:tcW w:w="2579" w:type="dxa"/>
            <w:vAlign w:val="center"/>
          </w:tcPr>
          <w:p>
            <w:pPr>
              <w:jc w:val="both"/>
              <w:rPr>
                <w:rFonts w:hint="eastAsia" w:eastAsiaTheme="minorEastAsia"/>
                <w:vertAlign w:val="baseline"/>
                <w:lang w:val="en-US" w:eastAsia="zh-CN"/>
              </w:rPr>
            </w:pPr>
            <w:r>
              <w:rPr>
                <w:rFonts w:hint="eastAsia"/>
                <w:vertAlign w:val="baseline"/>
                <w:lang w:val="en-US" w:eastAsia="zh-CN"/>
              </w:rPr>
              <w:t>取得生产许可证的企业名称发生变化，未依照规定办理变更手续的</w:t>
            </w:r>
          </w:p>
        </w:tc>
        <w:tc>
          <w:tcPr>
            <w:tcW w:w="187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6030" w:type="dxa"/>
            <w:vAlign w:val="center"/>
          </w:tcPr>
          <w:p>
            <w:pPr>
              <w:pStyle w:val="2"/>
              <w:keepNext w:val="0"/>
              <w:keepLines w:val="0"/>
              <w:widowControl/>
              <w:suppressLineNumbers w:val="0"/>
              <w:spacing w:before="0" w:beforeAutospacing="0" w:after="0" w:afterAutospacing="0" w:line="405" w:lineRule="atLeast"/>
              <w:ind w:right="0"/>
              <w:jc w:val="center"/>
              <w:rPr>
                <w:rFonts w:hint="eastAsia" w:eastAsiaTheme="minorEastAsia"/>
                <w:lang w:val="en-US" w:eastAsia="zh-CN"/>
              </w:rPr>
            </w:pPr>
            <w:r>
              <w:rPr>
                <w:rFonts w:hint="eastAsia"/>
                <w:lang w:val="en-US" w:eastAsia="zh-CN"/>
              </w:rPr>
              <w:t>《中华人民共和国工业产品生产许可证管理条例》 第二十九条 企业名称发生变化的，企业应当及时向企业所在地的省、自治区、直辖市工业产品生产许可证主管部门提出申请，办理变更手续。</w:t>
            </w:r>
          </w:p>
          <w:p>
            <w:pPr>
              <w:numPr>
                <w:ilvl w:val="0"/>
                <w:numId w:val="0"/>
              </w:numPr>
              <w:jc w:val="center"/>
              <w:rPr>
                <w:rFonts w:hint="eastAsia"/>
                <w:vertAlign w:val="baseline"/>
                <w:lang w:val="en-US" w:eastAsia="zh-CN"/>
              </w:rPr>
            </w:pPr>
          </w:p>
        </w:tc>
        <w:tc>
          <w:tcPr>
            <w:tcW w:w="1650"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8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trPr>
        <w:tc>
          <w:tcPr>
            <w:tcW w:w="503" w:type="dxa"/>
            <w:vAlign w:val="center"/>
          </w:tcPr>
          <w:p>
            <w:pPr>
              <w:jc w:val="center"/>
              <w:rPr>
                <w:rFonts w:hint="eastAsia"/>
                <w:vertAlign w:val="baseline"/>
                <w:lang w:val="en-US" w:eastAsia="zh-CN"/>
              </w:rPr>
            </w:pPr>
            <w:r>
              <w:rPr>
                <w:rFonts w:hint="eastAsia"/>
                <w:vertAlign w:val="baseline"/>
                <w:lang w:val="en-US" w:eastAsia="zh-CN"/>
              </w:rPr>
              <w:t>37</w:t>
            </w:r>
          </w:p>
        </w:tc>
        <w:tc>
          <w:tcPr>
            <w:tcW w:w="2579" w:type="dxa"/>
            <w:vAlign w:val="center"/>
          </w:tcPr>
          <w:p>
            <w:pPr>
              <w:jc w:val="both"/>
              <w:rPr>
                <w:rFonts w:hint="eastAsia" w:eastAsiaTheme="minorEastAsia"/>
                <w:vertAlign w:val="baseline"/>
                <w:lang w:val="en-US" w:eastAsia="zh-CN"/>
              </w:rPr>
            </w:pPr>
            <w:r>
              <w:rPr>
                <w:rFonts w:hint="eastAsia"/>
                <w:vertAlign w:val="baseline"/>
                <w:lang w:val="en-US" w:eastAsia="zh-CN"/>
              </w:rPr>
              <w:t>取得生产许可证的企业未依照规定在产品、包装或说明书上标注生产许可证标志和编号的</w:t>
            </w:r>
          </w:p>
        </w:tc>
        <w:tc>
          <w:tcPr>
            <w:tcW w:w="187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6030" w:type="dxa"/>
            <w:vAlign w:val="center"/>
          </w:tcPr>
          <w:p>
            <w:pPr>
              <w:numPr>
                <w:ilvl w:val="0"/>
                <w:numId w:val="0"/>
              </w:numPr>
              <w:jc w:val="center"/>
              <w:rPr>
                <w:rFonts w:hint="eastAsia"/>
                <w:vertAlign w:val="baseline"/>
                <w:lang w:val="en-US" w:eastAsia="zh-CN"/>
              </w:rPr>
            </w:pPr>
            <w:r>
              <w:rPr>
                <w:rFonts w:hint="eastAsia"/>
                <w:lang w:val="en-US" w:eastAsia="zh-CN"/>
              </w:rPr>
              <w:t>《中华人民共和国工业产品生产许可证管理条例》 第三十三条第一款 企业必须在其产品或者包装、说明书上标注生产许可证标志和编号。</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39</w:t>
            </w:r>
          </w:p>
        </w:tc>
        <w:tc>
          <w:tcPr>
            <w:tcW w:w="2579" w:type="dxa"/>
            <w:vAlign w:val="center"/>
          </w:tcPr>
          <w:p>
            <w:pPr>
              <w:jc w:val="both"/>
              <w:rPr>
                <w:rFonts w:hint="eastAsia" w:eastAsiaTheme="minorEastAsia"/>
                <w:vertAlign w:val="baseline"/>
                <w:lang w:val="en-US" w:eastAsia="zh-CN"/>
              </w:rPr>
            </w:pPr>
            <w:r>
              <w:rPr>
                <w:rFonts w:hint="eastAsia"/>
                <w:vertAlign w:val="baseline"/>
                <w:lang w:val="en-US" w:eastAsia="zh-CN"/>
              </w:rPr>
              <w:t>使用计量器具许可证标志、编号和出厂产品合格证不齐全计量器具</w:t>
            </w:r>
          </w:p>
        </w:tc>
        <w:tc>
          <w:tcPr>
            <w:tcW w:w="187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6030" w:type="dxa"/>
            <w:vAlign w:val="center"/>
          </w:tcPr>
          <w:p>
            <w:pPr>
              <w:numPr>
                <w:ilvl w:val="0"/>
                <w:numId w:val="0"/>
              </w:numPr>
              <w:jc w:val="center"/>
              <w:rPr>
                <w:rFonts w:hint="eastAsia"/>
                <w:vertAlign w:val="baseline"/>
                <w:lang w:val="en-US" w:eastAsia="zh-CN"/>
              </w:rPr>
            </w:pPr>
            <w:r>
              <w:rPr>
                <w:rFonts w:hint="eastAsia"/>
                <w:vertAlign w:val="baseline"/>
                <w:lang w:val="en-US" w:eastAsia="zh-CN"/>
              </w:rPr>
              <w:t>《加油站计量监督管理办法》 第五条第（四）项 使用燃油加油机等计量器具应当具有出厂产品合格证书；燃油加油机安装后报经当地市场监督管理部门授权的法定计量检定机构检定合格，方可投入使用。</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40</w:t>
            </w:r>
          </w:p>
        </w:tc>
        <w:tc>
          <w:tcPr>
            <w:tcW w:w="2579" w:type="dxa"/>
            <w:vAlign w:val="center"/>
          </w:tcPr>
          <w:p>
            <w:pPr>
              <w:jc w:val="both"/>
              <w:rPr>
                <w:rFonts w:hint="eastAsia" w:eastAsiaTheme="minorEastAsia"/>
                <w:vertAlign w:val="baseline"/>
                <w:lang w:val="en-US" w:eastAsia="zh-CN"/>
              </w:rPr>
            </w:pPr>
            <w:r>
              <w:rPr>
                <w:rFonts w:hint="eastAsia"/>
                <w:vertAlign w:val="baseline"/>
                <w:lang w:val="en-US" w:eastAsia="zh-CN"/>
              </w:rPr>
              <w:t>需要维修燃油加油机未向具有合法维修资格的单位报修，维修后的燃油加油机未经执行强制检定的法定计量检定机构检定合格即投入使用，未给消费者造成损失</w:t>
            </w:r>
          </w:p>
        </w:tc>
        <w:tc>
          <w:tcPr>
            <w:tcW w:w="1875" w:type="dxa"/>
            <w:vAlign w:val="center"/>
          </w:tcPr>
          <w:p>
            <w:pPr>
              <w:jc w:val="center"/>
              <w:rPr>
                <w:rFonts w:hint="eastAsia"/>
                <w:vertAlign w:val="baseline"/>
                <w:lang w:val="en-US" w:eastAsia="zh-CN"/>
              </w:rPr>
            </w:pPr>
            <w:r>
              <w:rPr>
                <w:rFonts w:hint="eastAsia"/>
                <w:vertAlign w:val="baseline"/>
                <w:lang w:val="en-US" w:eastAsia="zh-CN"/>
              </w:rPr>
              <w:t>责令限期改正后及时改正的</w:t>
            </w:r>
          </w:p>
        </w:tc>
        <w:tc>
          <w:tcPr>
            <w:tcW w:w="6030" w:type="dxa"/>
            <w:vAlign w:val="center"/>
          </w:tcPr>
          <w:p>
            <w:pPr>
              <w:numPr>
                <w:ilvl w:val="0"/>
                <w:numId w:val="0"/>
              </w:numPr>
              <w:jc w:val="center"/>
              <w:rPr>
                <w:rFonts w:hint="eastAsia"/>
                <w:vertAlign w:val="baseline"/>
                <w:lang w:val="en-US" w:eastAsia="zh-CN"/>
              </w:rPr>
            </w:pPr>
            <w:r>
              <w:rPr>
                <w:rFonts w:hint="eastAsia"/>
                <w:vertAlign w:val="baseline"/>
                <w:lang w:val="en-US" w:eastAsia="zh-CN"/>
              </w:rPr>
              <w:t>《加油站计量监督管理办法》 第五条第（五）项 需要维修燃油加油机，应当向具有合法维修资格的单位报修，维修后的燃油加油机未经执行强制检定的法定计量检定机构检定合格即投入使用。</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bl>
    <w:p>
      <w:pPr>
        <w:rPr>
          <w:rFonts w:hint="eastAsia" w:eastAsiaTheme="minorEastAsia"/>
          <w:lang w:val="en-US" w:eastAsia="zh-CN"/>
        </w:rPr>
      </w:pPr>
    </w:p>
    <w:p>
      <w:pPr>
        <w:rPr>
          <w:rFonts w:hint="eastAsia" w:eastAsiaTheme="minorEastAsia"/>
          <w:lang w:val="en-US" w:eastAsia="zh-CN"/>
        </w:rPr>
      </w:pPr>
    </w:p>
    <w:tbl>
      <w:tblPr>
        <w:tblStyle w:val="5"/>
        <w:tblpPr w:leftFromText="180" w:rightFromText="180" w:vertAnchor="text" w:horzAnchor="page" w:tblpX="1438" w:tblpY="45"/>
        <w:tblOverlap w:val="never"/>
        <w:tblW w:w="14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355"/>
        <w:gridCol w:w="2325"/>
        <w:gridCol w:w="5804"/>
        <w:gridCol w:w="165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41</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加油站经营者使用未经检定、超过检定周期的计量器具</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《加油站计量监督管理办法》 第五条第（七）项 不得使用未经检定、超过检定周期或者经检定不合格的计量器具；不得破坏计量器具及其铅（签）封，不得擅自改动、拆装燃油加油机，不得使用未经批准而改动的燃油加油机，不得弄虚作假。</w:t>
            </w:r>
          </w:p>
        </w:tc>
        <w:tc>
          <w:tcPr>
            <w:tcW w:w="1650"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8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42</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认证机构增加、减少、遗漏程序要求的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《认证机构管理办法》 第十六条 认证机构从事认证活动，应当符合认证基本规范、认证规则规定的程序要求，确保认证过程完整、客观、真实，不得增加、减少或者遗漏程序要求。</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43</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已通过认证而混淆使用认证证书和认证标志的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 xml:space="preserve">《认证证书和认证标志管理办法》 第十二条 </w:t>
            </w:r>
            <w:r>
              <w:rPr>
                <w:rFonts w:hint="eastAsia" w:ascii="宋体" w:hAnsi="宋体" w:eastAsia="宋体" w:cs="宋体"/>
                <w:i w:val="0"/>
                <w:caps w:val="0"/>
                <w:color w:val="333333"/>
                <w:spacing w:val="0"/>
                <w:sz w:val="21"/>
                <w:szCs w:val="21"/>
                <w:shd w:val="clear" w:fill="FFFFFF"/>
              </w:rPr>
              <w:t>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44</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产品标识不符合规定</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《中华人民共和国产品质量法》 第二十七条第一款第（四）项 限期使用产品，应当在显著位置清晰标明生产日期和安全使用期或者失效日期；第（五）项 使用不当，容易造成产品本身损坏或者可能危及人身、财产安全的产品，应当有警示标志或者中文警示说明。</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bl>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tbl>
      <w:tblPr>
        <w:tblStyle w:val="5"/>
        <w:tblpPr w:leftFromText="180" w:rightFromText="180" w:vertAnchor="text" w:horzAnchor="page" w:tblpX="1438" w:tblpY="36"/>
        <w:tblOverlap w:val="never"/>
        <w:tblW w:w="14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355"/>
        <w:gridCol w:w="2325"/>
        <w:gridCol w:w="5804"/>
        <w:gridCol w:w="165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57"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41</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加油站经营者使用未经检定、超过检定周期的计量器具</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《加油站计量监督管理办法》 第五条第（七）项 不得使用未经检定、超过检定周期或者经检定不合格的计量器具；不得破坏计量器具及其铅（签）封，不得擅自改动、拆装燃油加油机，不得使用未经批准而改动的燃油加油机，不得弄虚作假。</w:t>
            </w:r>
          </w:p>
        </w:tc>
        <w:tc>
          <w:tcPr>
            <w:tcW w:w="1650"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8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42</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认证机构增加、减少、遗漏程序要求的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《认证机构管理办法》 第十六条 认证机构从事认证活动，应当符合认证基本规范、认证规则规定的程序要求，确保认证过程完整、客观、真实，不得增加、减少或者遗漏程序要求。</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43</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已通过认证而混淆使用认证证书和认证标志的</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 xml:space="preserve">《认证证书和认证标志管理办法》 第十二条 </w:t>
            </w:r>
            <w:r>
              <w:rPr>
                <w:rFonts w:hint="eastAsia" w:ascii="宋体" w:hAnsi="宋体" w:eastAsia="宋体" w:cs="宋体"/>
                <w:i w:val="0"/>
                <w:caps w:val="0"/>
                <w:color w:val="333333"/>
                <w:spacing w:val="0"/>
                <w:sz w:val="21"/>
                <w:szCs w:val="21"/>
                <w:shd w:val="clear" w:fill="FFFFFF"/>
              </w:rPr>
              <w:t>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44</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产品标识不符合规定</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《中华人民共和国产品质量法》 第二十七条第一款第（四）项 限期使用产品，应当在显著位置清晰标明生产日期和安全使用期或者失效日期；第（五）项 使用不当，容易造成产品本身损坏或者可能危及人身、财产安全的产品，应当有警示标志或者中文警示说明。</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bl>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tbl>
      <w:tblPr>
        <w:tblStyle w:val="5"/>
        <w:tblpPr w:leftFromText="180" w:rightFromText="180" w:vertAnchor="text" w:horzAnchor="page" w:tblpX="1438" w:tblpY="93"/>
        <w:tblOverlap w:val="never"/>
        <w:tblW w:w="14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355"/>
        <w:gridCol w:w="2325"/>
        <w:gridCol w:w="5804"/>
        <w:gridCol w:w="165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503" w:type="dxa"/>
            <w:vAlign w:val="center"/>
          </w:tcPr>
          <w:p>
            <w:pPr>
              <w:jc w:val="center"/>
              <w:rPr>
                <w:rFonts w:hint="eastAsia" w:eastAsiaTheme="minorEastAsia"/>
                <w:vertAlign w:val="baseline"/>
                <w:lang w:val="en-US" w:eastAsia="zh-CN"/>
              </w:rPr>
            </w:pPr>
            <w:r>
              <w:rPr>
                <w:rFonts w:hint="eastAsia"/>
                <w:vertAlign w:val="baseline"/>
                <w:lang w:val="en-US" w:eastAsia="zh-CN"/>
              </w:rPr>
              <w:t>45</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价格变动时个别标价签未能及时调整到位</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 xml:space="preserve">《关于商品和服务实行明码标价的规定》  第九条 </w:t>
            </w:r>
            <w:r>
              <w:rPr>
                <w:rFonts w:hint="eastAsia" w:ascii="宋体" w:hAnsi="宋体" w:eastAsia="宋体" w:cs="宋体"/>
                <w:i w:val="0"/>
                <w:caps w:val="0"/>
                <w:color w:val="333333"/>
                <w:spacing w:val="0"/>
                <w:sz w:val="21"/>
                <w:szCs w:val="21"/>
                <w:shd w:val="clear" w:fill="FFFFFF"/>
              </w:rPr>
              <w:t>明码标价应当做到价签价目齐全、标价内容真实明确、字迹清晰、货签对位、标示醒目。价格变动时应当及时调整。</w:t>
            </w:r>
          </w:p>
        </w:tc>
        <w:tc>
          <w:tcPr>
            <w:tcW w:w="1650" w:type="dxa"/>
            <w:vAlign w:val="center"/>
          </w:tcPr>
          <w:p>
            <w:pPr>
              <w:jc w:val="center"/>
              <w:rPr>
                <w:rFonts w:hint="eastAsia" w:eastAsiaTheme="minorEastAsia"/>
                <w:vertAlign w:val="baseline"/>
                <w:lang w:val="en-US" w:eastAsia="zh-CN"/>
              </w:rPr>
            </w:pPr>
            <w:r>
              <w:rPr>
                <w:rFonts w:hint="eastAsia"/>
                <w:vertAlign w:val="baseline"/>
                <w:lang w:val="en-US" w:eastAsia="zh-CN"/>
              </w:rPr>
              <w:t>市场监管部门</w:t>
            </w:r>
          </w:p>
        </w:tc>
        <w:tc>
          <w:tcPr>
            <w:tcW w:w="138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46</w:t>
            </w:r>
          </w:p>
        </w:tc>
        <w:tc>
          <w:tcPr>
            <w:tcW w:w="2355" w:type="dxa"/>
            <w:vAlign w:val="center"/>
          </w:tcPr>
          <w:p>
            <w:pPr>
              <w:jc w:val="both"/>
              <w:rPr>
                <w:rFonts w:hint="eastAsia" w:eastAsiaTheme="minorEastAsia"/>
                <w:vertAlign w:val="baseline"/>
                <w:lang w:val="en-US" w:eastAsia="zh-CN"/>
              </w:rPr>
            </w:pPr>
            <w:r>
              <w:rPr>
                <w:rFonts w:hint="eastAsia"/>
                <w:vertAlign w:val="baseline"/>
                <w:lang w:val="en-US" w:eastAsia="zh-CN"/>
              </w:rPr>
              <w:t>服务项目、服务内容、等级或规格、服务价格等公示不醒目</w:t>
            </w:r>
          </w:p>
        </w:tc>
        <w:tc>
          <w:tcPr>
            <w:tcW w:w="2325" w:type="dxa"/>
            <w:vAlign w:val="center"/>
          </w:tcPr>
          <w:p>
            <w:pPr>
              <w:jc w:val="center"/>
              <w:rPr>
                <w:rFonts w:hint="eastAsia" w:eastAsiaTheme="minorEastAsia"/>
                <w:vertAlign w:val="baseline"/>
                <w:lang w:val="en-US" w:eastAsia="zh-CN"/>
              </w:rPr>
            </w:pPr>
            <w:r>
              <w:rPr>
                <w:rFonts w:hint="eastAsia"/>
                <w:vertAlign w:val="baseline"/>
                <w:lang w:val="en-US" w:eastAsia="zh-CN"/>
              </w:rPr>
              <w:t>责令限期改正后及时改正的</w:t>
            </w:r>
          </w:p>
        </w:tc>
        <w:tc>
          <w:tcPr>
            <w:tcW w:w="5804" w:type="dxa"/>
            <w:vAlign w:val="center"/>
          </w:tcPr>
          <w:p>
            <w:pPr>
              <w:numPr>
                <w:ilvl w:val="0"/>
                <w:numId w:val="0"/>
              </w:numPr>
              <w:jc w:val="both"/>
              <w:rPr>
                <w:rFonts w:hint="eastAsia"/>
                <w:vertAlign w:val="baseline"/>
                <w:lang w:val="en-US" w:eastAsia="zh-CN"/>
              </w:rPr>
            </w:pPr>
            <w:r>
              <w:rPr>
                <w:rFonts w:hint="eastAsia"/>
                <w:vertAlign w:val="baseline"/>
                <w:lang w:val="en-US" w:eastAsia="zh-CN"/>
              </w:rPr>
              <w:t xml:space="preserve">《关于商品和服务实行明码标价的规定》 第十六条 </w:t>
            </w:r>
            <w:r>
              <w:rPr>
                <w:rFonts w:hint="eastAsia" w:ascii="宋体" w:hAnsi="宋体" w:eastAsia="宋体" w:cs="宋体"/>
                <w:i w:val="0"/>
                <w:caps w:val="0"/>
                <w:color w:val="333333"/>
                <w:spacing w:val="0"/>
                <w:sz w:val="21"/>
                <w:szCs w:val="21"/>
                <w:shd w:val="clear" w:fill="FFFFFF"/>
              </w:rPr>
              <w:t>提供服务的经营者应当在经营场所或缴费地点的醒目位置公布服务项目、服务内容、等级或规格、服务价格等。</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47</w:t>
            </w:r>
          </w:p>
        </w:tc>
        <w:tc>
          <w:tcPr>
            <w:tcW w:w="2355" w:type="dxa"/>
            <w:vAlign w:val="center"/>
          </w:tcPr>
          <w:p>
            <w:pPr>
              <w:jc w:val="both"/>
              <w:rPr>
                <w:rFonts w:hint="eastAsia" w:eastAsiaTheme="minorEastAsia"/>
                <w:sz w:val="21"/>
                <w:szCs w:val="21"/>
                <w:vertAlign w:val="baseline"/>
                <w:lang w:val="en-US" w:eastAsia="zh-CN"/>
              </w:rPr>
            </w:pPr>
            <w:r>
              <w:rPr>
                <w:sz w:val="21"/>
                <w:szCs w:val="21"/>
              </w:rPr>
              <w:t>发卡企业未按照《单用途商业预付卡管理办法（试行）》第</w:t>
            </w:r>
            <w:r>
              <w:rPr>
                <w:rFonts w:hint="eastAsia"/>
                <w:sz w:val="21"/>
                <w:szCs w:val="21"/>
              </w:rPr>
              <w:t>七</w:t>
            </w:r>
            <w:r>
              <w:rPr>
                <w:sz w:val="21"/>
                <w:szCs w:val="21"/>
              </w:rPr>
              <w:t>条之规定</w:t>
            </w:r>
            <w:r>
              <w:rPr>
                <w:rFonts w:hint="eastAsia"/>
                <w:sz w:val="21"/>
                <w:szCs w:val="21"/>
              </w:rPr>
              <w:t>办理备案。</w:t>
            </w:r>
          </w:p>
        </w:tc>
        <w:tc>
          <w:tcPr>
            <w:tcW w:w="2325" w:type="dxa"/>
            <w:vAlign w:val="center"/>
          </w:tcPr>
          <w:p>
            <w:pPr>
              <w:jc w:val="both"/>
              <w:rPr>
                <w:rFonts w:hint="eastAsia" w:eastAsiaTheme="minorEastAsia"/>
                <w:sz w:val="21"/>
                <w:szCs w:val="21"/>
                <w:vertAlign w:val="baseline"/>
                <w:lang w:val="en-US" w:eastAsia="zh-CN"/>
              </w:rPr>
            </w:pPr>
            <w:r>
              <w:rPr>
                <w:sz w:val="21"/>
                <w:szCs w:val="21"/>
              </w:rPr>
              <w:t>首次发现违规，在限期内改正，未造成严重的社会危害后果</w:t>
            </w:r>
          </w:p>
        </w:tc>
        <w:tc>
          <w:tcPr>
            <w:tcW w:w="5804" w:type="dxa"/>
            <w:vAlign w:val="center"/>
          </w:tcPr>
          <w:p>
            <w:pPr>
              <w:numPr>
                <w:ilvl w:val="0"/>
                <w:numId w:val="0"/>
              </w:numPr>
              <w:jc w:val="both"/>
              <w:rPr>
                <w:rFonts w:hint="eastAsia"/>
                <w:sz w:val="21"/>
                <w:szCs w:val="21"/>
                <w:vertAlign w:val="baseline"/>
                <w:lang w:val="en-US" w:eastAsia="zh-CN"/>
              </w:rPr>
            </w:pPr>
            <w:r>
              <w:rPr>
                <w:sz w:val="21"/>
                <w:szCs w:val="21"/>
              </w:rPr>
              <w:t>《单用途商业预付卡管理办法（试行</w:t>
            </w:r>
            <w:r>
              <w:rPr>
                <w:rFonts w:hint="eastAsia"/>
                <w:sz w:val="21"/>
                <w:szCs w:val="21"/>
                <w:lang w:eastAsia="zh-CN"/>
              </w:rPr>
              <w:t>）</w:t>
            </w:r>
            <w:r>
              <w:rPr>
                <w:sz w:val="21"/>
                <w:szCs w:val="21"/>
              </w:rPr>
              <w:t>》</w:t>
            </w:r>
            <w:r>
              <w:rPr>
                <w:rFonts w:hint="eastAsia"/>
                <w:sz w:val="21"/>
                <w:szCs w:val="21"/>
                <w:lang w:val="en-US" w:eastAsia="zh-CN"/>
              </w:rPr>
              <w:t xml:space="preserve"> </w:t>
            </w:r>
            <w:r>
              <w:rPr>
                <w:sz w:val="21"/>
                <w:szCs w:val="21"/>
              </w:rPr>
              <w:t>第三十</w:t>
            </w:r>
            <w:r>
              <w:rPr>
                <w:rFonts w:hint="eastAsia"/>
                <w:sz w:val="21"/>
                <w:szCs w:val="21"/>
              </w:rPr>
              <w:t>六</w:t>
            </w:r>
            <w:r>
              <w:rPr>
                <w:sz w:val="21"/>
                <w:szCs w:val="21"/>
              </w:rPr>
              <w:t>条</w:t>
            </w:r>
            <w:r>
              <w:rPr>
                <w:rFonts w:hint="eastAsia"/>
                <w:sz w:val="21"/>
                <w:szCs w:val="21"/>
                <w:lang w:val="en-US" w:eastAsia="zh-CN"/>
              </w:rPr>
              <w:t xml:space="preserve"> 发卡企业违反本办法第七条规定的，由违法行为发生地县级以上地方人民政府商务主管部门责令限期改正；逾期仍不改正的，处以1万元以上3万元以下罚款。</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503" w:type="dxa"/>
            <w:vAlign w:val="center"/>
          </w:tcPr>
          <w:p>
            <w:pPr>
              <w:jc w:val="center"/>
              <w:rPr>
                <w:rFonts w:hint="eastAsia"/>
                <w:vertAlign w:val="baseline"/>
                <w:lang w:val="en-US" w:eastAsia="zh-CN"/>
              </w:rPr>
            </w:pPr>
            <w:r>
              <w:rPr>
                <w:rFonts w:hint="eastAsia"/>
                <w:vertAlign w:val="baseline"/>
                <w:lang w:val="en-US" w:eastAsia="zh-CN"/>
              </w:rPr>
              <w:t>48</w:t>
            </w:r>
          </w:p>
        </w:tc>
        <w:tc>
          <w:tcPr>
            <w:tcW w:w="2355" w:type="dxa"/>
            <w:vAlign w:val="center"/>
          </w:tcPr>
          <w:p>
            <w:pPr>
              <w:jc w:val="both"/>
              <w:rPr>
                <w:rFonts w:hint="eastAsia" w:eastAsiaTheme="minorEastAsia"/>
                <w:sz w:val="21"/>
                <w:szCs w:val="21"/>
                <w:vertAlign w:val="baseline"/>
                <w:lang w:val="en-US" w:eastAsia="zh-CN"/>
              </w:rPr>
            </w:pPr>
            <w:r>
              <w:rPr>
                <w:sz w:val="21"/>
                <w:szCs w:val="21"/>
              </w:rPr>
              <w:t>发卡企业未按照《单用途商业预付卡管理办法（试行）》第十四条之规定向购卡人提供章程、签订协议、提示告知。</w:t>
            </w:r>
          </w:p>
        </w:tc>
        <w:tc>
          <w:tcPr>
            <w:tcW w:w="2325" w:type="dxa"/>
            <w:vAlign w:val="center"/>
          </w:tcPr>
          <w:p>
            <w:pPr>
              <w:jc w:val="both"/>
              <w:rPr>
                <w:rFonts w:hint="eastAsia" w:eastAsiaTheme="minorEastAsia"/>
                <w:sz w:val="21"/>
                <w:szCs w:val="21"/>
                <w:vertAlign w:val="baseline"/>
                <w:lang w:val="en-US" w:eastAsia="zh-CN"/>
              </w:rPr>
            </w:pPr>
            <w:r>
              <w:rPr>
                <w:sz w:val="21"/>
                <w:szCs w:val="21"/>
              </w:rPr>
              <w:t>首次发现违规，在限期内改正，未造成严重的社会危害后果</w:t>
            </w:r>
          </w:p>
        </w:tc>
        <w:tc>
          <w:tcPr>
            <w:tcW w:w="5804" w:type="dxa"/>
            <w:vAlign w:val="center"/>
          </w:tcPr>
          <w:p>
            <w:pPr>
              <w:numPr>
                <w:ilvl w:val="0"/>
                <w:numId w:val="0"/>
              </w:numPr>
              <w:jc w:val="both"/>
              <w:rPr>
                <w:rFonts w:hint="eastAsia"/>
                <w:sz w:val="21"/>
                <w:szCs w:val="21"/>
                <w:vertAlign w:val="baseline"/>
                <w:lang w:val="en-US" w:eastAsia="zh-CN"/>
              </w:rPr>
            </w:pPr>
            <w:r>
              <w:rPr>
                <w:sz w:val="21"/>
                <w:szCs w:val="21"/>
              </w:rPr>
              <w:t>《单用途商业预付卡管理办法（试行</w:t>
            </w:r>
            <w:r>
              <w:rPr>
                <w:rFonts w:hint="eastAsia"/>
                <w:sz w:val="21"/>
                <w:szCs w:val="21"/>
                <w:lang w:eastAsia="zh-CN"/>
              </w:rPr>
              <w:t>）</w:t>
            </w:r>
            <w:r>
              <w:rPr>
                <w:sz w:val="21"/>
                <w:szCs w:val="21"/>
              </w:rPr>
              <w:t>》</w:t>
            </w:r>
            <w:r>
              <w:rPr>
                <w:rFonts w:hint="eastAsia"/>
                <w:sz w:val="21"/>
                <w:szCs w:val="21"/>
                <w:lang w:val="en-US" w:eastAsia="zh-CN"/>
              </w:rPr>
              <w:t xml:space="preserve"> 第三十七条 发卡企业或售卡企业违反本办法第十四条至第二十二条规定的，由违法行为发生地县级以上地方人民政府商务主管部门责令限期改正的；逾期仍不改正的，处以1万元以上3万元以下罚款。</w:t>
            </w:r>
          </w:p>
        </w:tc>
        <w:tc>
          <w:tcPr>
            <w:tcW w:w="1650" w:type="dxa"/>
            <w:vAlign w:val="center"/>
          </w:tcPr>
          <w:p>
            <w:pPr>
              <w:jc w:val="center"/>
              <w:rPr>
                <w:rFonts w:hint="eastAsia"/>
                <w:vertAlign w:val="baseline"/>
                <w:lang w:val="en-US" w:eastAsia="zh-CN"/>
              </w:rPr>
            </w:pPr>
            <w:r>
              <w:rPr>
                <w:rFonts w:hint="eastAsia"/>
                <w:vertAlign w:val="baseline"/>
                <w:lang w:val="en-US" w:eastAsia="zh-CN"/>
              </w:rPr>
              <w:t>市场监管部门</w:t>
            </w:r>
          </w:p>
        </w:tc>
        <w:tc>
          <w:tcPr>
            <w:tcW w:w="1380" w:type="dxa"/>
            <w:vMerge w:val="continue"/>
            <w:vAlign w:val="center"/>
          </w:tcPr>
          <w:p>
            <w:pPr>
              <w:jc w:val="center"/>
              <w:rPr>
                <w:vertAlign w:val="baseline"/>
              </w:rPr>
            </w:pPr>
          </w:p>
        </w:tc>
      </w:tr>
    </w:tbl>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tbl>
      <w:tblPr>
        <w:tblStyle w:val="5"/>
        <w:tblpPr w:leftFromText="180" w:rightFromText="180" w:vertAnchor="text" w:horzAnchor="page" w:tblpX="1453" w:tblpY="297"/>
        <w:tblOverlap w:val="never"/>
        <w:tblW w:w="14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564"/>
        <w:gridCol w:w="2385"/>
        <w:gridCol w:w="5535"/>
        <w:gridCol w:w="165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9" w:hRule="atLeast"/>
        </w:trPr>
        <w:tc>
          <w:tcPr>
            <w:tcW w:w="503" w:type="dxa"/>
            <w:vAlign w:val="center"/>
          </w:tcPr>
          <w:p>
            <w:pPr>
              <w:jc w:val="center"/>
              <w:rPr>
                <w:rFonts w:hint="eastAsia" w:eastAsiaTheme="minorEastAsia"/>
                <w:sz w:val="21"/>
                <w:szCs w:val="21"/>
                <w:vertAlign w:val="baseline"/>
                <w:lang w:val="en-US" w:eastAsia="zh-CN"/>
              </w:rPr>
            </w:pPr>
            <w:r>
              <w:rPr>
                <w:rFonts w:hint="eastAsia"/>
                <w:sz w:val="21"/>
                <w:szCs w:val="21"/>
                <w:vertAlign w:val="baseline"/>
                <w:lang w:val="en-US" w:eastAsia="zh-CN"/>
              </w:rPr>
              <w:t>49</w:t>
            </w:r>
          </w:p>
        </w:tc>
        <w:tc>
          <w:tcPr>
            <w:tcW w:w="2564" w:type="dxa"/>
            <w:vAlign w:val="center"/>
          </w:tcPr>
          <w:p>
            <w:pPr>
              <w:jc w:val="both"/>
              <w:rPr>
                <w:rFonts w:hint="eastAsia" w:eastAsiaTheme="minorEastAsia"/>
                <w:sz w:val="21"/>
                <w:szCs w:val="21"/>
                <w:vertAlign w:val="baseline"/>
                <w:lang w:val="en-US" w:eastAsia="zh-CN"/>
              </w:rPr>
            </w:pPr>
            <w:r>
              <w:rPr>
                <w:rFonts w:hint="eastAsia"/>
                <w:sz w:val="21"/>
                <w:szCs w:val="21"/>
              </w:rPr>
              <w:t>购卡金额超过1万元（含），</w:t>
            </w:r>
            <w:r>
              <w:rPr>
                <w:sz w:val="21"/>
                <w:szCs w:val="21"/>
              </w:rPr>
              <w:t>发卡企业未按照《单用途商业预付卡管理办法（试行》》第十五条之规定要求购卡人或代理人出示证件、留存信息。</w:t>
            </w:r>
          </w:p>
        </w:tc>
        <w:tc>
          <w:tcPr>
            <w:tcW w:w="2385" w:type="dxa"/>
            <w:vAlign w:val="center"/>
          </w:tcPr>
          <w:p>
            <w:pPr>
              <w:jc w:val="both"/>
              <w:rPr>
                <w:rFonts w:hint="eastAsia" w:eastAsiaTheme="minorEastAsia"/>
                <w:sz w:val="21"/>
                <w:szCs w:val="21"/>
                <w:vertAlign w:val="baseline"/>
                <w:lang w:val="en-US" w:eastAsia="zh-CN"/>
              </w:rPr>
            </w:pPr>
            <w:r>
              <w:rPr>
                <w:sz w:val="21"/>
                <w:szCs w:val="21"/>
              </w:rPr>
              <w:t>首次发现违规，在限期内改正，未造成严重的社会危害后果</w:t>
            </w:r>
          </w:p>
        </w:tc>
        <w:tc>
          <w:tcPr>
            <w:tcW w:w="5535" w:type="dxa"/>
            <w:vAlign w:val="center"/>
          </w:tcPr>
          <w:p>
            <w:pPr>
              <w:numPr>
                <w:ilvl w:val="0"/>
                <w:numId w:val="0"/>
              </w:numPr>
              <w:jc w:val="both"/>
              <w:rPr>
                <w:rFonts w:hint="eastAsia"/>
                <w:sz w:val="21"/>
                <w:szCs w:val="21"/>
                <w:vertAlign w:val="baseline"/>
                <w:lang w:val="en-US" w:eastAsia="zh-CN"/>
              </w:rPr>
            </w:pPr>
            <w:r>
              <w:rPr>
                <w:sz w:val="21"/>
                <w:szCs w:val="21"/>
              </w:rPr>
              <w:t>《单用途商业预付卡管理办法（试行</w:t>
            </w:r>
            <w:r>
              <w:rPr>
                <w:rFonts w:hint="eastAsia"/>
                <w:sz w:val="21"/>
                <w:szCs w:val="21"/>
                <w:lang w:eastAsia="zh-CN"/>
              </w:rPr>
              <w:t>）</w:t>
            </w:r>
            <w:r>
              <w:rPr>
                <w:sz w:val="21"/>
                <w:szCs w:val="21"/>
              </w:rPr>
              <w:t>》</w:t>
            </w:r>
            <w:r>
              <w:rPr>
                <w:rFonts w:hint="eastAsia"/>
                <w:sz w:val="21"/>
                <w:szCs w:val="21"/>
                <w:lang w:val="en-US" w:eastAsia="zh-CN"/>
              </w:rPr>
              <w:t xml:space="preserve"> 第三十七条 发卡企业或售卡企业违反本办法第十四条至第二十二条规定的，由违法行为发生地县级以上地方人民政府商务主管部门责令限期改正的；逾期仍不改正的，处以1万元以上3万元以下罚款。</w:t>
            </w:r>
          </w:p>
        </w:tc>
        <w:tc>
          <w:tcPr>
            <w:tcW w:w="1650" w:type="dxa"/>
            <w:vAlign w:val="center"/>
          </w:tcPr>
          <w:p>
            <w:pPr>
              <w:jc w:val="center"/>
              <w:rPr>
                <w:rFonts w:hint="eastAsia" w:eastAsiaTheme="minorEastAsia"/>
                <w:sz w:val="21"/>
                <w:szCs w:val="21"/>
                <w:vertAlign w:val="baseline"/>
                <w:lang w:val="en-US" w:eastAsia="zh-CN"/>
              </w:rPr>
            </w:pPr>
            <w:r>
              <w:rPr>
                <w:rFonts w:hint="eastAsia"/>
                <w:sz w:val="21"/>
                <w:szCs w:val="21"/>
                <w:vertAlign w:val="baseline"/>
                <w:lang w:val="en-US" w:eastAsia="zh-CN"/>
              </w:rPr>
              <w:t>市场监管部门</w:t>
            </w:r>
          </w:p>
        </w:tc>
        <w:tc>
          <w:tcPr>
            <w:tcW w:w="1380" w:type="dxa"/>
            <w:vMerge w:val="restart"/>
            <w:vAlign w:val="center"/>
          </w:tcPr>
          <w:p>
            <w:pPr>
              <w:jc w:val="center"/>
              <w:rPr>
                <w:rFonts w:hint="eastAsia" w:eastAsiaTheme="minorEastAsia"/>
                <w:sz w:val="21"/>
                <w:szCs w:val="21"/>
                <w:vertAlign w:val="baseline"/>
                <w:lang w:val="en-US" w:eastAsia="zh-CN"/>
              </w:rPr>
            </w:pPr>
            <w:r>
              <w:rPr>
                <w:rFonts w:hint="eastAsia"/>
                <w:sz w:val="21"/>
                <w:szCs w:val="21"/>
                <w:vertAlign w:val="baseline"/>
                <w:lang w:val="en-US" w:eastAsia="zh-CN"/>
              </w:rPr>
              <w:t>岳阳市市场监督管理局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8" w:hRule="atLeast"/>
        </w:trPr>
        <w:tc>
          <w:tcPr>
            <w:tcW w:w="503"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50</w:t>
            </w:r>
          </w:p>
        </w:tc>
        <w:tc>
          <w:tcPr>
            <w:tcW w:w="2564" w:type="dxa"/>
            <w:vAlign w:val="center"/>
          </w:tcPr>
          <w:p>
            <w:pPr>
              <w:jc w:val="both"/>
              <w:rPr>
                <w:rFonts w:hint="eastAsia" w:ascii="宋体" w:hAnsi="宋体" w:eastAsia="宋体" w:cs="宋体"/>
                <w:sz w:val="21"/>
                <w:szCs w:val="21"/>
                <w:vertAlign w:val="baseline"/>
                <w:lang w:val="en-US" w:eastAsia="zh-CN"/>
              </w:rPr>
            </w:pPr>
            <w:r>
              <w:rPr>
                <w:sz w:val="21"/>
                <w:szCs w:val="21"/>
              </w:rPr>
              <w:t>发卡企业未按照《单用途商业预付卡管理办法（试行》第十六条之规定保存购卡人登记信息。</w:t>
            </w:r>
          </w:p>
        </w:tc>
        <w:tc>
          <w:tcPr>
            <w:tcW w:w="2385" w:type="dxa"/>
            <w:vAlign w:val="center"/>
          </w:tcPr>
          <w:p>
            <w:pPr>
              <w:jc w:val="both"/>
              <w:rPr>
                <w:rFonts w:hint="eastAsia" w:ascii="宋体" w:hAnsi="宋体" w:eastAsia="宋体" w:cs="宋体"/>
                <w:sz w:val="21"/>
                <w:szCs w:val="21"/>
                <w:vertAlign w:val="baseline"/>
                <w:lang w:val="en-US" w:eastAsia="zh-CN"/>
              </w:rPr>
            </w:pPr>
            <w:r>
              <w:rPr>
                <w:sz w:val="21"/>
                <w:szCs w:val="21"/>
              </w:rPr>
              <w:t>首次发现违规，在限期内改正，未造成严重的社会危害后果</w:t>
            </w:r>
          </w:p>
        </w:tc>
        <w:tc>
          <w:tcPr>
            <w:tcW w:w="5535" w:type="dxa"/>
            <w:vAlign w:val="center"/>
          </w:tcPr>
          <w:p>
            <w:pPr>
              <w:numPr>
                <w:ilvl w:val="0"/>
                <w:numId w:val="0"/>
              </w:numPr>
              <w:jc w:val="both"/>
              <w:rPr>
                <w:rFonts w:hint="eastAsia" w:ascii="宋体" w:hAnsi="宋体" w:eastAsia="宋体" w:cs="宋体"/>
                <w:sz w:val="21"/>
                <w:szCs w:val="21"/>
                <w:vertAlign w:val="baseline"/>
                <w:lang w:val="en-US" w:eastAsia="zh-CN"/>
              </w:rPr>
            </w:pPr>
            <w:r>
              <w:rPr>
                <w:sz w:val="21"/>
                <w:szCs w:val="21"/>
              </w:rPr>
              <w:t>《单用途商业预付卡管理办法（试行</w:t>
            </w:r>
            <w:r>
              <w:rPr>
                <w:rFonts w:hint="eastAsia"/>
                <w:sz w:val="21"/>
                <w:szCs w:val="21"/>
                <w:lang w:eastAsia="zh-CN"/>
              </w:rPr>
              <w:t>）</w:t>
            </w:r>
            <w:r>
              <w:rPr>
                <w:sz w:val="21"/>
                <w:szCs w:val="21"/>
              </w:rPr>
              <w:t>》</w:t>
            </w:r>
            <w:r>
              <w:rPr>
                <w:rFonts w:hint="eastAsia"/>
                <w:sz w:val="21"/>
                <w:szCs w:val="21"/>
                <w:lang w:val="en-US" w:eastAsia="zh-CN"/>
              </w:rPr>
              <w:t xml:space="preserve"> 第三十七条 发卡企业或售卡企业违反本办法第十四条至第二十二条规定的，由违法行为发生地县级以上地方人民政府商务主管部门责令限期改正的；逾期仍不改正的，处以1万元以上3万元以下罚款。</w:t>
            </w:r>
          </w:p>
        </w:tc>
        <w:tc>
          <w:tcPr>
            <w:tcW w:w="165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市场监管部门</w:t>
            </w:r>
          </w:p>
        </w:tc>
        <w:tc>
          <w:tcPr>
            <w:tcW w:w="1380" w:type="dxa"/>
            <w:vMerge w:val="continue"/>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503"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51</w:t>
            </w:r>
          </w:p>
        </w:tc>
        <w:tc>
          <w:tcPr>
            <w:tcW w:w="2564" w:type="dxa"/>
            <w:vAlign w:val="center"/>
          </w:tcPr>
          <w:p>
            <w:pPr>
              <w:jc w:val="both"/>
              <w:rPr>
                <w:rFonts w:hint="eastAsia" w:ascii="宋体" w:hAnsi="宋体" w:eastAsia="宋体" w:cs="宋体"/>
                <w:sz w:val="21"/>
                <w:szCs w:val="21"/>
                <w:vertAlign w:val="baseline"/>
                <w:lang w:val="en-US" w:eastAsia="zh-CN"/>
              </w:rPr>
            </w:pPr>
            <w:r>
              <w:rPr>
                <w:rFonts w:hint="eastAsia"/>
                <w:sz w:val="21"/>
                <w:szCs w:val="21"/>
              </w:rPr>
              <w:t>单位一次性购卡金额过5000元（含）以上或个人购卡金额达5万元（含）以上，</w:t>
            </w:r>
            <w:r>
              <w:rPr>
                <w:sz w:val="21"/>
                <w:szCs w:val="21"/>
              </w:rPr>
              <w:t>发卡企业未按照《单用途商业预付卡管理办法（试行）》第十七条之规定收款、登记、开具发票。</w:t>
            </w:r>
          </w:p>
        </w:tc>
        <w:tc>
          <w:tcPr>
            <w:tcW w:w="2385" w:type="dxa"/>
            <w:vAlign w:val="center"/>
          </w:tcPr>
          <w:p>
            <w:pPr>
              <w:jc w:val="both"/>
              <w:rPr>
                <w:rFonts w:hint="eastAsia" w:ascii="宋体" w:hAnsi="宋体" w:eastAsia="宋体" w:cs="宋体"/>
                <w:sz w:val="21"/>
                <w:szCs w:val="21"/>
                <w:vertAlign w:val="baseline"/>
                <w:lang w:val="en-US" w:eastAsia="zh-CN"/>
              </w:rPr>
            </w:pPr>
            <w:r>
              <w:rPr>
                <w:sz w:val="21"/>
                <w:szCs w:val="21"/>
              </w:rPr>
              <w:t>首次发现违规，在限期内改正，未造成严重的社会危害后果</w:t>
            </w:r>
          </w:p>
        </w:tc>
        <w:tc>
          <w:tcPr>
            <w:tcW w:w="5535" w:type="dxa"/>
            <w:vAlign w:val="center"/>
          </w:tcPr>
          <w:p>
            <w:pPr>
              <w:numPr>
                <w:ilvl w:val="0"/>
                <w:numId w:val="0"/>
              </w:numPr>
              <w:jc w:val="both"/>
              <w:rPr>
                <w:rFonts w:hint="eastAsia" w:ascii="宋体" w:hAnsi="宋体" w:eastAsia="宋体" w:cs="宋体"/>
                <w:sz w:val="21"/>
                <w:szCs w:val="21"/>
                <w:vertAlign w:val="baseline"/>
                <w:lang w:val="en-US" w:eastAsia="zh-CN"/>
              </w:rPr>
            </w:pPr>
            <w:r>
              <w:rPr>
                <w:sz w:val="21"/>
                <w:szCs w:val="21"/>
              </w:rPr>
              <w:t>《单用途商业预付卡管理办法（试行</w:t>
            </w:r>
            <w:r>
              <w:rPr>
                <w:rFonts w:hint="eastAsia"/>
                <w:sz w:val="21"/>
                <w:szCs w:val="21"/>
                <w:lang w:eastAsia="zh-CN"/>
              </w:rPr>
              <w:t>）</w:t>
            </w:r>
            <w:r>
              <w:rPr>
                <w:sz w:val="21"/>
                <w:szCs w:val="21"/>
              </w:rPr>
              <w:t>》</w:t>
            </w:r>
            <w:r>
              <w:rPr>
                <w:rFonts w:hint="eastAsia"/>
                <w:sz w:val="21"/>
                <w:szCs w:val="21"/>
                <w:lang w:val="en-US" w:eastAsia="zh-CN"/>
              </w:rPr>
              <w:t xml:space="preserve"> 第三十七条 发卡企业或售卡企业违反本办法第十四条至第二十二条规定的，由违法行为发生地县级以上地方人民政府商务主管部门责令限期改正的；逾期仍不改正的，处以1万元以上3万元以下罚款。</w:t>
            </w:r>
          </w:p>
        </w:tc>
        <w:tc>
          <w:tcPr>
            <w:tcW w:w="165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市场监管部门</w:t>
            </w:r>
          </w:p>
        </w:tc>
        <w:tc>
          <w:tcPr>
            <w:tcW w:w="1380" w:type="dxa"/>
            <w:vMerge w:val="continue"/>
            <w:vAlign w:val="center"/>
          </w:tcPr>
          <w:p>
            <w:pPr>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503"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52</w:t>
            </w:r>
          </w:p>
        </w:tc>
        <w:tc>
          <w:tcPr>
            <w:tcW w:w="2564" w:type="dxa"/>
            <w:vAlign w:val="center"/>
          </w:tcPr>
          <w:p>
            <w:pPr>
              <w:jc w:val="both"/>
              <w:rPr>
                <w:rFonts w:hint="eastAsia" w:ascii="宋体" w:hAnsi="宋体" w:eastAsia="宋体" w:cs="宋体"/>
                <w:sz w:val="21"/>
                <w:szCs w:val="21"/>
                <w:vertAlign w:val="baseline"/>
                <w:lang w:val="en-US" w:eastAsia="zh-CN"/>
              </w:rPr>
            </w:pPr>
            <w:r>
              <w:rPr>
                <w:rFonts w:hint="eastAsia"/>
                <w:sz w:val="21"/>
                <w:szCs w:val="21"/>
              </w:rPr>
              <w:t>单张预付卡限额超过《单用途商业预付卡管理办法（试行）》第十八条之规定</w:t>
            </w:r>
          </w:p>
        </w:tc>
        <w:tc>
          <w:tcPr>
            <w:tcW w:w="2385" w:type="dxa"/>
            <w:vAlign w:val="center"/>
          </w:tcPr>
          <w:p>
            <w:pPr>
              <w:jc w:val="both"/>
              <w:rPr>
                <w:rFonts w:hint="eastAsia" w:ascii="宋体" w:hAnsi="宋体" w:eastAsia="宋体" w:cs="宋体"/>
                <w:sz w:val="21"/>
                <w:szCs w:val="21"/>
                <w:vertAlign w:val="baseline"/>
                <w:lang w:val="en-US" w:eastAsia="zh-CN"/>
              </w:rPr>
            </w:pPr>
            <w:r>
              <w:rPr>
                <w:sz w:val="21"/>
                <w:szCs w:val="21"/>
              </w:rPr>
              <w:t>首次发现违规，在限期内改正，未造成严重的社会危害后果</w:t>
            </w:r>
          </w:p>
        </w:tc>
        <w:tc>
          <w:tcPr>
            <w:tcW w:w="5535" w:type="dxa"/>
            <w:vAlign w:val="center"/>
          </w:tcPr>
          <w:p>
            <w:pPr>
              <w:numPr>
                <w:ilvl w:val="0"/>
                <w:numId w:val="0"/>
              </w:numPr>
              <w:jc w:val="both"/>
              <w:rPr>
                <w:rFonts w:hint="eastAsia" w:ascii="宋体" w:hAnsi="宋体" w:eastAsia="宋体" w:cs="宋体"/>
                <w:sz w:val="21"/>
                <w:szCs w:val="21"/>
                <w:vertAlign w:val="baseline"/>
                <w:lang w:val="en-US" w:eastAsia="zh-CN"/>
              </w:rPr>
            </w:pPr>
            <w:r>
              <w:rPr>
                <w:sz w:val="21"/>
                <w:szCs w:val="21"/>
              </w:rPr>
              <w:t>《单用途商业预付卡管理办法（试行</w:t>
            </w:r>
            <w:r>
              <w:rPr>
                <w:rFonts w:hint="eastAsia"/>
                <w:sz w:val="21"/>
                <w:szCs w:val="21"/>
                <w:lang w:eastAsia="zh-CN"/>
              </w:rPr>
              <w:t>）</w:t>
            </w:r>
            <w:r>
              <w:rPr>
                <w:sz w:val="21"/>
                <w:szCs w:val="21"/>
              </w:rPr>
              <w:t>》</w:t>
            </w:r>
            <w:r>
              <w:rPr>
                <w:rFonts w:hint="eastAsia"/>
                <w:sz w:val="21"/>
                <w:szCs w:val="21"/>
                <w:lang w:val="en-US" w:eastAsia="zh-CN"/>
              </w:rPr>
              <w:t xml:space="preserve"> 第三十七条 发卡企业或售卡企业违反本办法第十四条至第二十二条规定的，由违法行为发生地县级以上地方人民政府商务主管部门责令限期改正的；逾期仍不改正的，处以1万元以上3万元以下罚款。</w:t>
            </w:r>
          </w:p>
        </w:tc>
        <w:tc>
          <w:tcPr>
            <w:tcW w:w="1650" w:type="dxa"/>
            <w:vAlign w:val="center"/>
          </w:tcPr>
          <w:p>
            <w:pPr>
              <w:jc w:val="center"/>
              <w:rPr>
                <w:rFonts w:hint="eastAsia"/>
                <w:sz w:val="21"/>
                <w:szCs w:val="21"/>
                <w:vertAlign w:val="baseline"/>
                <w:lang w:val="en-US" w:eastAsia="zh-CN"/>
              </w:rPr>
            </w:pPr>
            <w:r>
              <w:rPr>
                <w:rFonts w:hint="eastAsia"/>
                <w:sz w:val="21"/>
                <w:szCs w:val="21"/>
                <w:vertAlign w:val="baseline"/>
                <w:lang w:val="en-US" w:eastAsia="zh-CN"/>
              </w:rPr>
              <w:t>市场监管部门</w:t>
            </w:r>
          </w:p>
        </w:tc>
        <w:tc>
          <w:tcPr>
            <w:tcW w:w="1380" w:type="dxa"/>
            <w:vMerge w:val="continue"/>
            <w:vAlign w:val="center"/>
          </w:tcPr>
          <w:p>
            <w:pPr>
              <w:jc w:val="center"/>
              <w:rPr>
                <w:sz w:val="21"/>
                <w:szCs w:val="21"/>
                <w:vertAlign w:val="baseli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Bahnschrift">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SemiBold Condensed">
    <w:panose1 w:val="020B0502040204020203"/>
    <w:charset w:val="00"/>
    <w:family w:val="auto"/>
    <w:pitch w:val="default"/>
    <w:sig w:usb0="A00002C7" w:usb1="00000002" w:usb2="00000000" w:usb3="00000000" w:csb0="2000019F" w:csb1="00000000"/>
  </w:font>
  <w:font w:name="Bahnschrift SemiBold SemiConden">
    <w:altName w:val="Bahnschrift"/>
    <w:panose1 w:val="00000000000000000000"/>
    <w:charset w:val="00"/>
    <w:family w:val="auto"/>
    <w:pitch w:val="default"/>
    <w:sig w:usb0="00000000" w:usb1="00000000" w:usb2="00000000" w:usb3="00000000" w:csb0="00000000" w:csb1="00000000"/>
  </w:font>
  <w:font w:name="Bahnschrift SemiLight">
    <w:panose1 w:val="020B0502040204020203"/>
    <w:charset w:val="00"/>
    <w:family w:val="auto"/>
    <w:pitch w:val="default"/>
    <w:sig w:usb0="A00002C7" w:usb1="00000002" w:usb2="00000000" w:usb3="00000000" w:csb0="2000019F" w:csb1="00000000"/>
  </w:font>
  <w:font w:name="Bahnschrift SemiLight Condensed">
    <w:panose1 w:val="020B0502040204020203"/>
    <w:charset w:val="00"/>
    <w:family w:val="auto"/>
    <w:pitch w:val="default"/>
    <w:sig w:usb0="A00002C7" w:usb1="00000002" w:usb2="00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Ebrima">
    <w:panose1 w:val="02000000000000000000"/>
    <w:charset w:val="00"/>
    <w:family w:val="auto"/>
    <w:pitch w:val="default"/>
    <w:sig w:usb0="A000505F" w:usb1="02000041" w:usb2="00000800" w:usb3="00000404" w:csb0="00000093" w:csb1="00000000"/>
  </w:font>
  <w:font w:name="Franklin Gothic Medium">
    <w:panose1 w:val="020B06030201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Impact">
    <w:panose1 w:val="020B0806030902050204"/>
    <w:charset w:val="00"/>
    <w:family w:val="auto"/>
    <w:pitch w:val="default"/>
    <w:sig w:usb0="00000287" w:usb1="00000000" w:usb2="00000000" w:usb3="00000000" w:csb0="2000009F" w:csb1="DFD70000"/>
  </w:font>
  <w:font w:name="Leelawadee UI">
    <w:panose1 w:val="020B0502040204020203"/>
    <w:charset w:val="00"/>
    <w:family w:val="auto"/>
    <w:pitch w:val="default"/>
    <w:sig w:usb0="83000003" w:usb1="00000000" w:usb2="00010000" w:usb3="00000001" w:csb0="00010101" w:csb1="00000000"/>
  </w:font>
  <w:font w:name="Leelawadee UI Semilight">
    <w:panose1 w:val="020B0402040204020203"/>
    <w:charset w:val="00"/>
    <w:family w:val="auto"/>
    <w:pitch w:val="default"/>
    <w:sig w:usb0="83000003" w:usb1="00000000" w:usb2="00010000" w:usb3="00000001" w:csb0="00010101" w:csb1="00000000"/>
  </w:font>
  <w:font w:name="Lucida Console">
    <w:panose1 w:val="020B0609040504020204"/>
    <w:charset w:val="00"/>
    <w:family w:val="auto"/>
    <w:pitch w:val="default"/>
    <w:sig w:usb0="8000028F" w:usb1="00001800" w:usb2="00000000" w:usb3="00000000" w:csb0="0000001F" w:csb1="D7D70000"/>
  </w:font>
  <w:font w:name="Lucida Sans Unicode">
    <w:panose1 w:val="020B0602030504020204"/>
    <w:charset w:val="00"/>
    <w:family w:val="auto"/>
    <w:pitch w:val="default"/>
    <w:sig w:usb0="80001AFF" w:usb1="0000396B" w:usb2="00000000" w:usb3="00000000" w:csb0="200000BF" w:csb1="D7F70000"/>
  </w:font>
  <w:font w:name="Microsoft New Tai Lue">
    <w:panose1 w:val="020B0502040204020203"/>
    <w:charset w:val="00"/>
    <w:family w:val="auto"/>
    <w:pitch w:val="default"/>
    <w:sig w:usb0="00000003" w:usb1="00000000" w:usb2="8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Microsoft Tai Le">
    <w:panose1 w:val="020B0502040204020203"/>
    <w:charset w:val="00"/>
    <w:family w:val="auto"/>
    <w:pitch w:val="default"/>
    <w:sig w:usb0="00000003" w:usb1="00000000" w:usb2="40000000" w:usb3="00000000" w:csb0="00000001" w:csb1="00000000"/>
  </w:font>
  <w:font w:name="Mongolian Baiti">
    <w:panose1 w:val="03000500000000000000"/>
    <w:charset w:val="00"/>
    <w:family w:val="auto"/>
    <w:pitch w:val="default"/>
    <w:sig w:usb0="80000023" w:usb1="00000000" w:usb2="00020000" w:usb3="00000000" w:csb0="00000001" w:csb1="00000000"/>
  </w:font>
  <w:font w:name="Myanmar Text">
    <w:panose1 w:val="020B0502040204020203"/>
    <w:charset w:val="00"/>
    <w:family w:val="auto"/>
    <w:pitch w:val="default"/>
    <w:sig w:usb0="80000003" w:usb1="00000000" w:usb2="00000400" w:usb3="00000000" w:csb0="00000001" w:csb1="00000000"/>
  </w:font>
  <w:font w:name="Segoe UI">
    <w:panose1 w:val="020B0502040204020203"/>
    <w:charset w:val="00"/>
    <w:family w:val="auto"/>
    <w:pitch w:val="default"/>
    <w:sig w:usb0="E4002EFF" w:usb1="C000E47F" w:usb2="00000009" w:usb3="00000000" w:csb0="200001FF" w:csb1="00000000"/>
  </w:font>
  <w:font w:name="Sitka Display">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Trebuchet MS">
    <w:panose1 w:val="020B0603020202020204"/>
    <w:charset w:val="00"/>
    <w:family w:val="auto"/>
    <w:pitch w:val="default"/>
    <w:sig w:usb0="00000687" w:usb1="00000000" w:usb2="00000000" w:usb3="00000000" w:csb0="2000009F" w:csb1="00000000"/>
  </w:font>
  <w:font w:name="Verdana">
    <w:panose1 w:val="020B0604030504040204"/>
    <w:charset w:val="00"/>
    <w:family w:val="auto"/>
    <w:pitch w:val="default"/>
    <w:sig w:usb0="A00006FF" w:usb1="4000205B" w:usb2="00000010" w:usb3="00000000" w:csb0="2000019F" w:csb1="00000000"/>
  </w:font>
  <w:font w:name="Webdings">
    <w:panose1 w:val="05030102010509060703"/>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寰蒋闆呴粦">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53585"/>
    <w:multiLevelType w:val="singleLevel"/>
    <w:tmpl w:val="60D53585"/>
    <w:lvl w:ilvl="0" w:tentative="0">
      <w:start w:val="1"/>
      <w:numFmt w:val="decimal"/>
      <w:suff w:val="nothing"/>
      <w:lvlText w:val="%1、"/>
      <w:lvlJc w:val="left"/>
    </w:lvl>
  </w:abstractNum>
  <w:abstractNum w:abstractNumId="1">
    <w:nsid w:val="60D54006"/>
    <w:multiLevelType w:val="singleLevel"/>
    <w:tmpl w:val="60D54006"/>
    <w:lvl w:ilvl="0" w:tentative="0">
      <w:start w:val="1"/>
      <w:numFmt w:val="decimal"/>
      <w:suff w:val="nothing"/>
      <w:lvlText w:val="%1、"/>
      <w:lvlJc w:val="left"/>
    </w:lvl>
  </w:abstractNum>
  <w:abstractNum w:abstractNumId="2">
    <w:nsid w:val="60D5469B"/>
    <w:multiLevelType w:val="singleLevel"/>
    <w:tmpl w:val="60D5469B"/>
    <w:lvl w:ilvl="0" w:tentative="0">
      <w:start w:val="1"/>
      <w:numFmt w:val="decimal"/>
      <w:suff w:val="nothing"/>
      <w:lvlText w:val="%1、"/>
      <w:lvlJc w:val="left"/>
    </w:lvl>
  </w:abstractNum>
  <w:abstractNum w:abstractNumId="3">
    <w:nsid w:val="60D54FF0"/>
    <w:multiLevelType w:val="singleLevel"/>
    <w:tmpl w:val="60D54FF0"/>
    <w:lvl w:ilvl="0" w:tentative="0">
      <w:start w:val="1"/>
      <w:numFmt w:val="decimal"/>
      <w:suff w:val="nothing"/>
      <w:lvlText w:val="%1、"/>
      <w:lvlJc w:val="left"/>
    </w:lvl>
  </w:abstractNum>
  <w:abstractNum w:abstractNumId="4">
    <w:nsid w:val="60DBD6CD"/>
    <w:multiLevelType w:val="singleLevel"/>
    <w:tmpl w:val="60DBD6CD"/>
    <w:lvl w:ilvl="0" w:tentative="0">
      <w:start w:val="1"/>
      <w:numFmt w:val="decimal"/>
      <w:suff w:val="nothing"/>
      <w:lvlText w:val="%1、"/>
      <w:lvlJc w:val="left"/>
    </w:lvl>
  </w:abstractNum>
  <w:abstractNum w:abstractNumId="5">
    <w:nsid w:val="60DBDB34"/>
    <w:multiLevelType w:val="singleLevel"/>
    <w:tmpl w:val="60DBDB34"/>
    <w:lvl w:ilvl="0" w:tentative="0">
      <w:start w:val="1"/>
      <w:numFmt w:val="decimal"/>
      <w:suff w:val="nothing"/>
      <w:lvlText w:val="%1、"/>
      <w:lvlJc w:val="left"/>
    </w:lvl>
  </w:abstractNum>
  <w:abstractNum w:abstractNumId="6">
    <w:nsid w:val="60DC1603"/>
    <w:multiLevelType w:val="singleLevel"/>
    <w:tmpl w:val="60DC1603"/>
    <w:lvl w:ilvl="0" w:tentative="0">
      <w:start w:val="1"/>
      <w:numFmt w:val="decimal"/>
      <w:suff w:val="nothing"/>
      <w:lvlText w:val="%1、"/>
      <w:lvlJc w:val="left"/>
    </w:lvl>
  </w:abstractNum>
  <w:abstractNum w:abstractNumId="7">
    <w:nsid w:val="60DC16DB"/>
    <w:multiLevelType w:val="singleLevel"/>
    <w:tmpl w:val="60DC16DB"/>
    <w:lvl w:ilvl="0" w:tentative="0">
      <w:start w:val="1"/>
      <w:numFmt w:val="decimal"/>
      <w:suff w:val="nothing"/>
      <w:lvlText w:val="%1、"/>
      <w:lvlJc w:val="left"/>
    </w:lvl>
  </w:abstractNum>
  <w:abstractNum w:abstractNumId="8">
    <w:nsid w:val="60DC1C5D"/>
    <w:multiLevelType w:val="singleLevel"/>
    <w:tmpl w:val="60DC1C5D"/>
    <w:lvl w:ilvl="0" w:tentative="0">
      <w:start w:val="1"/>
      <w:numFmt w:val="decimal"/>
      <w:suff w:val="nothing"/>
      <w:lvlText w:val="%1、"/>
      <w:lvlJc w:val="left"/>
    </w:lvl>
  </w:abstractNum>
  <w:abstractNum w:abstractNumId="9">
    <w:nsid w:val="60DC1E2B"/>
    <w:multiLevelType w:val="singleLevel"/>
    <w:tmpl w:val="60DC1E2B"/>
    <w:lvl w:ilvl="0" w:tentative="0">
      <w:start w:val="1"/>
      <w:numFmt w:val="decimal"/>
      <w:suff w:val="nothing"/>
      <w:lvlText w:val="%1、"/>
      <w:lvlJc w:val="left"/>
    </w:lvl>
  </w:abstractNum>
  <w:abstractNum w:abstractNumId="10">
    <w:nsid w:val="60DC21B0"/>
    <w:multiLevelType w:val="singleLevel"/>
    <w:tmpl w:val="60DC21B0"/>
    <w:lvl w:ilvl="0" w:tentative="0">
      <w:start w:val="1"/>
      <w:numFmt w:val="decimal"/>
      <w:suff w:val="nothing"/>
      <w:lvlText w:val="%1、"/>
      <w:lvlJc w:val="left"/>
    </w:lvl>
  </w:abstractNum>
  <w:abstractNum w:abstractNumId="11">
    <w:nsid w:val="60DC241D"/>
    <w:multiLevelType w:val="singleLevel"/>
    <w:tmpl w:val="60DC241D"/>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A1E03"/>
    <w:rsid w:val="03A819B0"/>
    <w:rsid w:val="09D01253"/>
    <w:rsid w:val="0F966B39"/>
    <w:rsid w:val="188D456F"/>
    <w:rsid w:val="18980AF1"/>
    <w:rsid w:val="1F11604E"/>
    <w:rsid w:val="2224451B"/>
    <w:rsid w:val="244F2A32"/>
    <w:rsid w:val="291B3B8D"/>
    <w:rsid w:val="2936728F"/>
    <w:rsid w:val="2AFC7CB6"/>
    <w:rsid w:val="2F396CCF"/>
    <w:rsid w:val="34385AD4"/>
    <w:rsid w:val="34444455"/>
    <w:rsid w:val="374B5F28"/>
    <w:rsid w:val="37987CD7"/>
    <w:rsid w:val="3BA71056"/>
    <w:rsid w:val="3C156D08"/>
    <w:rsid w:val="40917E42"/>
    <w:rsid w:val="44744F9B"/>
    <w:rsid w:val="453C5DD3"/>
    <w:rsid w:val="458C4362"/>
    <w:rsid w:val="45A32D4E"/>
    <w:rsid w:val="461C0556"/>
    <w:rsid w:val="4925357C"/>
    <w:rsid w:val="4C022C85"/>
    <w:rsid w:val="4E856D09"/>
    <w:rsid w:val="4ED97A90"/>
    <w:rsid w:val="52C709ED"/>
    <w:rsid w:val="52DD6A77"/>
    <w:rsid w:val="5A0A1E03"/>
    <w:rsid w:val="62125ADC"/>
    <w:rsid w:val="638026D4"/>
    <w:rsid w:val="64D623FE"/>
    <w:rsid w:val="6E0D5822"/>
    <w:rsid w:val="6E136857"/>
    <w:rsid w:val="6FDD511E"/>
    <w:rsid w:val="75012BF5"/>
    <w:rsid w:val="78EE217E"/>
    <w:rsid w:val="7A22457C"/>
    <w:rsid w:val="7D0D09DA"/>
    <w:rsid w:val="7F6C552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2021-06-21T07:05:00Z</dcterms:created>
  <dc:creator>FGK</dc:creator>
  <cp:lastModifiedBy>FGK</cp:lastModifiedBy>
  <cp:lastPrinted>2021-06-30T01:23:00Z</cp:lastPrinted>
  <dcterms:modified xsi:type="dcterms:W3CDTF">2021-08-09T03:21:03Z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