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湖南城陵矶新港区20</w:t>
      </w:r>
      <w:r>
        <w:rPr>
          <w:rFonts w:hint="eastAsia" w:eastAsia="方正小标宋简体"/>
          <w:bCs/>
          <w:sz w:val="46"/>
          <w:szCs w:val="46"/>
          <w:u w:val="single"/>
          <w:lang w:val="en-US" w:eastAsia="zh-CN"/>
        </w:rPr>
        <w:t>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jc w:val="left"/>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财政金融部                  </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004001                 </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   月   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2287"/>
        <w:gridCol w:w="226"/>
        <w:gridCol w:w="196"/>
        <w:gridCol w:w="259"/>
        <w:gridCol w:w="1027"/>
        <w:gridCol w:w="318"/>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753"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卢明珠</w:t>
            </w: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13762755446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2753"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spacing w:line="640" w:lineRule="exact"/>
              <w:ind w:firstLine="480" w:firstLineChars="200"/>
              <w:rPr>
                <w:rFonts w:ascii="仿宋_GB2312" w:hAnsi="仿宋_GB2312" w:eastAsia="仿宋_GB2312" w:cs="仿宋_GB2312"/>
                <w:color w:val="000000"/>
                <w:sz w:val="24"/>
              </w:rPr>
            </w:pPr>
            <w:r>
              <w:rPr>
                <w:rFonts w:ascii="仿宋_GB2312" w:hAnsi="仿宋_GB2312" w:eastAsia="仿宋_GB2312" w:cs="仿宋_GB2312"/>
                <w:color w:val="000000"/>
                <w:sz w:val="24"/>
              </w:rPr>
              <w:t>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spacing w:line="6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年，我部紧紧围绕新港区经济建设发展和党工委、管委会确定的</w:t>
            </w:r>
            <w:r>
              <w:rPr>
                <w:rFonts w:hint="eastAsia" w:ascii="仿宋_GB2312" w:hAnsi="仿宋_GB2312" w:eastAsia="仿宋_GB2312" w:cs="仿宋_GB2312"/>
                <w:color w:val="000000"/>
                <w:sz w:val="24"/>
                <w:lang w:eastAsia="zh-CN"/>
              </w:rPr>
              <w:t>工作要点</w:t>
            </w:r>
            <w:r>
              <w:rPr>
                <w:rFonts w:hint="eastAsia" w:ascii="仿宋_GB2312" w:hAnsi="仿宋_GB2312" w:eastAsia="仿宋_GB2312" w:cs="仿宋_GB2312"/>
                <w:color w:val="000000"/>
                <w:sz w:val="24"/>
              </w:rPr>
              <w:t>，扎实推进“</w:t>
            </w:r>
            <w:r>
              <w:rPr>
                <w:rFonts w:hint="eastAsia" w:ascii="仿宋_GB2312" w:hAnsi="仿宋_GB2312" w:eastAsia="仿宋_GB2312" w:cs="仿宋_GB2312"/>
                <w:color w:val="000000"/>
                <w:sz w:val="24"/>
                <w:lang w:eastAsia="zh-CN"/>
              </w:rPr>
              <w:t>三区</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建设</w:t>
            </w:r>
            <w:r>
              <w:rPr>
                <w:rFonts w:hint="eastAsia" w:ascii="仿宋_GB2312" w:hAnsi="仿宋_GB2312" w:eastAsia="仿宋_GB2312" w:cs="仿宋_GB2312"/>
                <w:color w:val="000000"/>
                <w:sz w:val="24"/>
              </w:rPr>
              <w:t>，抓收入培财源，优结构保重点，推改革强监督，全区经济财政运行总体平稳，较好的完成了各项工作目标任务。</w:t>
            </w: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spacing w:line="640" w:lineRule="exact"/>
              <w:ind w:firstLine="482" w:firstLineChars="200"/>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一是财税收入增总量、提质量。</w:t>
            </w:r>
            <w:r>
              <w:rPr>
                <w:rFonts w:ascii="仿宋_GB2312" w:hAnsi="仿宋_GB2312" w:eastAsia="仿宋_GB2312" w:cs="仿宋_GB2312"/>
                <w:color w:val="000000"/>
                <w:sz w:val="24"/>
              </w:rPr>
              <w:t>2020</w:t>
            </w:r>
            <w:r>
              <w:rPr>
                <w:rFonts w:hint="eastAsia" w:ascii="仿宋_GB2312" w:hAnsi="仿宋_GB2312" w:eastAsia="仿宋_GB2312" w:cs="仿宋_GB2312"/>
                <w:color w:val="000000"/>
                <w:sz w:val="24"/>
              </w:rPr>
              <w:t>年我部积极走访重点税源企业，开展房地产行业、金融行业、综保区内企业税收清理，共清理欠税</w:t>
            </w:r>
            <w:r>
              <w:rPr>
                <w:rFonts w:ascii="仿宋_GB2312" w:hAnsi="仿宋_GB2312" w:eastAsia="仿宋_GB2312" w:cs="仿宋_GB2312"/>
                <w:color w:val="000000"/>
                <w:sz w:val="24"/>
              </w:rPr>
              <w:t>700</w:t>
            </w:r>
            <w:r>
              <w:rPr>
                <w:rFonts w:hint="eastAsia" w:ascii="仿宋_GB2312" w:hAnsi="仿宋_GB2312" w:eastAsia="仿宋_GB2312" w:cs="仿宋_GB2312"/>
                <w:color w:val="000000"/>
                <w:sz w:val="24"/>
              </w:rPr>
              <w:t>余万元，促成华融湘江银行新港区支行企业所得税在我区缴税。着力加强税收源泉管控，抓牢主体税源、紧盯临时税源，坚持大税小税一起抓，做到大户重点抓、小户无遗漏。我们以税务部门征管信息需求为切入点，进一步修订了综合治税管理文件，全年共组织召开财政收入调度和税收收入调研会议</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次，压实各部门协税护税责任。制定非税收入考核奖励办法，将考核结果与经费和绩效挂钩，极大的调动了非税收入征管单位的积极性。今年全省的增长目标为实现正增长，全市的增长目标是</w:t>
            </w:r>
            <w:r>
              <w:rPr>
                <w:rFonts w:ascii="仿宋_GB2312" w:hAnsi="仿宋_GB2312" w:eastAsia="仿宋_GB2312" w:cs="仿宋_GB2312"/>
                <w:color w:val="000000"/>
                <w:sz w:val="24"/>
              </w:rPr>
              <w:t>-3.5%</w:t>
            </w:r>
            <w:r>
              <w:rPr>
                <w:rFonts w:hint="eastAsia" w:ascii="仿宋_GB2312" w:hAnsi="仿宋_GB2312" w:eastAsia="仿宋_GB2312" w:cs="仿宋_GB2312"/>
                <w:color w:val="000000"/>
                <w:sz w:val="24"/>
              </w:rPr>
              <w:t>。而我区在新增减税降费</w:t>
            </w:r>
            <w:r>
              <w:rPr>
                <w:rFonts w:ascii="仿宋_GB2312" w:hAnsi="仿宋_GB2312" w:eastAsia="仿宋_GB2312" w:cs="仿宋_GB2312"/>
                <w:color w:val="000000"/>
                <w:sz w:val="24"/>
              </w:rPr>
              <w:t>11662</w:t>
            </w:r>
            <w:r>
              <w:rPr>
                <w:rFonts w:hint="eastAsia" w:ascii="仿宋_GB2312" w:hAnsi="仿宋_GB2312" w:eastAsia="仿宋_GB2312" w:cs="仿宋_GB2312"/>
                <w:color w:val="000000"/>
                <w:sz w:val="24"/>
              </w:rPr>
              <w:t>万元的情况下，预计完成全域财税收入</w:t>
            </w:r>
            <w:r>
              <w:rPr>
                <w:rFonts w:ascii="仿宋_GB2312" w:hAnsi="仿宋_GB2312" w:eastAsia="仿宋_GB2312" w:cs="仿宋_GB2312"/>
                <w:color w:val="000000"/>
                <w:sz w:val="24"/>
              </w:rPr>
              <w:t>50</w:t>
            </w:r>
            <w:r>
              <w:rPr>
                <w:rFonts w:hint="eastAsia" w:ascii="仿宋_GB2312" w:hAnsi="仿宋_GB2312" w:eastAsia="仿宋_GB2312" w:cs="仿宋_GB2312"/>
                <w:color w:val="000000"/>
                <w:sz w:val="24"/>
              </w:rPr>
              <w:t>亿元，同比增长</w:t>
            </w:r>
            <w:r>
              <w:rPr>
                <w:rFonts w:ascii="仿宋_GB2312" w:hAnsi="仿宋_GB2312" w:eastAsia="仿宋_GB2312" w:cs="仿宋_GB2312"/>
                <w:color w:val="000000"/>
                <w:sz w:val="24"/>
              </w:rPr>
              <w:t>25%</w:t>
            </w:r>
            <w:r>
              <w:rPr>
                <w:rFonts w:hint="eastAsia" w:ascii="仿宋_GB2312" w:hAnsi="仿宋_GB2312" w:eastAsia="仿宋_GB2312" w:cs="仿宋_GB2312"/>
                <w:color w:val="000000"/>
                <w:sz w:val="24"/>
              </w:rPr>
              <w:t>，预计完成一般公共预算收入</w:t>
            </w: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6亿元，实现增长</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，超人大预算目标任务。</w:t>
            </w:r>
          </w:p>
          <w:p>
            <w:pPr>
              <w:spacing w:line="640" w:lineRule="exact"/>
              <w:ind w:firstLine="482" w:firstLineChars="200"/>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二是对上争资有突破、创亮点</w:t>
            </w:r>
            <w:r>
              <w:rPr>
                <w:rFonts w:hint="eastAsia" w:ascii="仿宋_GB2312" w:hAnsi="仿宋_GB2312" w:eastAsia="仿宋_GB2312" w:cs="仿宋_GB2312"/>
                <w:color w:val="000000"/>
                <w:sz w:val="24"/>
              </w:rPr>
              <w:t>。为贯彻落实市委主要领导“开源节流、培育财源，把财税收入做事做强”指示精神，我部推动出台《</w:t>
            </w:r>
            <w:r>
              <w:rPr>
                <w:rFonts w:ascii="仿宋_GB2312" w:hAnsi="仿宋_GB2312" w:eastAsia="仿宋_GB2312" w:cs="仿宋_GB2312"/>
                <w:color w:val="000000"/>
                <w:sz w:val="24"/>
              </w:rPr>
              <w:t>2020</w:t>
            </w:r>
            <w:r>
              <w:rPr>
                <w:rFonts w:hint="eastAsia" w:ascii="仿宋_GB2312" w:hAnsi="仿宋_GB2312" w:eastAsia="仿宋_GB2312" w:cs="仿宋_GB2312"/>
                <w:color w:val="000000"/>
                <w:sz w:val="24"/>
              </w:rPr>
              <w:t>年湖南城陵矶新港区争资争项任务分配表》并下达至各责任部门。成立新港区争资争项工作小组，党政主要领导对全区争资争项工作亲自部署、亲自协调。今年是新港区享受</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亿元政府债券支持政策的最后一年，也是发债工作困难最大的一年。我部对发债工作面临的困难提前预判，多次向党工委、管委会领导汇报进展。今年二三月，在疫情防控铆劲吃紧的关键时段，我部先后十余次到市债务科和省预算处、债务处汇报协调，成功调整了债务项目发行额度，理顺了债券项目更名的前后关系，解决了债劵发行的各项要求。较往年提前</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个月争取省财政</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亿元城陵矶建设引导资金下达新港区，并成功报请省政府同意将该资金延长至</w:t>
            </w:r>
            <w:r>
              <w:rPr>
                <w:rFonts w:ascii="仿宋_GB2312" w:hAnsi="仿宋_GB2312" w:eastAsia="仿宋_GB2312" w:cs="仿宋_GB2312"/>
                <w:color w:val="000000"/>
                <w:sz w:val="24"/>
              </w:rPr>
              <w:t>2022</w:t>
            </w:r>
            <w:r>
              <w:rPr>
                <w:rFonts w:hint="eastAsia" w:ascii="仿宋_GB2312" w:hAnsi="仿宋_GB2312" w:eastAsia="仿宋_GB2312" w:cs="仿宋_GB2312"/>
                <w:color w:val="000000"/>
                <w:sz w:val="24"/>
              </w:rPr>
              <w:t>年。争取到位抗议特别国债资金</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亿元，发行到位政府专项债券资金</w:t>
            </w:r>
            <w:r>
              <w:rPr>
                <w:rFonts w:ascii="仿宋_GB2312" w:hAnsi="仿宋_GB2312" w:eastAsia="仿宋_GB2312" w:cs="仿宋_GB2312"/>
                <w:color w:val="000000"/>
                <w:sz w:val="24"/>
              </w:rPr>
              <w:t>22</w:t>
            </w:r>
            <w:r>
              <w:rPr>
                <w:rFonts w:hint="eastAsia" w:ascii="仿宋_GB2312" w:hAnsi="仿宋_GB2312" w:eastAsia="仿宋_GB2312" w:cs="仿宋_GB2312"/>
                <w:color w:val="000000"/>
                <w:sz w:val="24"/>
              </w:rPr>
              <w:t>亿元，为历年之最。截至</w:t>
            </w:r>
            <w:r>
              <w:rPr>
                <w:rFonts w:ascii="仿宋_GB2312" w:hAnsi="仿宋_GB2312" w:eastAsia="仿宋_GB2312" w:cs="仿宋_GB2312"/>
                <w:color w:val="000000"/>
                <w:sz w:val="24"/>
              </w:rPr>
              <w:t>12</w:t>
            </w:r>
            <w:r>
              <w:rPr>
                <w:rFonts w:hint="eastAsia" w:ascii="仿宋_GB2312" w:hAnsi="仿宋_GB2312" w:eastAsia="仿宋_GB2312" w:cs="仿宋_GB2312"/>
                <w:color w:val="000000"/>
                <w:sz w:val="24"/>
              </w:rPr>
              <w:t>月，全区共争取到位上级专项资金</w:t>
            </w:r>
            <w:r>
              <w:rPr>
                <w:rFonts w:ascii="仿宋_GB2312" w:hAnsi="仿宋_GB2312" w:eastAsia="仿宋_GB2312" w:cs="仿宋_GB2312"/>
                <w:color w:val="000000"/>
                <w:sz w:val="24"/>
              </w:rPr>
              <w:t>40100</w:t>
            </w:r>
            <w:r>
              <w:rPr>
                <w:rFonts w:hint="eastAsia" w:ascii="仿宋_GB2312" w:hAnsi="仿宋_GB2312" w:eastAsia="仿宋_GB2312" w:cs="仿宋_GB2312"/>
                <w:color w:val="000000"/>
                <w:sz w:val="24"/>
              </w:rPr>
              <w:t>万元，同比增长</w:t>
            </w:r>
            <w:r>
              <w:rPr>
                <w:rFonts w:ascii="仿宋_GB2312" w:hAnsi="仿宋_GB2312" w:eastAsia="仿宋_GB2312" w:cs="仿宋_GB2312"/>
                <w:color w:val="000000"/>
                <w:sz w:val="24"/>
              </w:rPr>
              <w:t>47%</w:t>
            </w:r>
            <w:r>
              <w:rPr>
                <w:rFonts w:hint="eastAsia" w:ascii="仿宋_GB2312" w:hAnsi="仿宋_GB2312" w:eastAsia="仿宋_GB2312" w:cs="仿宋_GB2312"/>
                <w:color w:val="000000"/>
                <w:sz w:val="24"/>
              </w:rPr>
              <w:t>，提前两个月完成争资争项任务。</w:t>
            </w:r>
          </w:p>
          <w:p>
            <w:pPr>
              <w:spacing w:line="640" w:lineRule="exact"/>
              <w:ind w:firstLine="482" w:firstLineChars="200"/>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三是企业扶持多举措、落到位</w:t>
            </w:r>
            <w:r>
              <w:rPr>
                <w:rFonts w:hint="eastAsia" w:ascii="仿宋_GB2312" w:hAnsi="仿宋_GB2312" w:eastAsia="仿宋_GB2312" w:cs="仿宋_GB2312"/>
                <w:color w:val="000000"/>
                <w:sz w:val="24"/>
              </w:rPr>
              <w:t>。为支持企业复工复产，整合资金</w:t>
            </w:r>
            <w:r>
              <w:rPr>
                <w:rFonts w:ascii="仿宋_GB2312" w:hAnsi="仿宋_GB2312" w:eastAsia="仿宋_GB2312" w:cs="仿宋_GB2312"/>
                <w:color w:val="000000"/>
                <w:sz w:val="24"/>
              </w:rPr>
              <w:t>16.4</w:t>
            </w:r>
            <w:r>
              <w:rPr>
                <w:rFonts w:hint="eastAsia" w:ascii="仿宋_GB2312" w:hAnsi="仿宋_GB2312" w:eastAsia="仿宋_GB2312" w:cs="仿宋_GB2312"/>
                <w:color w:val="000000"/>
                <w:sz w:val="24"/>
              </w:rPr>
              <w:t>亿元重点支持新金宝、恒大、哈工大等重点招商项目补贴。鼓励区内企业在资本市场发展，成功将国信</w:t>
            </w:r>
            <w:r>
              <w:rPr>
                <w:rFonts w:ascii="仿宋_GB2312" w:hAnsi="仿宋_GB2312" w:eastAsia="仿宋_GB2312" w:cs="仿宋_GB2312"/>
                <w:color w:val="000000"/>
                <w:sz w:val="24"/>
              </w:rPr>
              <w:t>6906</w:t>
            </w:r>
            <w:r>
              <w:rPr>
                <w:rFonts w:hint="eastAsia" w:ascii="仿宋_GB2312" w:hAnsi="仿宋_GB2312" w:eastAsia="仿宋_GB2312" w:cs="仿宋_GB2312"/>
                <w:color w:val="000000"/>
                <w:sz w:val="24"/>
              </w:rPr>
              <w:t>、中创空天、钟鼎热工等企业纳入省上市后备企业库，大力扶持钟鼎热工在湖南省股权交易所科技创新板进行挂牌。鼓励区内中小企业融资，降低融资成本，作为岳阳市融资担保公司和小微企业风险补偿基金出资人，</w:t>
            </w:r>
            <w:r>
              <w:rPr>
                <w:rFonts w:ascii="仿宋_GB2312" w:hAnsi="仿宋_GB2312" w:eastAsia="仿宋_GB2312" w:cs="仿宋_GB2312"/>
                <w:color w:val="000000"/>
                <w:sz w:val="24"/>
              </w:rPr>
              <w:t>2020</w:t>
            </w:r>
            <w:r>
              <w:rPr>
                <w:rFonts w:hint="eastAsia" w:ascii="仿宋_GB2312" w:hAnsi="仿宋_GB2312" w:eastAsia="仿宋_GB2312" w:cs="仿宋_GB2312"/>
                <w:color w:val="000000"/>
                <w:sz w:val="24"/>
              </w:rPr>
              <w:t>年为运想重工、盛亚体育等</w:t>
            </w:r>
            <w:r>
              <w:rPr>
                <w:rFonts w:ascii="仿宋_GB2312" w:hAnsi="仿宋_GB2312" w:eastAsia="仿宋_GB2312" w:cs="仿宋_GB2312"/>
                <w:color w:val="000000"/>
                <w:sz w:val="24"/>
              </w:rPr>
              <w:t>14</w:t>
            </w:r>
            <w:r>
              <w:rPr>
                <w:rFonts w:hint="eastAsia" w:ascii="仿宋_GB2312" w:hAnsi="仿宋_GB2312" w:eastAsia="仿宋_GB2312" w:cs="仿宋_GB2312"/>
                <w:color w:val="000000"/>
                <w:sz w:val="24"/>
              </w:rPr>
              <w:t>家企业提供了担保，担保贷款余额为</w:t>
            </w:r>
            <w:r>
              <w:rPr>
                <w:rFonts w:ascii="仿宋_GB2312" w:hAnsi="仿宋_GB2312" w:eastAsia="仿宋_GB2312" w:cs="仿宋_GB2312"/>
                <w:color w:val="000000"/>
                <w:sz w:val="24"/>
              </w:rPr>
              <w:t>9670</w:t>
            </w:r>
            <w:r>
              <w:rPr>
                <w:rFonts w:hint="eastAsia" w:ascii="仿宋_GB2312" w:hAnsi="仿宋_GB2312" w:eastAsia="仿宋_GB2312" w:cs="仿宋_GB2312"/>
                <w:color w:val="000000"/>
                <w:sz w:val="24"/>
              </w:rPr>
              <w:t>万元。将文畅纸业</w:t>
            </w:r>
            <w:r>
              <w:rPr>
                <w:rFonts w:ascii="仿宋_GB2312" w:hAnsi="仿宋_GB2312" w:eastAsia="仿宋_GB2312" w:cs="仿宋_GB2312"/>
                <w:color w:val="000000"/>
                <w:sz w:val="24"/>
              </w:rPr>
              <w:t>140</w:t>
            </w:r>
            <w:r>
              <w:rPr>
                <w:rFonts w:hint="eastAsia" w:ascii="仿宋_GB2312" w:hAnsi="仿宋_GB2312" w:eastAsia="仿宋_GB2312" w:cs="仿宋_GB2312"/>
                <w:color w:val="000000"/>
                <w:sz w:val="24"/>
              </w:rPr>
              <w:t>万、新永利</w:t>
            </w:r>
            <w:r>
              <w:rPr>
                <w:rFonts w:ascii="仿宋_GB2312" w:hAnsi="仿宋_GB2312" w:eastAsia="仿宋_GB2312" w:cs="仿宋_GB2312"/>
                <w:color w:val="000000"/>
                <w:sz w:val="24"/>
              </w:rPr>
              <w:t>250</w:t>
            </w:r>
            <w:r>
              <w:rPr>
                <w:rFonts w:hint="eastAsia" w:ascii="仿宋_GB2312" w:hAnsi="仿宋_GB2312" w:eastAsia="仿宋_GB2312" w:cs="仿宋_GB2312"/>
                <w:color w:val="000000"/>
                <w:sz w:val="24"/>
              </w:rPr>
              <w:t>万元、钟鼎热工</w:t>
            </w:r>
            <w:r>
              <w:rPr>
                <w:rFonts w:ascii="仿宋_GB2312" w:hAnsi="仿宋_GB2312" w:eastAsia="仿宋_GB2312" w:cs="仿宋_GB2312"/>
                <w:color w:val="000000"/>
                <w:sz w:val="24"/>
              </w:rPr>
              <w:t>300</w:t>
            </w:r>
            <w:r>
              <w:rPr>
                <w:rFonts w:hint="eastAsia" w:ascii="仿宋_GB2312" w:hAnsi="仿宋_GB2312" w:eastAsia="仿宋_GB2312" w:cs="仿宋_GB2312"/>
                <w:color w:val="000000"/>
                <w:sz w:val="24"/>
              </w:rPr>
              <w:t>万元贷款纳入了风险补偿基金。鼓励企业积极争取上级专项资金，全年完成</w:t>
            </w:r>
            <w:r>
              <w:rPr>
                <w:rFonts w:ascii="仿宋_GB2312" w:hAnsi="仿宋_GB2312" w:eastAsia="仿宋_GB2312" w:cs="仿宋_GB2312"/>
                <w:color w:val="000000"/>
                <w:sz w:val="24"/>
              </w:rPr>
              <w:t>19</w:t>
            </w:r>
            <w:r>
              <w:rPr>
                <w:rFonts w:hint="eastAsia" w:ascii="仿宋_GB2312" w:hAnsi="仿宋_GB2312" w:eastAsia="仿宋_GB2312" w:cs="仿宋_GB2312"/>
                <w:color w:val="000000"/>
                <w:sz w:val="24"/>
              </w:rPr>
              <w:t>批次共计</w:t>
            </w:r>
            <w:r>
              <w:rPr>
                <w:rFonts w:ascii="仿宋_GB2312" w:hAnsi="仿宋_GB2312" w:eastAsia="仿宋_GB2312" w:cs="仿宋_GB2312"/>
                <w:color w:val="000000"/>
                <w:sz w:val="24"/>
              </w:rPr>
              <w:t>89</w:t>
            </w:r>
            <w:r>
              <w:rPr>
                <w:rFonts w:hint="eastAsia" w:ascii="仿宋_GB2312" w:hAnsi="仿宋_GB2312" w:eastAsia="仿宋_GB2312" w:cs="仿宋_GB2312"/>
                <w:color w:val="000000"/>
                <w:sz w:val="24"/>
              </w:rPr>
              <w:t>家企业专项资金申报审核，申报金额</w:t>
            </w:r>
            <w:r>
              <w:rPr>
                <w:rFonts w:ascii="仿宋_GB2312" w:hAnsi="仿宋_GB2312" w:eastAsia="仿宋_GB2312" w:cs="仿宋_GB2312"/>
                <w:color w:val="000000"/>
                <w:sz w:val="24"/>
              </w:rPr>
              <w:t>3.45</w:t>
            </w:r>
            <w:r>
              <w:rPr>
                <w:rFonts w:hint="eastAsia" w:ascii="仿宋_GB2312" w:hAnsi="仿宋_GB2312" w:eastAsia="仿宋_GB2312" w:cs="仿宋_GB2312"/>
                <w:color w:val="000000"/>
                <w:sz w:val="24"/>
              </w:rPr>
              <w:t>亿元，共下达上级专项资金</w:t>
            </w:r>
            <w:r>
              <w:rPr>
                <w:rFonts w:ascii="仿宋_GB2312" w:hAnsi="仿宋_GB2312" w:eastAsia="仿宋_GB2312" w:cs="仿宋_GB2312"/>
                <w:color w:val="000000"/>
                <w:sz w:val="24"/>
              </w:rPr>
              <w:t>4322</w:t>
            </w:r>
            <w:r>
              <w:rPr>
                <w:rFonts w:hint="eastAsia" w:ascii="仿宋_GB2312" w:hAnsi="仿宋_GB2312" w:eastAsia="仿宋_GB2312" w:cs="仿宋_GB2312"/>
                <w:color w:val="000000"/>
                <w:sz w:val="24"/>
              </w:rPr>
              <w:t>万元。加快兑现</w:t>
            </w:r>
            <w:r>
              <w:rPr>
                <w:rFonts w:ascii="仿宋_GB2312" w:hAnsi="仿宋_GB2312" w:eastAsia="仿宋_GB2312" w:cs="仿宋_GB2312"/>
                <w:color w:val="000000"/>
                <w:sz w:val="24"/>
              </w:rPr>
              <w:t>2019</w:t>
            </w:r>
            <w:r>
              <w:rPr>
                <w:rFonts w:hint="eastAsia" w:ascii="仿宋_GB2312" w:hAnsi="仿宋_GB2312" w:eastAsia="仿宋_GB2312" w:cs="仿宋_GB2312"/>
                <w:color w:val="000000"/>
                <w:sz w:val="24"/>
              </w:rPr>
              <w:t>年下半年“一区一港四口岸”奖补资金，拟确定</w:t>
            </w:r>
            <w:r>
              <w:rPr>
                <w:rFonts w:ascii="仿宋_GB2312" w:hAnsi="仿宋_GB2312" w:eastAsia="仿宋_GB2312" w:cs="仿宋_GB2312"/>
                <w:color w:val="000000"/>
                <w:sz w:val="24"/>
              </w:rPr>
              <w:t>2019</w:t>
            </w:r>
            <w:r>
              <w:rPr>
                <w:rFonts w:hint="eastAsia" w:ascii="仿宋_GB2312" w:hAnsi="仿宋_GB2312" w:eastAsia="仿宋_GB2312" w:cs="仿宋_GB2312"/>
                <w:color w:val="000000"/>
                <w:sz w:val="24"/>
              </w:rPr>
              <w:t>年下半年奖励企业</w:t>
            </w:r>
            <w:r>
              <w:rPr>
                <w:rFonts w:ascii="仿宋_GB2312" w:hAnsi="仿宋_GB2312" w:eastAsia="仿宋_GB2312" w:cs="仿宋_GB2312"/>
                <w:color w:val="000000"/>
                <w:sz w:val="24"/>
              </w:rPr>
              <w:t>96</w:t>
            </w:r>
            <w:r>
              <w:rPr>
                <w:rFonts w:hint="eastAsia" w:ascii="仿宋_GB2312" w:hAnsi="仿宋_GB2312" w:eastAsia="仿宋_GB2312" w:cs="仿宋_GB2312"/>
                <w:color w:val="000000"/>
                <w:sz w:val="24"/>
              </w:rPr>
              <w:t>家，奖励金额共计</w:t>
            </w:r>
            <w:r>
              <w:rPr>
                <w:rFonts w:ascii="仿宋_GB2312" w:hAnsi="仿宋_GB2312" w:eastAsia="仿宋_GB2312" w:cs="仿宋_GB2312"/>
                <w:color w:val="000000"/>
                <w:sz w:val="24"/>
              </w:rPr>
              <w:t>5325.579</w:t>
            </w:r>
            <w:r>
              <w:rPr>
                <w:rFonts w:hint="eastAsia" w:ascii="仿宋_GB2312" w:hAnsi="仿宋_GB2312" w:eastAsia="仿宋_GB2312" w:cs="仿宋_GB2312"/>
                <w:color w:val="000000"/>
                <w:sz w:val="24"/>
              </w:rPr>
              <w:t>万元。全面盘底重大招商项目补贴兑付情况，多次现场核查</w:t>
            </w:r>
            <w:r>
              <w:rPr>
                <w:rFonts w:ascii="仿宋_GB2312" w:hAnsi="仿宋_GB2312" w:eastAsia="仿宋_GB2312" w:cs="仿宋_GB2312"/>
                <w:color w:val="000000"/>
                <w:sz w:val="24"/>
              </w:rPr>
              <w:t>CCTC</w:t>
            </w:r>
            <w:r>
              <w:rPr>
                <w:rFonts w:hint="eastAsia" w:ascii="仿宋_GB2312" w:hAnsi="仿宋_GB2312" w:eastAsia="仿宋_GB2312" w:cs="仿宋_GB2312"/>
                <w:color w:val="000000"/>
                <w:sz w:val="24"/>
              </w:rPr>
              <w:t>保税大厦和华琨装备制造园实际入驻情况，形成补贴报告报管委会审核通过，其中华琨置业项目的补贴已经落地。</w:t>
            </w:r>
          </w:p>
          <w:p>
            <w:pPr>
              <w:spacing w:line="640" w:lineRule="exact"/>
              <w:ind w:firstLine="482" w:firstLineChars="200"/>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四</w:t>
            </w:r>
            <w:r>
              <w:rPr>
                <w:rFonts w:hint="eastAsia" w:ascii="仿宋_GB2312" w:hAnsi="仿宋_GB2312" w:eastAsia="仿宋_GB2312" w:cs="仿宋_GB2312"/>
                <w:b/>
                <w:bCs/>
                <w:color w:val="000000"/>
                <w:sz w:val="24"/>
              </w:rPr>
              <w:t>是严格投资财评“守好门”。</w:t>
            </w:r>
            <w:r>
              <w:rPr>
                <w:rFonts w:hint="eastAsia" w:ascii="仿宋_GB2312" w:hAnsi="仿宋_GB2312" w:eastAsia="仿宋_GB2312" w:cs="仿宋_GB2312"/>
                <w:color w:val="000000"/>
                <w:sz w:val="24"/>
              </w:rPr>
              <w:t>今年我部加强对造价咨询中介机构的考核，出台评审中介服务机构考核管理办法，按季度对评审中介服务机构进行考评，通报表扬考核前三名约谈最后三名，并对结算审减率超过5%的造价咨询机构予以同等项目的奖励，通过奖优罚劣，评审质量进一步提高。截止至2020年12月1日，累计接收评审项目517个（其中预算384个、结算118个、概算13个、资产评估2个）。概预算共计送审金额（已出具报告）25.13亿元，审减金额1.79亿元，综合审减率7.1%；结算共计送审金额（已出具报告）1.95亿元，审减金额922.7万元，综合审减率4.7%。</w:t>
            </w:r>
          </w:p>
          <w:p>
            <w:pPr>
              <w:spacing w:line="640" w:lineRule="exact"/>
              <w:ind w:firstLine="482" w:firstLineChars="200"/>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五</w:t>
            </w:r>
            <w:r>
              <w:rPr>
                <w:rFonts w:hint="eastAsia" w:ascii="仿宋_GB2312" w:hAnsi="仿宋_GB2312" w:eastAsia="仿宋_GB2312" w:cs="仿宋_GB2312"/>
                <w:b/>
                <w:bCs/>
                <w:color w:val="000000"/>
                <w:sz w:val="24"/>
              </w:rPr>
              <w:t>是严防债务风险“算好账”。</w:t>
            </w:r>
            <w:r>
              <w:rPr>
                <w:rFonts w:hint="eastAsia" w:ascii="仿宋_GB2312" w:hAnsi="仿宋_GB2312" w:eastAsia="仿宋_GB2312" w:cs="仿宋_GB2312"/>
                <w:color w:val="000000"/>
                <w:sz w:val="24"/>
              </w:rPr>
              <w:t>出台《新港区政府性债务管理2020年工作要点》，将本年债务任务予以明确。2020年我区化债目标为2.12亿元，其中财政安排资金2亿元。今年1月已安排资金2亿元拨付至我区平台公司，提前完成了财政的化债任务。对《城陵矶新港区政府性隐性债务化解方案》分年化解计划进行了调整，并就二期企业债券、城陵矶片区一体化（一期）、水系综合整治二期等项目通过一事一报告形式进行了“六个一批”风险缓释，有效缓解了平台公司的资金压力。积极开展经营性债务甄别，协调争取将岳阳城陵矶松阳湖铁路专用线项目和临港高新产业园共计11.17亿关注类债务甄别为经营性债务，有效降低我区的三类债务率。</w:t>
            </w:r>
          </w:p>
          <w:p>
            <w:pPr>
              <w:spacing w:line="640" w:lineRule="exact"/>
              <w:ind w:firstLine="482" w:firstLineChars="20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六</w:t>
            </w:r>
            <w:r>
              <w:rPr>
                <w:rFonts w:hint="eastAsia" w:ascii="仿宋_GB2312" w:hAnsi="仿宋_GB2312" w:eastAsia="仿宋_GB2312" w:cs="仿宋_GB2312"/>
                <w:b/>
                <w:bCs/>
                <w:color w:val="000000"/>
                <w:sz w:val="24"/>
              </w:rPr>
              <w:t>是严控各项支出“管好家”。</w:t>
            </w:r>
            <w:r>
              <w:rPr>
                <w:rFonts w:hint="eastAsia" w:ascii="仿宋_GB2312" w:hAnsi="仿宋_GB2312" w:eastAsia="仿宋_GB2312" w:cs="仿宋_GB2312"/>
                <w:color w:val="000000"/>
                <w:sz w:val="24"/>
              </w:rPr>
              <w:t>2020年财政总支出将达到47亿元，为提高资金使用效率，我部严控除刚性和重点项目支出外的一般性支出增加。全面推进“预算与绩效管理一体化”管理机制，构建全过程预算绩效管理，组织港区各单位进行2020年预算目标申报，涉及预算单位18家，重点项目40个，项目资金7.2亿元。积极开展重点项目绩效评价，对辖区企业使用华为云服务的效果进行绩效评价，为2021年该项购买服务的资金安排及华云云服务的套餐设计提供指导。今年6月开始推行《湖南城陵矶新港区2020-2021年政府集中采购目录及政府采购限额标准》，建立湖南城陵矶新港区电子卖场推广群，并督促部门单位及时使用电子卖场采购货物等，逐步将财政采购行为全部纳入监管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251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51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12</w:t>
            </w:r>
            <w:r>
              <w:rPr>
                <w:rFonts w:hint="eastAsia" w:ascii="仿宋_GB2312" w:hAnsi="仿宋_GB2312" w:eastAsia="仿宋_GB2312" w:cs="仿宋_GB2312"/>
                <w:color w:val="000000"/>
                <w:sz w:val="24"/>
                <w:lang w:val="en-US" w:eastAsia="zh-CN"/>
              </w:rPr>
              <w:t>14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72"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12</w:t>
            </w:r>
            <w:r>
              <w:rPr>
                <w:rFonts w:hint="eastAsia" w:ascii="仿宋_GB2312" w:hAnsi="仿宋_GB2312" w:eastAsia="仿宋_GB2312" w:cs="仿宋_GB2312"/>
                <w:color w:val="000000"/>
                <w:sz w:val="24"/>
                <w:lang w:val="en-US" w:eastAsia="zh-CN"/>
              </w:rPr>
              <w:t>14</w:t>
            </w:r>
          </w:p>
        </w:tc>
        <w:tc>
          <w:tcPr>
            <w:tcW w:w="251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51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51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22"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98"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7"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73"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27"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3"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3"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1177.52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276.06</w:t>
            </w:r>
          </w:p>
        </w:tc>
        <w:tc>
          <w:tcPr>
            <w:tcW w:w="272"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249.8</w:t>
            </w:r>
          </w:p>
        </w:tc>
        <w:tc>
          <w:tcPr>
            <w:tcW w:w="2968"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26.26</w:t>
            </w:r>
          </w:p>
        </w:tc>
        <w:tc>
          <w:tcPr>
            <w:tcW w:w="1027"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901.46</w:t>
            </w:r>
          </w:p>
        </w:tc>
        <w:tc>
          <w:tcPr>
            <w:tcW w:w="773"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36.48</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3"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3"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0.74</w:t>
            </w: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7"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4452"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FF0000"/>
                <w:sz w:val="24"/>
                <w:highlight w:val="yellow"/>
              </w:rPr>
            </w:pPr>
          </w:p>
        </w:tc>
        <w:tc>
          <w:tcPr>
            <w:tcW w:w="1627"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FF0000"/>
                <w:sz w:val="24"/>
                <w:highlight w:val="yellow"/>
              </w:rPr>
            </w:pPr>
          </w:p>
        </w:tc>
        <w:tc>
          <w:tcPr>
            <w:tcW w:w="4452" w:type="dxa"/>
            <w:gridSpan w:val="7"/>
            <w:vAlign w:val="center"/>
          </w:tcPr>
          <w:p>
            <w:pPr>
              <w:autoSpaceDN w:val="0"/>
              <w:spacing w:line="320" w:lineRule="exact"/>
              <w:jc w:val="center"/>
              <w:textAlignment w:val="center"/>
              <w:rPr>
                <w:rFonts w:ascii="仿宋_GB2312" w:hAnsi="仿宋_GB2312" w:eastAsia="仿宋_GB2312" w:cs="仿宋_GB2312"/>
                <w:color w:val="FF0000"/>
                <w:sz w:val="24"/>
                <w:highlight w:val="yellow"/>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FF0000"/>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627"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4452"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7"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45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27"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45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39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2966"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目标1</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深化预算管理、预决算公开、债务管理改革，积极防范和化解政府债务；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目标2</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按期完成财政评审；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目标3</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有效强化金融风险管控，金融生态环境持续优化；</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rPr>
              <w:t>目标4</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加强内部管理，确保干部、资金“两个安全”</w:t>
            </w:r>
            <w:r>
              <w:rPr>
                <w:rFonts w:hint="eastAsia" w:ascii="仿宋_GB2312" w:hAnsi="仿宋_GB2312" w:eastAsia="仿宋_GB2312" w:cs="仿宋_GB2312"/>
                <w:color w:val="000000"/>
                <w:sz w:val="24"/>
                <w:lang w:eastAsia="zh-CN"/>
              </w:rPr>
              <w:t>。</w:t>
            </w:r>
          </w:p>
        </w:tc>
        <w:tc>
          <w:tcPr>
            <w:tcW w:w="5393"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完成一般公共预算收入11.6亿元，实现增长15%，超人大预算目标任务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争取到位抗议特别国债资金5亿元，发行到位政府专项债券资金22亿元，为历年之最</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加快兑现2019年下半年“一区一港四口岸”奖补资金，拟确定2019年下半年奖励企业96家，奖励金额共计5325.579万元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累计接收评审项目517个。概预算共计送审金额25.13亿元，审减金额1.79亿元，综合审减率7.1%；结算共计送审金额1.95亿元，审减金额922.7万元，综合审减率4.7%</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积极开展经营性债务甄别，协调争取将岳阳城陵矶松阳湖铁路专用线项目和临港高新产业园共计11.17亿关注类债务甄别为经营性债务，有效降低我区的三类债务率。</w:t>
            </w:r>
          </w:p>
          <w:p>
            <w:pPr>
              <w:autoSpaceDN w:val="0"/>
              <w:spacing w:line="320" w:lineRule="exact"/>
              <w:jc w:val="center"/>
              <w:textAlignment w:val="center"/>
              <w:rPr>
                <w:rFonts w:hint="eastAsia" w:ascii="仿宋_GB2312" w:hAnsi="仿宋_GB2312" w:eastAsia="仿宋_GB2312" w:cs="仿宋_GB2312"/>
                <w:color w:val="000000"/>
                <w:sz w:val="24"/>
                <w:lang w:eastAsia="zh-CN"/>
              </w:rPr>
            </w:pPr>
          </w:p>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指标1：不断提高评审工作质量，检查误差率在3%内；。</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指标2：地方财税收入增幅达到15%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实现公共财政预算收入12亿元；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指标2：出台公布《债务工作简报》4次；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争取省财政厅1亿元引导资金，8亿元新增债券资金；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指标1：项目及各部门资金拨付及时率100%</w:t>
            </w:r>
            <w:r>
              <w:rPr>
                <w:rFonts w:hint="eastAsia" w:ascii="仿宋_GB2312" w:hAnsi="仿宋_GB2312" w:eastAsia="仿宋_GB2312" w:cs="仿宋_GB2312"/>
                <w:color w:val="000000"/>
                <w:sz w:val="24"/>
                <w:lang w:val="en-US" w:eastAsia="zh-CN"/>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指标2：按时完成“一区一港四口岸”资料及资金复审工作</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及时拨付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指标1：严格按财政预算实施</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指标2：严格遵守政府采购程序</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坚持新增财力向民生和重点项目建设倾斜，优先保障民生和重点项目建设，确保民生和重点项目建设支出及时足额落实到位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提高非税收入占地方财政收入的比重。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支持生态保护。</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指标1：被服务对象满意率高于95%；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指标2：群众满意率高于95%。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75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吴建林</w:t>
            </w:r>
          </w:p>
        </w:tc>
        <w:tc>
          <w:tcPr>
            <w:tcW w:w="275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部长</w:t>
            </w: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财政金融部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肖亮</w:t>
            </w:r>
          </w:p>
        </w:tc>
        <w:tc>
          <w:tcPr>
            <w:tcW w:w="275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副部长</w:t>
            </w: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财政金融部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5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5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30"/>
                <w:szCs w:val="30"/>
              </w:rPr>
            </w:pPr>
            <w:r>
              <w:rPr>
                <w:rFonts w:hint="eastAsia" w:ascii="黑体" w:hAnsi="黑体" w:eastAsia="黑体" w:cs="黑体"/>
                <w:bCs/>
                <w:sz w:val="30"/>
                <w:szCs w:val="30"/>
              </w:rPr>
              <w:t>五、评价报告综述（文字部分）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根据《岳阳市财政局关于落实</w:t>
            </w:r>
            <w:r>
              <w:rPr>
                <w:rFonts w:ascii="仿宋_GB2312" w:eastAsia="仿宋_GB2312"/>
                <w:bCs/>
                <w:sz w:val="28"/>
                <w:szCs w:val="28"/>
              </w:rPr>
              <w:t>2020</w:t>
            </w:r>
            <w:r>
              <w:rPr>
                <w:rFonts w:hint="eastAsia" w:ascii="仿宋_GB2312" w:eastAsia="仿宋_GB2312"/>
                <w:bCs/>
                <w:sz w:val="28"/>
                <w:szCs w:val="28"/>
              </w:rPr>
              <w:t>年财政支出绩效自评及绩效监控工作的通知》（岳财预</w:t>
            </w:r>
            <w:r>
              <w:rPr>
                <w:rFonts w:ascii="仿宋_GB2312" w:eastAsia="仿宋_GB2312"/>
                <w:bCs/>
                <w:sz w:val="28"/>
                <w:szCs w:val="28"/>
              </w:rPr>
              <w:t>[2020]86</w:t>
            </w:r>
            <w:r>
              <w:rPr>
                <w:rFonts w:hint="eastAsia" w:ascii="仿宋_GB2312" w:eastAsia="仿宋_GB2312"/>
                <w:bCs/>
                <w:sz w:val="28"/>
                <w:szCs w:val="28"/>
              </w:rPr>
              <w:t>号）要求，现对湖南城陵矶新港区财政金融部</w:t>
            </w:r>
            <w:r>
              <w:rPr>
                <w:rFonts w:ascii="仿宋_GB2312" w:eastAsia="仿宋_GB2312"/>
                <w:bCs/>
                <w:sz w:val="28"/>
                <w:szCs w:val="28"/>
              </w:rPr>
              <w:t>2019</w:t>
            </w:r>
            <w:r>
              <w:rPr>
                <w:rFonts w:hint="eastAsia" w:ascii="仿宋_GB2312" w:eastAsia="仿宋_GB2312"/>
                <w:bCs/>
                <w:sz w:val="28"/>
                <w:szCs w:val="28"/>
              </w:rPr>
              <w:t>年度部门整体支出开展绩效自评，现将情况汇报如下：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新港区财政金融部为全额拨款事业单位，财政金融部现有人数1</w:t>
            </w:r>
            <w:r>
              <w:rPr>
                <w:rFonts w:hint="eastAsia" w:ascii="仿宋_GB2312" w:eastAsia="仿宋_GB2312"/>
                <w:bCs/>
                <w:sz w:val="28"/>
                <w:szCs w:val="28"/>
                <w:lang w:val="en-US" w:eastAsia="zh-CN"/>
              </w:rPr>
              <w:t>3</w:t>
            </w:r>
            <w:r>
              <w:rPr>
                <w:rFonts w:hint="eastAsia" w:ascii="仿宋_GB2312" w:eastAsia="仿宋_GB2312"/>
                <w:bCs/>
                <w:sz w:val="28"/>
                <w:szCs w:val="28"/>
              </w:rPr>
              <w:t>人，其中在岗人员1</w:t>
            </w:r>
            <w:r>
              <w:rPr>
                <w:rFonts w:hint="eastAsia" w:ascii="仿宋_GB2312" w:eastAsia="仿宋_GB2312"/>
                <w:bCs/>
                <w:sz w:val="28"/>
                <w:szCs w:val="28"/>
                <w:lang w:val="en-US" w:eastAsia="zh-CN"/>
              </w:rPr>
              <w:t>3</w:t>
            </w:r>
            <w:r>
              <w:rPr>
                <w:rFonts w:hint="eastAsia" w:ascii="仿宋_GB2312" w:eastAsia="仿宋_GB2312"/>
                <w:bCs/>
                <w:sz w:val="28"/>
                <w:szCs w:val="28"/>
              </w:rPr>
              <w:t>人，内设预算国库科、经济建设科、审计监督科、综合科、国库集中支付中心，主要职能是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根据《会计法》、《预算法》、《行政单位财务规则》等法律和财政部、省财政厅及市财政局有关财务规章的规定，先后制订了《关于进一步规范财务支出、加强财务管理的通知》、《湖南城陵矶新港区银行结算账户管理暂行办法》等，明确了经费审批权限及程序，经费预算管理、财务经费管理、资产购置与处置、财务监督等。上述制度规定执行到位。</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lang w:val="en-US" w:eastAsia="zh-CN"/>
              </w:rPr>
              <w:t>2020</w:t>
            </w:r>
            <w:r>
              <w:rPr>
                <w:rFonts w:hint="eastAsia" w:ascii="仿宋_GB2312" w:eastAsia="仿宋_GB2312"/>
                <w:bCs/>
                <w:sz w:val="28"/>
                <w:szCs w:val="28"/>
              </w:rPr>
              <w:t>年财政金融部整体支出</w:t>
            </w:r>
            <w:r>
              <w:rPr>
                <w:rFonts w:hint="eastAsia" w:ascii="仿宋_GB2312" w:eastAsia="仿宋_GB2312"/>
                <w:bCs/>
                <w:sz w:val="28"/>
                <w:szCs w:val="28"/>
                <w:lang w:val="en-US" w:eastAsia="zh-CN"/>
              </w:rPr>
              <w:t>1177.52</w:t>
            </w:r>
            <w:r>
              <w:rPr>
                <w:rFonts w:hint="eastAsia" w:ascii="仿宋_GB2312" w:eastAsia="仿宋_GB2312"/>
                <w:bCs/>
                <w:sz w:val="28"/>
                <w:szCs w:val="28"/>
              </w:rPr>
              <w:t>万元，其中基本支出</w:t>
            </w:r>
            <w:r>
              <w:rPr>
                <w:rFonts w:hint="eastAsia" w:ascii="仿宋_GB2312" w:eastAsia="仿宋_GB2312"/>
                <w:bCs/>
                <w:sz w:val="28"/>
                <w:szCs w:val="28"/>
                <w:lang w:val="en-US" w:eastAsia="zh-CN"/>
              </w:rPr>
              <w:t>276.06</w:t>
            </w:r>
            <w:r>
              <w:rPr>
                <w:rFonts w:hint="eastAsia" w:ascii="仿宋_GB2312" w:eastAsia="仿宋_GB2312"/>
                <w:bCs/>
                <w:sz w:val="28"/>
                <w:szCs w:val="28"/>
              </w:rPr>
              <w:t>万元，占总支出</w:t>
            </w:r>
            <w:r>
              <w:rPr>
                <w:rFonts w:hint="eastAsia" w:ascii="仿宋_GB2312" w:eastAsia="仿宋_GB2312"/>
                <w:bCs/>
                <w:sz w:val="28"/>
                <w:szCs w:val="28"/>
                <w:lang w:val="en-US" w:eastAsia="zh-CN"/>
              </w:rPr>
              <w:t xml:space="preserve"> 23.44%</w:t>
            </w:r>
            <w:r>
              <w:rPr>
                <w:rFonts w:hint="eastAsia" w:ascii="仿宋_GB2312" w:eastAsia="仿宋_GB2312"/>
                <w:bCs/>
                <w:sz w:val="28"/>
                <w:szCs w:val="28"/>
              </w:rPr>
              <w:t>；项目支出</w:t>
            </w:r>
            <w:r>
              <w:rPr>
                <w:rFonts w:hint="eastAsia" w:ascii="仿宋_GB2312" w:eastAsia="仿宋_GB2312"/>
                <w:bCs/>
                <w:sz w:val="28"/>
                <w:szCs w:val="28"/>
                <w:lang w:val="en-US" w:eastAsia="zh-CN"/>
              </w:rPr>
              <w:t xml:space="preserve">901.46 </w:t>
            </w:r>
            <w:r>
              <w:rPr>
                <w:rFonts w:hint="eastAsia" w:ascii="仿宋_GB2312" w:eastAsia="仿宋_GB2312"/>
                <w:bCs/>
                <w:sz w:val="28"/>
                <w:szCs w:val="28"/>
              </w:rPr>
              <w:t>万元，占总支出</w:t>
            </w:r>
            <w:r>
              <w:rPr>
                <w:rFonts w:hint="eastAsia" w:ascii="仿宋_GB2312" w:eastAsia="仿宋_GB2312"/>
                <w:bCs/>
                <w:sz w:val="28"/>
                <w:szCs w:val="28"/>
                <w:lang w:val="en-US" w:eastAsia="zh-CN"/>
              </w:rPr>
              <w:t>76.56</w:t>
            </w:r>
            <w:r>
              <w:rPr>
                <w:rFonts w:hint="eastAsia" w:ascii="仿宋_GB2312" w:eastAsia="仿宋_GB2312"/>
                <w:bCs/>
                <w:sz w:val="28"/>
                <w:szCs w:val="28"/>
              </w:rPr>
              <w:t>%，具体明细情况如下：</w:t>
            </w:r>
          </w:p>
          <w:p>
            <w:pPr>
              <w:spacing w:line="560" w:lineRule="exact"/>
              <w:ind w:firstLine="560" w:firstLineChars="200"/>
              <w:rPr>
                <w:rFonts w:hint="eastAsia" w:ascii="仿宋_GB2312" w:eastAsia="仿宋_GB2312"/>
                <w:bCs/>
                <w:sz w:val="28"/>
                <w:szCs w:val="28"/>
              </w:rPr>
            </w:pP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年年初部门预算批复的基本支出为</w:t>
            </w:r>
            <w:r>
              <w:rPr>
                <w:rFonts w:hint="eastAsia" w:ascii="仿宋_GB2312" w:hAnsi="仿宋_GB2312" w:eastAsia="仿宋_GB2312" w:cs="仿宋_GB2312"/>
                <w:color w:val="000000"/>
                <w:sz w:val="24"/>
                <w:lang w:val="en-US" w:eastAsia="zh-CN"/>
              </w:rPr>
              <w:t>280</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 xml:space="preserve">年决算基本支出  </w:t>
            </w:r>
            <w:r>
              <w:rPr>
                <w:rFonts w:hint="eastAsia" w:ascii="仿宋_GB2312" w:hAnsi="仿宋_GB2312" w:eastAsia="仿宋_GB2312" w:cs="仿宋_GB2312"/>
                <w:bCs/>
                <w:sz w:val="28"/>
                <w:szCs w:val="28"/>
                <w:lang w:val="en-US" w:eastAsia="zh-CN"/>
              </w:rPr>
              <w:t>276.06</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二</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项目支出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年年初预算批复的项目支出为</w:t>
            </w:r>
            <w:r>
              <w:rPr>
                <w:rFonts w:hint="eastAsia" w:ascii="仿宋_GB2312" w:hAnsi="仿宋_GB2312" w:eastAsia="仿宋_GB2312" w:cs="仿宋_GB2312"/>
                <w:bCs/>
                <w:sz w:val="28"/>
                <w:szCs w:val="28"/>
                <w:lang w:val="en-US" w:eastAsia="zh-CN"/>
              </w:rPr>
              <w:t>934.3</w:t>
            </w:r>
            <w:r>
              <w:rPr>
                <w:rFonts w:hint="eastAsia" w:ascii="仿宋_GB2312" w:hAnsi="仿宋_GB2312" w:eastAsia="仿宋_GB2312" w:cs="仿宋_GB2312"/>
                <w:bCs/>
                <w:sz w:val="28"/>
                <w:szCs w:val="28"/>
              </w:rPr>
              <w:t>万元，实际决算支出</w:t>
            </w:r>
            <w:r>
              <w:rPr>
                <w:rFonts w:hint="eastAsia" w:ascii="仿宋_GB2312" w:hAnsi="仿宋_GB2312" w:eastAsia="仿宋_GB2312" w:cs="仿宋_GB2312"/>
                <w:bCs/>
                <w:sz w:val="28"/>
                <w:szCs w:val="28"/>
                <w:lang w:val="en-US" w:eastAsia="zh-CN"/>
              </w:rPr>
              <w:t>901.46</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lang w:eastAsia="zh-CN"/>
              </w:rPr>
            </w:pPr>
            <w:r>
              <w:rPr>
                <w:rFonts w:ascii="仿宋_GB2312" w:hAnsi="仿宋_GB2312" w:eastAsia="仿宋_GB2312" w:cs="仿宋_GB2312"/>
                <w:bCs/>
                <w:sz w:val="28"/>
                <w:szCs w:val="28"/>
              </w:rPr>
              <w:t>2019</w:t>
            </w:r>
            <w:r>
              <w:rPr>
                <w:rFonts w:hint="eastAsia" w:ascii="仿宋_GB2312" w:hAnsi="仿宋_GB2312" w:eastAsia="仿宋_GB2312" w:cs="仿宋_GB2312"/>
                <w:bCs/>
                <w:sz w:val="28"/>
                <w:szCs w:val="28"/>
              </w:rPr>
              <w:t>年决算的项目支出为</w:t>
            </w:r>
            <w:r>
              <w:rPr>
                <w:rFonts w:hint="eastAsia" w:ascii="仿宋_GB2312" w:hAnsi="仿宋_GB2312" w:eastAsia="仿宋_GB2312" w:cs="仿宋_GB2312"/>
                <w:bCs/>
                <w:sz w:val="28"/>
                <w:szCs w:val="28"/>
                <w:lang w:val="en-US" w:eastAsia="zh-CN"/>
              </w:rPr>
              <w:t>901.46</w:t>
            </w:r>
            <w:r>
              <w:rPr>
                <w:rFonts w:hint="eastAsia" w:ascii="仿宋_GB2312" w:hAnsi="仿宋_GB2312" w:eastAsia="仿宋_GB2312" w:cs="仿宋_GB2312"/>
                <w:bCs/>
                <w:sz w:val="28"/>
                <w:szCs w:val="28"/>
              </w:rPr>
              <w:t>万元，其中</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、财政评审、财务审计、绩效评价等中介服务</w:t>
            </w:r>
            <w:r>
              <w:rPr>
                <w:rFonts w:hint="eastAsia" w:ascii="仿宋_GB2312" w:hAnsi="仿宋_GB2312" w:eastAsia="仿宋_GB2312" w:cs="仿宋_GB2312"/>
                <w:bCs/>
                <w:sz w:val="28"/>
                <w:szCs w:val="28"/>
                <w:lang w:val="en-US" w:eastAsia="zh-CN"/>
              </w:rPr>
              <w:t>851.49</w:t>
            </w:r>
            <w:r>
              <w:rPr>
                <w:rFonts w:hint="eastAsia" w:ascii="仿宋_GB2312" w:hAnsi="仿宋_GB2312" w:eastAsia="仿宋_GB2312" w:cs="仿宋_GB2312"/>
                <w:bCs/>
                <w:sz w:val="28"/>
                <w:szCs w:val="28"/>
              </w:rPr>
              <w:t>万元，主要用于财政委托业务等支出；</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、财政综合管理经费支出</w:t>
            </w:r>
            <w:r>
              <w:rPr>
                <w:rFonts w:hint="eastAsia" w:ascii="仿宋_GB2312" w:hAnsi="仿宋_GB2312" w:eastAsia="仿宋_GB2312" w:cs="仿宋_GB2312"/>
                <w:bCs/>
                <w:sz w:val="28"/>
                <w:szCs w:val="28"/>
                <w:lang w:val="en-US" w:eastAsia="zh-CN"/>
              </w:rPr>
              <w:t>28.23</w:t>
            </w:r>
            <w:r>
              <w:rPr>
                <w:rFonts w:hint="eastAsia" w:ascii="仿宋_GB2312" w:hAnsi="仿宋_GB2312" w:eastAsia="仿宋_GB2312" w:cs="仿宋_GB2312"/>
                <w:bCs/>
                <w:sz w:val="28"/>
                <w:szCs w:val="28"/>
              </w:rPr>
              <w:t>万元，主要用于部门日常活动动支出；</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w:t>
            </w:r>
            <w:r>
              <w:rPr>
                <w:rFonts w:hint="eastAsia" w:ascii="仿宋_GB2312" w:hAnsi="宋体" w:eastAsia="仿宋_GB2312" w:cs="宋体"/>
                <w:color w:val="000000"/>
                <w:kern w:val="0"/>
                <w:sz w:val="28"/>
                <w:szCs w:val="28"/>
              </w:rPr>
              <w:t>财政信息化建设</w:t>
            </w:r>
            <w:r>
              <w:rPr>
                <w:rFonts w:hint="eastAsia" w:ascii="仿宋_GB2312" w:hAnsi="宋体" w:eastAsia="仿宋_GB2312" w:cs="宋体"/>
                <w:color w:val="000000"/>
                <w:kern w:val="0"/>
                <w:sz w:val="28"/>
                <w:szCs w:val="28"/>
                <w:lang w:val="en-US" w:eastAsia="zh-CN"/>
              </w:rPr>
              <w:t>21.75</w:t>
            </w:r>
            <w:r>
              <w:rPr>
                <w:rFonts w:hint="eastAsia" w:ascii="仿宋_GB2312" w:hAnsi="仿宋_GB2312" w:eastAsia="仿宋_GB2312" w:cs="仿宋_GB2312"/>
                <w:bCs/>
                <w:sz w:val="28"/>
                <w:szCs w:val="28"/>
              </w:rPr>
              <w:t>万元，主要用于新港区财政国库集中支付系统建设支出</w:t>
            </w:r>
            <w:r>
              <w:rPr>
                <w:rFonts w:hint="eastAsia" w:ascii="仿宋_GB2312" w:hAnsi="仿宋_GB2312" w:eastAsia="仿宋_GB2312" w:cs="仿宋_GB2312"/>
                <w:bCs/>
                <w:sz w:val="28"/>
                <w:szCs w:val="28"/>
                <w:lang w:eastAsia="zh-CN"/>
              </w:rPr>
              <w:t>。</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严格按照和执行资金使用管理的相关规定，对资金实行“专款专用”，严格风险防范，保障资金安全和高效运行。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hAnsi="仿宋_GB2312" w:eastAsia="仿宋_GB2312" w:cs="仿宋_GB2312"/>
                <w:bCs/>
                <w:sz w:val="28"/>
                <w:szCs w:val="28"/>
              </w:rPr>
              <w:t>96</w:t>
            </w:r>
            <w:r>
              <w:rPr>
                <w:rFonts w:hint="eastAsia" w:ascii="仿宋_GB2312" w:hAnsi="仿宋_GB2312" w:eastAsia="仿宋_GB2312" w:cs="仿宋_GB2312"/>
                <w:bCs/>
                <w:sz w:val="28"/>
                <w:szCs w:val="28"/>
              </w:rPr>
              <w:t>.8分</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详见附表3-</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，财政支出绩效为“优”，部门整体支出绩效情况如下</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一</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“三公”经费情况分析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年财政金融部“三公经费”开支</w:t>
            </w:r>
            <w:r>
              <w:rPr>
                <w:rFonts w:hint="eastAsia" w:ascii="仿宋_GB2312" w:hAnsi="仿宋_GB2312" w:eastAsia="仿宋_GB2312" w:cs="仿宋_GB2312"/>
                <w:bCs/>
                <w:sz w:val="28"/>
                <w:szCs w:val="28"/>
                <w:lang w:val="en-US" w:eastAsia="zh-CN"/>
              </w:rPr>
              <w:t>0.74</w:t>
            </w:r>
            <w:r>
              <w:rPr>
                <w:rFonts w:hint="eastAsia" w:ascii="仿宋_GB2312" w:hAnsi="仿宋_GB2312" w:eastAsia="仿宋_GB2312" w:cs="仿宋_GB2312"/>
                <w:bCs/>
                <w:sz w:val="28"/>
                <w:szCs w:val="28"/>
              </w:rPr>
              <w:t>万元，在预算内开支。其中</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公务接待费0.</w:t>
            </w:r>
            <w:r>
              <w:rPr>
                <w:rFonts w:hint="eastAsia" w:ascii="仿宋_GB2312" w:hAnsi="仿宋_GB2312" w:eastAsia="仿宋_GB2312" w:cs="仿宋_GB2312"/>
                <w:bCs/>
                <w:sz w:val="28"/>
                <w:szCs w:val="28"/>
                <w:lang w:val="en-US" w:eastAsia="zh-CN"/>
              </w:rPr>
              <w:t>74</w:t>
            </w:r>
            <w:r>
              <w:rPr>
                <w:rFonts w:hint="eastAsia" w:ascii="仿宋_GB2312" w:hAnsi="仿宋_GB2312" w:eastAsia="仿宋_GB2312" w:cs="仿宋_GB2312"/>
                <w:bCs/>
                <w:sz w:val="28"/>
                <w:szCs w:val="28"/>
              </w:rPr>
              <w:t>万元，较去年大幅度降低，是由于本部门厉行节俭，严格执行八项规定</w:t>
            </w:r>
            <w:r>
              <w:rPr>
                <w:rFonts w:ascii="仿宋_GB2312" w:hAnsi="仿宋_GB2312" w:eastAsia="仿宋_GB2312" w:cs="仿宋_GB2312"/>
                <w:bCs/>
                <w:sz w:val="28"/>
                <w:szCs w:val="28"/>
              </w:rPr>
              <w:t>;无</w:t>
            </w:r>
            <w:r>
              <w:rPr>
                <w:rFonts w:hint="eastAsia" w:ascii="仿宋_GB2312" w:hAnsi="仿宋_GB2312" w:eastAsia="仿宋_GB2312" w:cs="仿宋_GB2312"/>
                <w:bCs/>
                <w:sz w:val="28"/>
                <w:szCs w:val="28"/>
              </w:rPr>
              <w:t>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费用支出。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二</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固定资产流程规范化</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2019</w:t>
            </w:r>
            <w:r>
              <w:rPr>
                <w:rFonts w:hint="eastAsia" w:ascii="仿宋_GB2312" w:hAnsi="仿宋_GB2312" w:eastAsia="仿宋_GB2312" w:cs="仿宋_GB2312"/>
                <w:bCs/>
                <w:sz w:val="28"/>
                <w:szCs w:val="28"/>
              </w:rPr>
              <w:t>年新购固定资产</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万元，新会计制度执行以来，我部对固定资产采取统一建账，统一核算管理，严格执行行政事业单位固定资产采购的流程、资产的处置报废流程，保证资产的安全高效，防止资产流失。</w:t>
            </w:r>
          </w:p>
          <w:p>
            <w:pPr>
              <w:spacing w:line="58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（三）</w:t>
            </w:r>
            <w:r>
              <w:rPr>
                <w:rFonts w:hint="eastAsia" w:ascii="仿宋_GB2312" w:hAnsi="仿宋_GB2312" w:eastAsia="仿宋_GB2312" w:cs="仿宋_GB2312"/>
                <w:bCs/>
                <w:sz w:val="28"/>
                <w:szCs w:val="28"/>
                <w:lang w:val="en-US" w:eastAsia="zh-CN"/>
              </w:rPr>
              <w:t>2020年工作成效</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紧盯组织收入，强化资金筹集，财税收入实现新突破。</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面对疫情防控、经济下行和减税降费等诸多挑战，我部始终坚持将组织收入作为财政工作第一要务，多举措强化综合治税管理、强力推动对上争资争项，全区资金筹措取得良好成效。一是财税收入增总量、提质量。2020年我部积极走访重点税源企业，开展房地产行业、金融行业、综保区内企业税收清理，共清理欠税700余万元，促成华融湘江银行新港区支行企业所得税在我区缴税。着力加强税收源泉管控，抓牢主体税源、紧盯临时税源，坚持大税小税一起抓，做到大户重点抓、小户无遗漏。我们以税务部门征管信息需求为切入点，进一步修订了综合治税管理文件，全年共组织召开财政收入调度和税收收入调研会议7次，压实各部门协税护税责任。制定非税收入考核奖励办法，将考核结果与经费和绩效挂钩，极大的调动了非税收入征管单位的积极性。今年全省的增长目标为实现正增长，全市的增长目标是-3.5%。而我区在新增减税降费11662万元的情况下，预计完成全域财税收入50亿元，同比增长25%，预计完成一般公共预算收入11.6亿元，实现增长15%，超人大预算目标任务。二是对上争资有突破、创亮点。为贯彻落实市委主要领导“开源节流、培育财源，把财税收入做事做强”指示精神，我部推动出台《2020年湖南城陵矶新港区争资争项任务分配表》并下达至各责任部门。成立新港区争资争项工作小组，党政主要领导对全区争资争项工作亲自部署、亲自协调。今年是新港区享受8亿元政府债券支持政策的最后一年，也是发债工作困难最大的一年。我部对发债工作面临的困难提前预判，多次向党工委、管委会领导汇报进展。今年二三月，在疫情防控铆劲吃紧的关键时段，我部先后十余次到市债务科和省预算处、债务处汇报协调，成功调整了债务项目发行额度，理顺了债券项目更名的前后关系，解决了债劵发行的各项要求。较往年提前3个月争取省财政1亿元城陵矶建设引导资金下达新港区，并成功报请省政府同意将该资金延长至2022年。争取到位抗议特别国债资金5亿元，发行到位政府专项债券资金22亿元，为历年之最。截至12月，全区共争取到位上级专项资金40100万元，同比增长47%，提前两个月完成争资争项任务。三是企业扶持多举措、落到位。为支持企业复工复产，整合资金16.4亿元重点支持新金宝、恒大、哈工大等重点招商项目补贴。鼓励区内企业在资本市场发展，成功将国信6906、中创空天、钟鼎热工等企业纳入省上市后备企业库，大力扶持钟鼎热工在湖南省股权交易所科技创新板进行挂牌。鼓励区内中小企业融资，降低融资成本，作为岳阳市融资担保公司和小微企业风险补偿基金出资人，2020年为运想重工、盛亚体育等14家企业提供了担保，担保贷款余额为9670万元。将文畅纸业140万、新永利250万元、钟鼎热工300万元贷款纳入了风险补偿基金。鼓励企业积极争取上级专项资金，全年完成19批次共计89家企业专项资金申报审核，申报金额3.45亿元，共下达上级专项资金4322万元。加快兑现2019年下半年“一区一港四口岸”奖补资金，拟确定2019年下半年奖励企业96家，奖励金额共计5325.579万元。全面盘底重大招商项目补贴兑付情况，多次现场核查CCTC保税大厦和华琨装备制造园实际入驻情况，形成补贴报告报管委会审核通过，其中华琨置业项目的补贴已经落地。</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紧抓财政改革，凝聚部门智慧，深化改革踏上新征程。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w:t>
            </w:r>
            <w:r>
              <w:rPr>
                <w:rFonts w:hint="eastAsia" w:ascii="仿宋_GB2312" w:hAnsi="仿宋_GB2312" w:eastAsia="仿宋_GB2312" w:cs="仿宋_GB2312"/>
                <w:bCs/>
                <w:sz w:val="28"/>
                <w:szCs w:val="28"/>
              </w:rPr>
              <w:t>我部多措施推进财政改革，着力构建科学规范高效的管理机制，突出关口前移重防范，后续跟踪重监控，确保资金安全，防范资金风险。一是严格投资财评“守好门”。今年我部加强对造价咨询中介机构的考核，出台评审中介服务机构考核管理办法，按季度对评审中介服务机构进行考评，通报表扬考核前三名约谈最后三名，并对结算审减率超过5%的造价咨询机构予以同等项目的奖励，通过奖优罚劣，评审质量进一步提高。截止至2020年12月1日，累计接收评审项目517个（其中预算384个、结算118个、概算13个、资产评估2个）。概预算共计送审金额（已出具报告）25.13亿元，审减金额1.79亿元，综合审减率7.1%；结算共计送审金额（已出具报告）1.95亿元，审减金额922.7万元，综合审减率4.7%。二是严防债务风险“算好账”。出台《新港区政府性债务管理2020年工作要点》，将本年债务任务予以明确。2020年我区化债目标为2.12亿元，其中财政安排资金2亿元。今年1月已安排资金2亿元拨付至我区平台公司，提前完成了财政的化债任务。对《城陵矶新港区政府性隐性债务化解方案》分年化解计划进行了调整，并就二期企业债券、城陵矶片区一体化（一期）、水系综合整治二期等项目通过一事一报告形式进行了“六个一批”风险缓释，有效缓解了平台公司的资金压力。积极开展经营性债务甄别，协调争取将岳阳城陵矶松阳湖铁路专用线项目和临港高新产业园共计11.17亿关注类债务甄别为经营性债务，有效降低我区的三类债务率。三是严控各项支出“管好家”。2020年财政总支出将达到47亿元，为提高资金使用效率，我部严控除刚性和重点项目支出外的一般性支出增加。全面推进“预算与绩效管理一体化”管理机制，构建全过程预算绩效管理，组织港区各单位进行2020年预算目标申报，涉及预算单位18家，重点项目40个，项目资金7.2亿元。积极开展重点项目绩效评价，对辖区企业使用华为云服务的效果进行绩效评价，为2021年该项购买服务的资金安排及华云云服务的套餐设计提供指导。今年6月开始推行《湖南城陵矶新港区2020-2021年政府集中采购目录及政府采购限额标准》，建立湖南城陵矶新港区电子卖场推广群，并督促部门单位及时使用电子卖场采购货物等，逐步将财政采购行为全部纳入监管范围。</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pStyle w:val="5"/>
              <w:spacing w:before="0" w:beforeAutospacing="0" w:after="0" w:afterAutospacing="0" w:line="480" w:lineRule="auto"/>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固定资产管理不够规范。</w:t>
            </w:r>
            <w:r>
              <w:rPr>
                <w:rFonts w:ascii="仿宋_GB2312" w:hAnsi="仿宋_GB2312" w:eastAsia="仿宋_GB2312" w:cs="仿宋_GB2312"/>
                <w:bCs/>
                <w:sz w:val="28"/>
                <w:szCs w:val="28"/>
              </w:rPr>
              <w:t xml:space="preserve">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spacing w:line="440" w:lineRule="exact"/>
              <w:ind w:firstLine="560" w:firstLineChars="200"/>
              <w:rPr>
                <w:rFonts w:eastAsia="仿宋_GB2312"/>
                <w:sz w:val="32"/>
                <w:szCs w:val="32"/>
              </w:rPr>
            </w:pPr>
            <w:r>
              <w:rPr>
                <w:rFonts w:hint="eastAsia" w:ascii="仿宋_GB2312" w:hAnsi="仿宋_GB2312" w:eastAsia="仿宋_GB2312" w:cs="仿宋_GB2312"/>
                <w:bCs/>
                <w:sz w:val="28"/>
                <w:szCs w:val="28"/>
              </w:rPr>
              <w:t>加强固定资产管理，提高固定资产利用率。</w:t>
            </w:r>
          </w:p>
        </w:tc>
      </w:tr>
    </w:tbl>
    <w:p>
      <w:pPr>
        <w:spacing w:line="348" w:lineRule="auto"/>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bookmarkStart w:id="0" w:name="_GoBack" w:colFirst="5" w:colLast="5"/>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bookmarkEnd w:id="0"/>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固定资产配置合理性有待提高</w:t>
            </w:r>
            <w:r>
              <w:rPr>
                <w:rFonts w:hint="eastAsia" w:ascii="仿宋_GB2312" w:hAnsi="宋体" w:eastAsia="仿宋_GB2312" w:cs="宋体"/>
                <w:kern w:val="0"/>
                <w:sz w:val="18"/>
                <w:szCs w:val="18"/>
              </w:rPr>
              <w:t>，</w:t>
            </w:r>
            <w:r>
              <w:rPr>
                <w:rFonts w:ascii="仿宋_GB2312" w:hAnsi="宋体" w:eastAsia="仿宋_GB2312" w:cs="宋体"/>
                <w:kern w:val="0"/>
                <w:sz w:val="18"/>
                <w:szCs w:val="18"/>
              </w:rPr>
              <w:t>保存有待加强</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固定资产利用率有待提高</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15</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3443"/>
    <w:rsid w:val="000021B5"/>
    <w:rsid w:val="00040E6E"/>
    <w:rsid w:val="00050968"/>
    <w:rsid w:val="000D4592"/>
    <w:rsid w:val="000D706B"/>
    <w:rsid w:val="00160177"/>
    <w:rsid w:val="00163F3A"/>
    <w:rsid w:val="00180538"/>
    <w:rsid w:val="00202A08"/>
    <w:rsid w:val="00220385"/>
    <w:rsid w:val="0025503C"/>
    <w:rsid w:val="002C12F9"/>
    <w:rsid w:val="002F3DFD"/>
    <w:rsid w:val="003476DA"/>
    <w:rsid w:val="003A67AA"/>
    <w:rsid w:val="003F5EC3"/>
    <w:rsid w:val="00435E53"/>
    <w:rsid w:val="004460F1"/>
    <w:rsid w:val="00463E61"/>
    <w:rsid w:val="004C09AD"/>
    <w:rsid w:val="00551F95"/>
    <w:rsid w:val="00613443"/>
    <w:rsid w:val="00613732"/>
    <w:rsid w:val="0065307D"/>
    <w:rsid w:val="00686F8D"/>
    <w:rsid w:val="006C36DA"/>
    <w:rsid w:val="00723F48"/>
    <w:rsid w:val="00733E46"/>
    <w:rsid w:val="007C7CC7"/>
    <w:rsid w:val="008042AA"/>
    <w:rsid w:val="008414D7"/>
    <w:rsid w:val="0085144C"/>
    <w:rsid w:val="008609C2"/>
    <w:rsid w:val="00871C99"/>
    <w:rsid w:val="00877940"/>
    <w:rsid w:val="008D5C85"/>
    <w:rsid w:val="009855D7"/>
    <w:rsid w:val="009A135E"/>
    <w:rsid w:val="00A04D8A"/>
    <w:rsid w:val="00A31D43"/>
    <w:rsid w:val="00AA28B5"/>
    <w:rsid w:val="00AC7FB1"/>
    <w:rsid w:val="00B06681"/>
    <w:rsid w:val="00B37F21"/>
    <w:rsid w:val="00B5636F"/>
    <w:rsid w:val="00B63BAA"/>
    <w:rsid w:val="00BA5087"/>
    <w:rsid w:val="00C06A0C"/>
    <w:rsid w:val="00C21EB3"/>
    <w:rsid w:val="00C30CBF"/>
    <w:rsid w:val="00C41571"/>
    <w:rsid w:val="00C8223F"/>
    <w:rsid w:val="00CA33E4"/>
    <w:rsid w:val="00CA4FA9"/>
    <w:rsid w:val="00D743A7"/>
    <w:rsid w:val="00DB4E7D"/>
    <w:rsid w:val="00DB5BDB"/>
    <w:rsid w:val="00DD2676"/>
    <w:rsid w:val="00DF4BC0"/>
    <w:rsid w:val="00E313FD"/>
    <w:rsid w:val="00E525EC"/>
    <w:rsid w:val="00E70735"/>
    <w:rsid w:val="00E84FD2"/>
    <w:rsid w:val="00E91991"/>
    <w:rsid w:val="00EA4E2E"/>
    <w:rsid w:val="00EA6158"/>
    <w:rsid w:val="00EE3324"/>
    <w:rsid w:val="00F2502C"/>
    <w:rsid w:val="00F96604"/>
    <w:rsid w:val="00FF5971"/>
    <w:rsid w:val="0358521C"/>
    <w:rsid w:val="0B563665"/>
    <w:rsid w:val="0FF07E48"/>
    <w:rsid w:val="152106B9"/>
    <w:rsid w:val="1B793166"/>
    <w:rsid w:val="1DD04783"/>
    <w:rsid w:val="22B0752E"/>
    <w:rsid w:val="32D35DE6"/>
    <w:rsid w:val="4EA46484"/>
    <w:rsid w:val="5AAD1B52"/>
    <w:rsid w:val="689E635A"/>
    <w:rsid w:val="7B2F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EF9AC-0C78-49AB-9748-3D661A5BBD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1506</Words>
  <Characters>8589</Characters>
  <Lines>71</Lines>
  <Paragraphs>20</Paragraphs>
  <TotalTime>8</TotalTime>
  <ScaleCrop>false</ScaleCrop>
  <LinksUpToDate>false</LinksUpToDate>
  <CharactersWithSpaces>10075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肖志芳</cp:lastModifiedBy>
  <dcterms:modified xsi:type="dcterms:W3CDTF">2021-08-26T08:02:00Z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846450E87259471C834507140753F1D0</vt:lpwstr>
  </property>
</Properties>
</file>